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16182A">
        <w:tc>
          <w:tcPr>
            <w:tcW w:w="4631"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297" w:type="dxa"/>
            <w:gridSpan w:val="6"/>
            <w:shd w:val="clear" w:color="auto" w:fill="auto"/>
          </w:tcPr>
          <w:p w14:paraId="4364F025" w14:textId="34EE0C7A" w:rsidR="00467ECA" w:rsidRPr="00E46078" w:rsidRDefault="00EA731A" w:rsidP="000E0D30">
            <w:pPr>
              <w:pStyle w:val="Header"/>
              <w:rPr>
                <w:rFonts w:asciiTheme="minorHAnsi" w:hAnsiTheme="minorHAnsi" w:cstheme="minorHAnsi"/>
                <w:bCs/>
                <w:sz w:val="22"/>
                <w:szCs w:val="22"/>
              </w:rPr>
            </w:pPr>
            <w:r>
              <w:rPr>
                <w:rStyle w:val="normaltextrun"/>
                <w:rFonts w:cs="Arial"/>
                <w:color w:val="000000"/>
                <w:sz w:val="22"/>
                <w:szCs w:val="22"/>
                <w:shd w:val="clear" w:color="auto" w:fill="FFFFFF"/>
              </w:rPr>
              <w:t>Gifts and Hospitality</w:t>
            </w:r>
            <w:r>
              <w:rPr>
                <w:rStyle w:val="eop"/>
                <w:rFonts w:cs="Arial"/>
                <w:color w:val="000000"/>
                <w:sz w:val="22"/>
                <w:szCs w:val="22"/>
                <w:shd w:val="clear" w:color="auto" w:fill="FFFFFF"/>
              </w:rPr>
              <w:t> </w:t>
            </w:r>
          </w:p>
        </w:tc>
      </w:tr>
      <w:tr w:rsidR="00224D2C" w:rsidRPr="00E46078" w14:paraId="0B9873BE" w14:textId="77777777" w:rsidTr="0016182A">
        <w:tc>
          <w:tcPr>
            <w:tcW w:w="4631"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00"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1"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74"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36"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283"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3" w:type="dxa"/>
                <w:shd w:val="clear" w:color="auto" w:fill="auto"/>
                <w:vAlign w:val="center"/>
              </w:tcPr>
              <w:p w14:paraId="54C102E2" w14:textId="5594E368" w:rsidR="00224D2C" w:rsidRPr="00E46078" w:rsidRDefault="007847D2"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16182A">
        <w:tc>
          <w:tcPr>
            <w:tcW w:w="4631"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297" w:type="dxa"/>
            <w:gridSpan w:val="6"/>
            <w:shd w:val="clear" w:color="auto" w:fill="auto"/>
          </w:tcPr>
          <w:p w14:paraId="592D64E7" w14:textId="3D84E622" w:rsidR="00224D2C" w:rsidRPr="00D66D0F" w:rsidRDefault="004B6FD5" w:rsidP="00D66D0F">
            <w:pPr>
              <w:pStyle w:val="ListParagraph"/>
              <w:numPr>
                <w:ilvl w:val="0"/>
                <w:numId w:val="17"/>
              </w:numPr>
              <w:rPr>
                <w:rFonts w:cs="Arial"/>
                <w:bCs/>
                <w:sz w:val="22"/>
                <w:szCs w:val="22"/>
              </w:rPr>
            </w:pPr>
            <w:r w:rsidRPr="00D66D0F">
              <w:rPr>
                <w:rFonts w:cs="Arial"/>
                <w:bCs/>
                <w:sz w:val="22"/>
                <w:szCs w:val="22"/>
              </w:rPr>
              <w:t>Additions</w:t>
            </w:r>
            <w:r w:rsidR="003C22D6" w:rsidRPr="00D66D0F">
              <w:rPr>
                <w:rFonts w:cs="Arial"/>
                <w:bCs/>
                <w:sz w:val="22"/>
                <w:szCs w:val="22"/>
              </w:rPr>
              <w:t xml:space="preserve"> consequential to </w:t>
            </w:r>
            <w:r w:rsidR="00D66D0F" w:rsidRPr="00D66D0F">
              <w:rPr>
                <w:rFonts w:cs="Arial"/>
                <w:bCs/>
                <w:sz w:val="22"/>
                <w:szCs w:val="22"/>
              </w:rPr>
              <w:t>Finance Bulletin 02/10 ‘Guidance on The Acceptance and Provision of Gifts and Hospitality’ (as amended 10 July 2019) (‘FB’), issued by the Department of Finance.</w:t>
            </w:r>
          </w:p>
          <w:p w14:paraId="38DDDC73" w14:textId="77777777" w:rsidR="00D66D0F" w:rsidRPr="00D66D0F" w:rsidRDefault="00D66D0F" w:rsidP="00D66D0F">
            <w:pPr>
              <w:pStyle w:val="ListParagraph"/>
              <w:numPr>
                <w:ilvl w:val="0"/>
                <w:numId w:val="17"/>
              </w:numPr>
              <w:rPr>
                <w:rFonts w:asciiTheme="minorHAnsi" w:hAnsiTheme="minorHAnsi" w:cstheme="minorHAnsi"/>
                <w:bCs/>
                <w:sz w:val="22"/>
                <w:szCs w:val="22"/>
              </w:rPr>
            </w:pPr>
            <w:r w:rsidRPr="00D66D0F">
              <w:rPr>
                <w:rFonts w:cs="Arial"/>
                <w:bCs/>
                <w:sz w:val="22"/>
                <w:szCs w:val="22"/>
              </w:rPr>
              <w:t>Removal of references to Travel Centre</w:t>
            </w:r>
          </w:p>
          <w:p w14:paraId="09F7AC73" w14:textId="2263D995" w:rsidR="00D66D0F" w:rsidRPr="00D66D0F" w:rsidRDefault="00D66D0F" w:rsidP="00D66D0F">
            <w:pPr>
              <w:rPr>
                <w:rFonts w:asciiTheme="minorHAnsi" w:hAnsiTheme="minorHAnsi" w:cstheme="minorHAnsi"/>
                <w:bCs/>
                <w:sz w:val="22"/>
                <w:szCs w:val="22"/>
              </w:rPr>
            </w:pPr>
            <w:r>
              <w:rPr>
                <w:rFonts w:asciiTheme="minorHAnsi" w:hAnsiTheme="minorHAnsi" w:cstheme="minorHAnsi"/>
                <w:bCs/>
                <w:sz w:val="22"/>
                <w:szCs w:val="22"/>
              </w:rPr>
              <w:t>See Appendix 2</w:t>
            </w:r>
          </w:p>
        </w:tc>
      </w:tr>
      <w:tr w:rsidR="00752AC7" w:rsidRPr="00E46078" w14:paraId="5B585C2D" w14:textId="77777777" w:rsidTr="0016182A">
        <w:tc>
          <w:tcPr>
            <w:tcW w:w="4631"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297" w:type="dxa"/>
            <w:gridSpan w:val="6"/>
            <w:shd w:val="clear" w:color="auto" w:fill="auto"/>
          </w:tcPr>
          <w:p w14:paraId="2DF64240" w14:textId="2E6116BE" w:rsidR="006E4F14" w:rsidRPr="0016182A" w:rsidRDefault="00F65EE2" w:rsidP="000C1FAC">
            <w:pPr>
              <w:rPr>
                <w:rFonts w:asciiTheme="minorHAnsi" w:hAnsiTheme="minorHAnsi" w:cstheme="minorHAnsi"/>
                <w:sz w:val="20"/>
              </w:rPr>
            </w:pPr>
            <w:r>
              <w:rPr>
                <w:rStyle w:val="normaltextrun"/>
                <w:rFonts w:cs="Arial"/>
                <w:color w:val="000000"/>
                <w:sz w:val="22"/>
                <w:szCs w:val="22"/>
                <w:shd w:val="clear" w:color="auto" w:fill="FFFFFF"/>
              </w:rPr>
              <w:t>To provide guidance to employees on giving and receiving gifts and hospitality in relation to their employment</w:t>
            </w:r>
            <w:r>
              <w:rPr>
                <w:rStyle w:val="eop"/>
                <w:rFonts w:cs="Arial"/>
                <w:color w:val="000000"/>
                <w:sz w:val="22"/>
                <w:szCs w:val="22"/>
                <w:shd w:val="clear" w:color="auto" w:fill="FFFFFF"/>
              </w:rPr>
              <w:t> </w:t>
            </w:r>
          </w:p>
        </w:tc>
      </w:tr>
      <w:tr w:rsidR="00752AC7" w:rsidRPr="00E46078" w14:paraId="7A33F2B2" w14:textId="77777777" w:rsidTr="0016182A">
        <w:tc>
          <w:tcPr>
            <w:tcW w:w="4631"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297" w:type="dxa"/>
            <w:gridSpan w:val="6"/>
            <w:shd w:val="clear" w:color="auto" w:fill="auto"/>
          </w:tcPr>
          <w:p w14:paraId="75BD4CB0" w14:textId="1B6FBEC7" w:rsidR="00752AC7" w:rsidRPr="00E46078" w:rsidRDefault="0016182A"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0016182A">
        <w:tc>
          <w:tcPr>
            <w:tcW w:w="4631"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297" w:type="dxa"/>
            <w:gridSpan w:val="6"/>
            <w:shd w:val="clear" w:color="auto" w:fill="auto"/>
          </w:tcPr>
          <w:p w14:paraId="3602DADD" w14:textId="2A38B19C" w:rsidR="00192EA1" w:rsidRPr="00E46078" w:rsidRDefault="0016182A" w:rsidP="00133338">
            <w:pPr>
              <w:rPr>
                <w:rFonts w:asciiTheme="minorHAnsi" w:hAnsiTheme="minorHAnsi" w:cstheme="minorHAnsi"/>
                <w:bCs/>
                <w:sz w:val="22"/>
                <w:szCs w:val="22"/>
              </w:rPr>
            </w:pPr>
            <w:r>
              <w:rPr>
                <w:rFonts w:asciiTheme="minorHAnsi" w:hAnsiTheme="minorHAnsi" w:cstheme="minorHAnsi"/>
                <w:bCs/>
                <w:sz w:val="22"/>
                <w:szCs w:val="22"/>
              </w:rPr>
              <w:t>Alistair Wilson - HFG</w:t>
            </w:r>
          </w:p>
        </w:tc>
      </w:tr>
      <w:tr w:rsidR="0016182A" w:rsidRPr="00E46078" w14:paraId="41486EBA" w14:textId="77777777" w:rsidTr="0016182A">
        <w:tc>
          <w:tcPr>
            <w:tcW w:w="4631" w:type="dxa"/>
            <w:shd w:val="clear" w:color="auto" w:fill="F2F2F2"/>
            <w:vAlign w:val="center"/>
          </w:tcPr>
          <w:p w14:paraId="74205DB0" w14:textId="77777777" w:rsidR="0016182A" w:rsidRPr="00E46078" w:rsidRDefault="0016182A" w:rsidP="0016182A">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297" w:type="dxa"/>
            <w:gridSpan w:val="6"/>
            <w:shd w:val="clear" w:color="auto" w:fill="auto"/>
          </w:tcPr>
          <w:p w14:paraId="18B70BB2" w14:textId="4ABFBD26" w:rsidR="0016182A" w:rsidRPr="00E46078" w:rsidRDefault="0016182A" w:rsidP="0016182A">
            <w:pPr>
              <w:rPr>
                <w:rFonts w:asciiTheme="minorHAnsi" w:hAnsiTheme="minorHAnsi" w:cstheme="minorHAnsi"/>
                <w:bCs/>
                <w:sz w:val="22"/>
                <w:szCs w:val="22"/>
              </w:rPr>
            </w:pPr>
            <w:r>
              <w:rPr>
                <w:rFonts w:asciiTheme="minorHAnsi" w:hAnsiTheme="minorHAnsi" w:cstheme="minorHAnsi"/>
                <w:bCs/>
                <w:sz w:val="22"/>
                <w:szCs w:val="22"/>
              </w:rPr>
              <w:t>Alistair Wilson - HFG</w:t>
            </w:r>
          </w:p>
        </w:tc>
      </w:tr>
    </w:tbl>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B238D9E">
        <w:tc>
          <w:tcPr>
            <w:tcW w:w="675" w:type="dxa"/>
            <w:shd w:val="clear" w:color="auto" w:fill="F2F2F2" w:themeFill="background1" w:themeFillShade="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Bid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hemeFill="background1" w:themeFillShade="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Bid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519F97A3" w:rsidR="00467ECA" w:rsidRPr="00E46078" w:rsidRDefault="0016182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10EBD203" w14:textId="473D19C0" w:rsidR="0B238D9E" w:rsidRDefault="0B238D9E" w:rsidP="0B238D9E">
      <w:pPr>
        <w:jc w:val="both"/>
        <w:rPr>
          <w:rFonts w:asciiTheme="minorHAnsi" w:hAnsiTheme="minorHAnsi" w:cstheme="minorBidi"/>
          <w:sz w:val="22"/>
          <w:szCs w:val="22"/>
        </w:rPr>
      </w:pPr>
    </w:p>
    <w:p w14:paraId="1F667AAE" w14:textId="2D113585" w:rsidR="00467ECA" w:rsidRPr="00E46078" w:rsidRDefault="00E91D60" w:rsidP="5EF3A4AE">
      <w:pPr>
        <w:jc w:val="both"/>
        <w:rPr>
          <w:rFonts w:asciiTheme="minorHAnsi" w:hAnsiTheme="minorHAnsi" w:cstheme="minorBidi"/>
          <w:sz w:val="22"/>
          <w:szCs w:val="22"/>
        </w:rPr>
      </w:pPr>
      <w:r w:rsidRPr="5EF3A4AE">
        <w:rPr>
          <w:rFonts w:asciiTheme="minorHAnsi" w:hAnsiTheme="minorHAnsi" w:cstheme="minorBidi"/>
          <w:sz w:val="22"/>
          <w:szCs w:val="22"/>
        </w:rPr>
        <w:t>Are there any factors which could contribute to/detract from the intended aim/outcome of the policy/decision?</w:t>
      </w: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5EF2BC83" w:rsidR="00C40E06" w:rsidRPr="00E46078" w:rsidRDefault="0016182A"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032EAE"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38372CAF" w14:textId="7B9B7094" w:rsidR="001E40DD" w:rsidRPr="00F65EE2" w:rsidRDefault="00F65EE2" w:rsidP="00F65EE2">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Anti-Fraud </w:t>
            </w:r>
            <w:r w:rsidR="001E40DD" w:rsidRPr="00F65EE2">
              <w:rPr>
                <w:rFonts w:asciiTheme="minorHAnsi" w:hAnsiTheme="minorHAnsi" w:cstheme="minorHAnsi"/>
                <w:bCs/>
                <w:sz w:val="22"/>
                <w:szCs w:val="22"/>
              </w:rPr>
              <w:t xml:space="preserve"> </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08B258D4" w:rsidR="001D0073" w:rsidRPr="00332B3D" w:rsidRDefault="00332B3D" w:rsidP="00390DDC">
            <w:pPr>
              <w:spacing w:before="240" w:after="240"/>
              <w:rPr>
                <w:rFonts w:cs="Arial"/>
                <w:sz w:val="20"/>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253DBDB4" w:rsidR="00E91D60" w:rsidRPr="00E46078" w:rsidRDefault="00332B3D" w:rsidP="00F806ED">
            <w:pPr>
              <w:pStyle w:val="paragraph"/>
              <w:spacing w:before="0" w:beforeAutospacing="0" w:after="0" w:afterAutospacing="0"/>
              <w:textAlignment w:val="baseline"/>
              <w:rPr>
                <w:rFonts w:asciiTheme="minorHAnsi" w:hAnsiTheme="minorHAnsi" w:cstheme="minorHAnsi"/>
                <w:sz w:val="22"/>
                <w:szCs w:val="22"/>
              </w:rPr>
            </w:pPr>
            <w:r w:rsidRPr="00332B3D">
              <w:rPr>
                <w:rFonts w:ascii="Arial" w:hAnsi="Arial" w:cs="Arial"/>
                <w:sz w:val="20"/>
                <w:szCs w:val="20"/>
              </w:rPr>
              <w:t>Policy is technical in nature and is designed to comply with good governance and legislative requirements.  There is no evidence that it will have an impact on this Section 75 group.</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34F0E4CC" w:rsidR="00E91D60" w:rsidRPr="00E46078" w:rsidRDefault="00332B3D" w:rsidP="00F806ED">
            <w:pPr>
              <w:pStyle w:val="paragraph"/>
              <w:spacing w:before="0" w:beforeAutospacing="0" w:after="0" w:afterAutospacing="0"/>
              <w:textAlignment w:val="baseline"/>
              <w:rPr>
                <w:rFonts w:asciiTheme="minorHAnsi" w:hAnsiTheme="minorHAnsi" w:cstheme="minorHAnsi"/>
                <w:sz w:val="22"/>
                <w:szCs w:val="22"/>
              </w:rPr>
            </w:pPr>
            <w:r w:rsidRPr="00332B3D">
              <w:rPr>
                <w:rFonts w:ascii="Arial" w:hAnsi="Arial" w:cs="Arial"/>
                <w:sz w:val="20"/>
                <w:szCs w:val="20"/>
              </w:rPr>
              <w:t>Policy is technical in nature and is designed to comply with good governance and legislative requirements.  There is no evidence that it will have an impact on this Section 75 group.</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5BC467CF" w:rsidR="008E70CC" w:rsidRPr="00E46078" w:rsidRDefault="00332B3D" w:rsidP="00B665A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53EE3E19" w:rsidR="00E91D60" w:rsidRPr="00E46078" w:rsidRDefault="00332B3D" w:rsidP="006A178A">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482F7780" w:rsidR="00E91D60" w:rsidRPr="00E46078" w:rsidRDefault="00332B3D" w:rsidP="00B665A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23F83479" w14:textId="323234C7" w:rsidR="00EE2BD8" w:rsidRPr="00E46078" w:rsidRDefault="00332B3D" w:rsidP="00390DD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1EF6FEBD" w:rsidR="008E328A" w:rsidRPr="00E46078" w:rsidRDefault="00332B3D" w:rsidP="008E328A">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1FE3D89"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332B3D" w:rsidRPr="00332B3D">
              <w:rPr>
                <w:rFonts w:cs="Arial"/>
                <w:sz w:val="20"/>
              </w:rPr>
              <w:t>Policy is technical in nature and is designed to comply with good governance and legislative requirements.  There is no evidence that it will have an impact on this Section 75 group.</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E01110C" w:rsidR="00E91D60" w:rsidRPr="0081262C" w:rsidRDefault="0093334B" w:rsidP="00D77990">
            <w:pPr>
              <w:spacing w:before="240" w:after="240"/>
              <w:rPr>
                <w:rFonts w:asciiTheme="minorHAnsi" w:hAnsiTheme="minorHAnsi" w:cstheme="minorHAnsi"/>
                <w:sz w:val="20"/>
              </w:rPr>
            </w:pPr>
            <w:r w:rsidRPr="0081262C">
              <w:rPr>
                <w:rFonts w:asciiTheme="minorHAnsi" w:hAnsiTheme="minorHAnsi" w:cstheme="minorHAnsi"/>
                <w:sz w:val="20"/>
              </w:rPr>
              <w:t xml:space="preserve"> </w:t>
            </w:r>
            <w:r w:rsidR="0081262C" w:rsidRPr="0081262C">
              <w:rPr>
                <w:rFonts w:cs="Arial"/>
                <w:sz w:val="20"/>
              </w:rPr>
              <w:t>No specific needs have been identified for this group.</w:t>
            </w:r>
          </w:p>
        </w:tc>
      </w:tr>
      <w:tr w:rsidR="0081262C" w:rsidRPr="00E46078" w14:paraId="776443FE" w14:textId="77777777" w:rsidTr="000B0B1F">
        <w:tc>
          <w:tcPr>
            <w:tcW w:w="1985" w:type="dxa"/>
            <w:shd w:val="clear" w:color="auto" w:fill="F2F2F2" w:themeFill="background1" w:themeFillShade="F2"/>
            <w:vAlign w:val="center"/>
          </w:tcPr>
          <w:p w14:paraId="762B7FB0"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18C99CC"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2C866519" w14:textId="77777777" w:rsidTr="000B0B1F">
        <w:tc>
          <w:tcPr>
            <w:tcW w:w="1985" w:type="dxa"/>
            <w:shd w:val="clear" w:color="auto" w:fill="F2F2F2" w:themeFill="background1" w:themeFillShade="F2"/>
            <w:vAlign w:val="center"/>
          </w:tcPr>
          <w:p w14:paraId="5C9167C6"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CB11BAF"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4F1C3BF2" w14:textId="77777777" w:rsidTr="000B0B1F">
        <w:tc>
          <w:tcPr>
            <w:tcW w:w="1985" w:type="dxa"/>
            <w:shd w:val="clear" w:color="auto" w:fill="F2F2F2" w:themeFill="background1" w:themeFillShade="F2"/>
            <w:vAlign w:val="center"/>
          </w:tcPr>
          <w:p w14:paraId="3AE13BAF"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3F1457B8" w:rsidR="0081262C" w:rsidRPr="00E46078" w:rsidRDefault="0081262C" w:rsidP="0081262C">
            <w:pPr>
              <w:spacing w:before="240" w:after="240"/>
              <w:rPr>
                <w:rFonts w:asciiTheme="minorHAnsi" w:hAnsiTheme="minorHAnsi" w:cstheme="minorHAnsi"/>
                <w:color w:val="FF0000"/>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2EFF7628" w14:textId="77777777" w:rsidTr="000B0B1F">
        <w:tc>
          <w:tcPr>
            <w:tcW w:w="1985" w:type="dxa"/>
            <w:shd w:val="clear" w:color="auto" w:fill="F2F2F2" w:themeFill="background1" w:themeFillShade="F2"/>
            <w:vAlign w:val="center"/>
          </w:tcPr>
          <w:p w14:paraId="093486C3"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66C5F852"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0699172B" w14:textId="77777777" w:rsidTr="000B0B1F">
        <w:tc>
          <w:tcPr>
            <w:tcW w:w="1985" w:type="dxa"/>
            <w:shd w:val="clear" w:color="auto" w:fill="F2F2F2" w:themeFill="background1" w:themeFillShade="F2"/>
            <w:vAlign w:val="center"/>
          </w:tcPr>
          <w:p w14:paraId="1964B327"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E7D3E90"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4999EBB8"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30AE04DD" w14:textId="77777777" w:rsidTr="000B0B1F">
        <w:tc>
          <w:tcPr>
            <w:tcW w:w="1985" w:type="dxa"/>
            <w:shd w:val="clear" w:color="auto" w:fill="F2F2F2" w:themeFill="background1" w:themeFillShade="F2"/>
            <w:vAlign w:val="center"/>
          </w:tcPr>
          <w:p w14:paraId="41B4C0E2"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06FC6AC4"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6802E370" w14:textId="77777777" w:rsidTr="000B0B1F">
        <w:tc>
          <w:tcPr>
            <w:tcW w:w="1985" w:type="dxa"/>
            <w:shd w:val="clear" w:color="auto" w:fill="F2F2F2" w:themeFill="background1" w:themeFillShade="F2"/>
            <w:vAlign w:val="center"/>
          </w:tcPr>
          <w:p w14:paraId="1EFD709F"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8CF8E28"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bl>
    <w:p w14:paraId="135FFA7B" w14:textId="77777777" w:rsidR="001E40DD" w:rsidRPr="00E46078" w:rsidRDefault="001E40DD" w:rsidP="00E91D60">
      <w:pPr>
        <w:rPr>
          <w:rFonts w:asciiTheme="minorHAnsi" w:hAnsiTheme="minorHAnsi" w:cstheme="minorHAnsi"/>
          <w:b/>
          <w:sz w:val="22"/>
          <w:szCs w:val="22"/>
        </w:rPr>
      </w:pPr>
    </w:p>
    <w:p w14:paraId="1969AD0A" w14:textId="77777777" w:rsidR="00E70483" w:rsidRDefault="00E70483">
      <w:pPr>
        <w:rPr>
          <w:rFonts w:asciiTheme="minorHAnsi" w:hAnsiTheme="minorHAnsi" w:cstheme="minorHAnsi"/>
          <w:b/>
          <w:sz w:val="22"/>
          <w:szCs w:val="22"/>
          <w:u w:val="single"/>
        </w:rPr>
      </w:pPr>
      <w:bookmarkStart w:id="1" w:name="Part2"/>
      <w:r>
        <w:rPr>
          <w:rFonts w:asciiTheme="minorHAnsi" w:hAnsiTheme="minorHAnsi" w:cstheme="minorHAnsi"/>
          <w:b/>
          <w:sz w:val="22"/>
          <w:szCs w:val="22"/>
          <w:u w:val="single"/>
        </w:rPr>
        <w:lastRenderedPageBreak/>
        <w:br w:type="page"/>
      </w:r>
    </w:p>
    <w:p w14:paraId="2D5EA6E9" w14:textId="565F19B2" w:rsidR="00E91D60"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lastRenderedPageBreak/>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7777777"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CF8E501"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CB136F2"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6ECEADC"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19C54D0B"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6D4D0F96"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2044E83A"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6CE79F9B"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78B49879"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14805F18"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34F07894" w:rsidR="00E91D60" w:rsidRPr="00EB080B" w:rsidRDefault="00EB080B" w:rsidP="00390DDC">
            <w:pPr>
              <w:autoSpaceDE w:val="0"/>
              <w:autoSpaceDN w:val="0"/>
              <w:adjustRightInd w:val="0"/>
              <w:spacing w:before="240" w:after="240"/>
              <w:rPr>
                <w:rFonts w:asciiTheme="minorHAnsi" w:hAnsiTheme="minorHAnsi" w:cstheme="minorHAnsi"/>
                <w:sz w:val="20"/>
              </w:rPr>
            </w:pPr>
            <w:r w:rsidRPr="00EB080B">
              <w:rPr>
                <w:rFonts w:cs="Arial"/>
                <w:sz w:val="20"/>
              </w:rPr>
              <w:t>No – As the policy is technical in nature, there is no opportunity to promote equality of opportunity for people in this group.</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1F99617E"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3C88C5A1"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7EF5298D"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48B66833"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5A20BBFF"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2DCE5C3F"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11151948"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7F5A9F2A" w:rsidR="00E91D60" w:rsidRPr="00E46078" w:rsidRDefault="00EB080B" w:rsidP="005E1F3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F6A8DE3"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86A5649"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E4CAA69"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07997E94" w:rsidR="00E91D60" w:rsidRPr="00EA49CF" w:rsidRDefault="00EA49CF" w:rsidP="005E1F31">
            <w:pPr>
              <w:autoSpaceDE w:val="0"/>
              <w:autoSpaceDN w:val="0"/>
              <w:adjustRightInd w:val="0"/>
              <w:spacing w:before="240" w:after="240"/>
              <w:rPr>
                <w:rFonts w:asciiTheme="minorHAnsi" w:hAnsiTheme="minorHAnsi" w:cstheme="minorHAnsi"/>
                <w:sz w:val="20"/>
              </w:rPr>
            </w:pPr>
            <w:r w:rsidRPr="00EA49CF">
              <w:rPr>
                <w:rFonts w:cs="Arial"/>
                <w:sz w:val="20"/>
              </w:rPr>
              <w:t>No – As the policy is technical in nature, there is no opportunity to promote good relations for people in this group.</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44FD4EA1" w:rsidR="00E91D60" w:rsidRPr="00E46078" w:rsidRDefault="00EA49CF" w:rsidP="005E1F31">
            <w:pPr>
              <w:autoSpaceDE w:val="0"/>
              <w:autoSpaceDN w:val="0"/>
              <w:adjustRightInd w:val="0"/>
              <w:spacing w:before="240" w:after="240"/>
              <w:rPr>
                <w:rFonts w:asciiTheme="minorHAnsi" w:hAnsiTheme="minorHAnsi" w:cstheme="minorHAnsi"/>
                <w:sz w:val="22"/>
                <w:szCs w:val="22"/>
              </w:rPr>
            </w:pPr>
            <w:r w:rsidRPr="00EA49CF">
              <w:rPr>
                <w:rFonts w:cs="Arial"/>
                <w:sz w:val="20"/>
              </w:rPr>
              <w:t>No – As the policy is technical in nature, there is no opportunity to promote good relations for people in this group.</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8463691" w:rsidR="00E91D60" w:rsidRPr="00E46078" w:rsidRDefault="00EA49CF" w:rsidP="005E1F31">
            <w:pPr>
              <w:autoSpaceDE w:val="0"/>
              <w:autoSpaceDN w:val="0"/>
              <w:adjustRightInd w:val="0"/>
              <w:spacing w:before="240" w:after="240"/>
              <w:rPr>
                <w:rFonts w:asciiTheme="minorHAnsi" w:hAnsiTheme="minorHAnsi" w:cstheme="minorHAnsi"/>
                <w:sz w:val="22"/>
                <w:szCs w:val="22"/>
              </w:rPr>
            </w:pPr>
            <w:r w:rsidRPr="00EA49CF">
              <w:rPr>
                <w:rFonts w:cs="Arial"/>
                <w:sz w:val="20"/>
              </w:rPr>
              <w:t>No – As the policy is technical in nature, there is no opportunity to promote good relations for people in this group.</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5EF3A4AE">
        <w:rPr>
          <w:rFonts w:asciiTheme="minorHAnsi" w:hAnsiTheme="minorHAnsi" w:cstheme="minorBidi"/>
          <w:sz w:val="22"/>
          <w:szCs w:val="22"/>
        </w:rPr>
        <w:t xml:space="preserve">Generally speaking, people can fall into more than one Section 75 category.  Taking this into consideration, are there any potential impacts of the policy/decision on people with multiple identities?  </w:t>
      </w:r>
      <w:r w:rsidR="0073123B" w:rsidRPr="5EF3A4AE">
        <w:rPr>
          <w:rFonts w:asciiTheme="minorHAnsi" w:hAnsiTheme="minorHAnsi" w:cstheme="minorBidi"/>
          <w:sz w:val="22"/>
          <w:szCs w:val="22"/>
        </w:rPr>
        <w:t xml:space="preserve">   </w:t>
      </w:r>
      <w:r w:rsidRPr="5EF3A4AE">
        <w:rPr>
          <w:rFonts w:asciiTheme="minorHAnsi" w:hAnsiTheme="minorHAnsi" w:cstheme="minorBidi"/>
          <w:sz w:val="22"/>
          <w:szCs w:val="22"/>
        </w:rPr>
        <w:t>(</w:t>
      </w:r>
      <w:r w:rsidR="00766EB5" w:rsidRPr="5EF3A4AE">
        <w:rPr>
          <w:rFonts w:asciiTheme="minorHAnsi" w:hAnsiTheme="minorHAnsi" w:cstheme="minorBidi"/>
          <w:sz w:val="22"/>
          <w:szCs w:val="22"/>
        </w:rPr>
        <w:t>For example:</w:t>
      </w:r>
      <w:r w:rsidRPr="5EF3A4AE">
        <w:rPr>
          <w:rFonts w:asciiTheme="minorHAnsi" w:hAnsiTheme="minorHAnsi" w:cstheme="minorBidi"/>
          <w:sz w:val="22"/>
          <w:szCs w:val="22"/>
        </w:rPr>
        <w:t xml:space="preserve"> disabled minority ethnic people; disabled women; young Protestant men; and young lesbians, gay and bisexual people).</w:t>
      </w:r>
      <w:r w:rsidRPr="5EF3A4AE">
        <w:rPr>
          <w:rFonts w:asciiTheme="minorHAnsi" w:hAnsiTheme="minorHAnsi" w:cstheme="minorBidi"/>
          <w:b/>
          <w:bCs/>
          <w:sz w:val="22"/>
          <w:szCs w:val="22"/>
        </w:rPr>
        <w:t xml:space="preserve"> </w:t>
      </w:r>
    </w:p>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5EF3A4AE">
        <w:trPr>
          <w:trHeight w:val="360"/>
        </w:trPr>
        <w:tc>
          <w:tcPr>
            <w:tcW w:w="10154" w:type="dxa"/>
            <w:shd w:val="clear" w:color="auto" w:fill="auto"/>
          </w:tcPr>
          <w:p w14:paraId="70743A76" w14:textId="14BE21F8" w:rsidR="0073123B" w:rsidRPr="00E46078" w:rsidRDefault="5BF62BED" w:rsidP="5EF3A4AE">
            <w:pPr>
              <w:autoSpaceDE w:val="0"/>
              <w:autoSpaceDN w:val="0"/>
              <w:adjustRightInd w:val="0"/>
              <w:rPr>
                <w:rFonts w:asciiTheme="minorHAnsi" w:hAnsiTheme="minorHAnsi" w:cstheme="minorBidi"/>
                <w:sz w:val="22"/>
                <w:szCs w:val="22"/>
              </w:rPr>
            </w:pPr>
            <w:r w:rsidRPr="5EF3A4AE">
              <w:rPr>
                <w:rFonts w:asciiTheme="minorHAnsi" w:hAnsiTheme="minorHAnsi" w:cstheme="minorBidi"/>
                <w:sz w:val="22"/>
                <w:szCs w:val="22"/>
              </w:rPr>
              <w:t>None</w:t>
            </w:r>
          </w:p>
          <w:p w14:paraId="60E13CB4" w14:textId="0552FD59" w:rsidR="00DD78E3" w:rsidRPr="00E46078" w:rsidRDefault="00DD78E3" w:rsidP="5EF3A4AE">
            <w:pPr>
              <w:autoSpaceDE w:val="0"/>
              <w:autoSpaceDN w:val="0"/>
              <w:adjustRightInd w:val="0"/>
              <w:rPr>
                <w:rFonts w:asciiTheme="minorHAnsi" w:hAnsiTheme="minorHAnsi" w:cstheme="minorBid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22C6AB18" w14:textId="77777777" w:rsidR="00362054" w:rsidRPr="00362054" w:rsidRDefault="00362054" w:rsidP="00362054">
            <w:pPr>
              <w:autoSpaceDE w:val="0"/>
              <w:autoSpaceDN w:val="0"/>
              <w:adjustRightInd w:val="0"/>
              <w:rPr>
                <w:rFonts w:cs="Arial"/>
                <w:sz w:val="20"/>
              </w:rPr>
            </w:pPr>
            <w:r w:rsidRPr="00362054">
              <w:rPr>
                <w:rFonts w:cs="Arial"/>
                <w:sz w:val="20"/>
              </w:rPr>
              <w:t xml:space="preserve">An Equality impact assessment is not </w:t>
            </w:r>
            <w:proofErr w:type="gramStart"/>
            <w:r w:rsidRPr="00362054">
              <w:rPr>
                <w:rFonts w:cs="Arial"/>
                <w:sz w:val="20"/>
              </w:rPr>
              <w:t>required, since</w:t>
            </w:r>
            <w:proofErr w:type="gramEnd"/>
            <w:r w:rsidRPr="00362054">
              <w:rPr>
                <w:rFonts w:cs="Arial"/>
                <w:sz w:val="20"/>
              </w:rPr>
              <w:t xml:space="preserve"> no impact on any of the Section 75 categories has been identified.</w:t>
            </w: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62B42620" w14:textId="77777777" w:rsidR="00CD421F" w:rsidRPr="00CD421F" w:rsidRDefault="00CD421F" w:rsidP="00CD421F">
            <w:pPr>
              <w:autoSpaceDE w:val="0"/>
              <w:autoSpaceDN w:val="0"/>
              <w:adjustRightInd w:val="0"/>
              <w:rPr>
                <w:rFonts w:cs="Arial"/>
                <w:sz w:val="20"/>
              </w:rPr>
            </w:pPr>
            <w:r w:rsidRPr="00CD421F">
              <w:rPr>
                <w:rFonts w:cs="Arial"/>
                <w:sz w:val="20"/>
              </w:rPr>
              <w:t>Not applicable.  No need to mitigate the policy or to introduce an alternative policy has been identified.</w:t>
            </w: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20F9A386" w:rsidR="00D40EEE" w:rsidRPr="00E46078" w:rsidRDefault="00CD421F"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Not applicable.</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57726466" w14:textId="0FBDE102" w:rsidR="001E40DD" w:rsidRDefault="00E91D60" w:rsidP="5EF3A4AE">
      <w:pPr>
        <w:jc w:val="both"/>
        <w:rPr>
          <w:rFonts w:asciiTheme="minorHAnsi" w:hAnsiTheme="minorHAnsi" w:cstheme="minorBidi"/>
          <w:sz w:val="22"/>
          <w:szCs w:val="22"/>
        </w:rPr>
      </w:pPr>
      <w:r w:rsidRPr="5EF3A4AE">
        <w:rPr>
          <w:rFonts w:asciiTheme="minorHAnsi" w:hAnsiTheme="minorHAnsi" w:cstheme="minorBid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56A96947" w14:textId="77777777" w:rsidR="00205492" w:rsidRDefault="00205492" w:rsidP="00E43D7A">
            <w:pPr>
              <w:autoSpaceDE w:val="0"/>
              <w:autoSpaceDN w:val="0"/>
              <w:adjustRightInd w:val="0"/>
              <w:rPr>
                <w:rFonts w:asciiTheme="minorHAnsi" w:hAnsiTheme="minorHAnsi" w:cstheme="minorHAnsi"/>
                <w:sz w:val="20"/>
              </w:rPr>
            </w:pPr>
          </w:p>
          <w:p w14:paraId="701C59D3" w14:textId="6B9BE4E7" w:rsidR="00D40EEE" w:rsidRPr="00205492" w:rsidRDefault="00205492" w:rsidP="00E43D7A">
            <w:pPr>
              <w:autoSpaceDE w:val="0"/>
              <w:autoSpaceDN w:val="0"/>
              <w:adjustRightInd w:val="0"/>
              <w:rPr>
                <w:rFonts w:asciiTheme="minorHAnsi" w:hAnsiTheme="minorHAnsi" w:cstheme="minorHAnsi"/>
                <w:sz w:val="20"/>
              </w:rPr>
            </w:pPr>
            <w:r w:rsidRPr="00205492">
              <w:rPr>
                <w:rFonts w:asciiTheme="minorHAnsi" w:hAnsiTheme="minorHAnsi" w:cstheme="minorHAnsi"/>
                <w:sz w:val="20"/>
              </w:rPr>
              <w:t>No; Not applicable</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5EEA30" w14:textId="4AF65934" w:rsidR="00937025" w:rsidRPr="00E46078" w:rsidRDefault="00443735" w:rsidP="00FD2056">
            <w:pPr>
              <w:autoSpaceDE w:val="0"/>
              <w:autoSpaceDN w:val="0"/>
              <w:adjustRightInd w:val="0"/>
              <w:rPr>
                <w:rFonts w:asciiTheme="minorHAnsi" w:hAnsiTheme="minorHAnsi" w:cstheme="minorHAnsi"/>
                <w:sz w:val="22"/>
                <w:szCs w:val="22"/>
              </w:rPr>
            </w:pPr>
            <w:r w:rsidRPr="00443735">
              <w:rPr>
                <w:rFonts w:asciiTheme="minorHAnsi" w:hAnsiTheme="minorHAnsi" w:cstheme="minorHAnsi"/>
                <w:sz w:val="22"/>
                <w:szCs w:val="22"/>
              </w:rPr>
              <w:t>This policy and related screening will be reviewed in line with the policy review date or if significant changes are made</w:t>
            </w:r>
            <w:r>
              <w:rPr>
                <w:rFonts w:asciiTheme="minorHAnsi" w:hAnsiTheme="minorHAnsi" w:cstheme="minorHAnsi"/>
                <w:sz w:val="22"/>
                <w:szCs w:val="22"/>
              </w:rPr>
              <w:t>.</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4"/>
        <w:gridCol w:w="3151"/>
        <w:gridCol w:w="2268"/>
        <w:gridCol w:w="2240"/>
      </w:tblGrid>
      <w:tr w:rsidR="00560A3A" w:rsidRPr="00E46078" w14:paraId="4CCCE601" w14:textId="77777777" w:rsidTr="00E01A2B">
        <w:trPr>
          <w:trHeight w:val="278"/>
        </w:trPr>
        <w:tc>
          <w:tcPr>
            <w:tcW w:w="2514"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151" w:type="dxa"/>
            <w:shd w:val="clear" w:color="auto" w:fill="FFFFFF"/>
          </w:tcPr>
          <w:p w14:paraId="5E8F8E0F" w14:textId="129B2741" w:rsidR="00560A3A" w:rsidRPr="00C523A5" w:rsidRDefault="00F65EE2" w:rsidP="00C523A5">
            <w:pPr>
              <w:spacing w:before="120" w:after="120"/>
              <w:rPr>
                <w:rFonts w:asciiTheme="minorHAnsi" w:hAnsiTheme="minorHAnsi" w:cstheme="minorHAnsi"/>
                <w:b/>
                <w:sz w:val="20"/>
              </w:rPr>
            </w:pPr>
            <w:r>
              <w:rPr>
                <w:rStyle w:val="normaltextrun"/>
                <w:rFonts w:cs="Arial"/>
                <w:color w:val="000000"/>
                <w:sz w:val="22"/>
                <w:szCs w:val="22"/>
                <w:shd w:val="clear" w:color="auto" w:fill="FFFFFF"/>
              </w:rPr>
              <w:t>Gifts and Hospitality</w:t>
            </w:r>
            <w:r>
              <w:rPr>
                <w:rStyle w:val="eop"/>
                <w:rFonts w:cs="Arial"/>
                <w:color w:val="000000"/>
                <w:sz w:val="22"/>
                <w:szCs w:val="22"/>
                <w:shd w:val="clear" w:color="auto" w:fill="FFFFFF"/>
              </w:rPr>
              <w:t> </w:t>
            </w:r>
          </w:p>
        </w:tc>
        <w:tc>
          <w:tcPr>
            <w:tcW w:w="2268"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2240" w:type="dxa"/>
            <w:shd w:val="clear" w:color="auto" w:fill="auto"/>
          </w:tcPr>
          <w:p w14:paraId="5D883101" w14:textId="7ABF64D3" w:rsidR="00560A3A" w:rsidRPr="00E46078" w:rsidRDefault="008405BA" w:rsidP="00390DDC">
            <w:pPr>
              <w:spacing w:before="120" w:after="120"/>
              <w:rPr>
                <w:rFonts w:asciiTheme="minorHAnsi" w:hAnsiTheme="minorHAnsi" w:cstheme="minorHAnsi"/>
                <w:b/>
                <w:sz w:val="22"/>
                <w:szCs w:val="22"/>
              </w:rPr>
            </w:pPr>
            <w:r>
              <w:rPr>
                <w:rFonts w:asciiTheme="minorHAnsi" w:hAnsiTheme="minorHAnsi" w:cstheme="minorHAnsi"/>
                <w:b/>
                <w:sz w:val="22"/>
                <w:szCs w:val="22"/>
              </w:rPr>
              <w:t>2.1</w:t>
            </w:r>
          </w:p>
        </w:tc>
      </w:tr>
      <w:tr w:rsidR="009E6434" w:rsidRPr="00E46078" w14:paraId="2738A02E" w14:textId="77777777" w:rsidTr="00E01A2B">
        <w:trPr>
          <w:trHeight w:val="278"/>
        </w:trPr>
        <w:tc>
          <w:tcPr>
            <w:tcW w:w="2514"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151"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268"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2240"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E01A2B">
        <w:tc>
          <w:tcPr>
            <w:tcW w:w="2514" w:type="dxa"/>
          </w:tcPr>
          <w:p w14:paraId="19733B1A" w14:textId="60CD7405" w:rsidR="009E6434" w:rsidRPr="00E46078" w:rsidRDefault="00C523A5" w:rsidP="009E6434">
            <w:pPr>
              <w:spacing w:before="120" w:after="120"/>
              <w:rPr>
                <w:rFonts w:asciiTheme="minorHAnsi" w:hAnsiTheme="minorHAnsi" w:cstheme="minorHAnsi"/>
                <w:sz w:val="22"/>
                <w:szCs w:val="22"/>
              </w:rPr>
            </w:pPr>
            <w:r>
              <w:rPr>
                <w:rFonts w:asciiTheme="minorHAnsi" w:hAnsiTheme="minorHAnsi" w:cstheme="minorHAnsi"/>
                <w:sz w:val="22"/>
                <w:szCs w:val="22"/>
              </w:rPr>
              <w:t xml:space="preserve">Alistair </w:t>
            </w:r>
            <w:r w:rsidR="00CC4E35">
              <w:rPr>
                <w:rFonts w:asciiTheme="minorHAnsi" w:hAnsiTheme="minorHAnsi" w:cstheme="minorHAnsi"/>
                <w:sz w:val="22"/>
                <w:szCs w:val="22"/>
              </w:rPr>
              <w:t>Wilson</w:t>
            </w:r>
          </w:p>
        </w:tc>
        <w:tc>
          <w:tcPr>
            <w:tcW w:w="3151" w:type="dxa"/>
          </w:tcPr>
          <w:p w14:paraId="74AF18A1" w14:textId="0E58B076" w:rsidR="009E6434" w:rsidRPr="00E46078" w:rsidRDefault="00CC4E35" w:rsidP="009E6434">
            <w:pPr>
              <w:spacing w:before="120" w:after="120"/>
              <w:rPr>
                <w:rFonts w:asciiTheme="minorHAnsi" w:hAnsiTheme="minorHAnsi" w:cstheme="minorHAnsi"/>
                <w:sz w:val="22"/>
                <w:szCs w:val="22"/>
              </w:rPr>
            </w:pPr>
            <w:r>
              <w:rPr>
                <w:rFonts w:asciiTheme="minorHAnsi" w:hAnsiTheme="minorHAnsi" w:cstheme="minorHAnsi"/>
                <w:sz w:val="22"/>
                <w:szCs w:val="22"/>
              </w:rPr>
              <w:t>Head of Financial Governance</w:t>
            </w:r>
          </w:p>
        </w:tc>
        <w:tc>
          <w:tcPr>
            <w:tcW w:w="2268" w:type="dxa"/>
            <w:shd w:val="clear" w:color="auto" w:fill="auto"/>
          </w:tcPr>
          <w:p w14:paraId="7C50BD90" w14:textId="67FA2051" w:rsidR="009E6434" w:rsidRPr="00E46078" w:rsidRDefault="00896345" w:rsidP="009E6434">
            <w:pPr>
              <w:spacing w:before="120" w:after="120"/>
              <w:rPr>
                <w:rFonts w:asciiTheme="minorHAnsi" w:hAnsiTheme="minorHAnsi" w:cstheme="minorHAnsi"/>
                <w:sz w:val="22"/>
                <w:szCs w:val="22"/>
              </w:rPr>
            </w:pPr>
            <w:r>
              <w:rPr>
                <w:rStyle w:val="wacimagecontainer"/>
                <w:rFonts w:ascii="Segoe UI" w:hAnsi="Segoe UI" w:cs="Segoe UI"/>
                <w:noProof/>
                <w:color w:val="000000"/>
                <w:sz w:val="18"/>
                <w:szCs w:val="18"/>
                <w:shd w:val="clear" w:color="auto" w:fill="FFFFFF"/>
              </w:rPr>
              <w:drawing>
                <wp:inline distT="0" distB="0" distL="0" distR="0" wp14:anchorId="3CCABBBB" wp14:editId="4FAD0C4D">
                  <wp:extent cx="1126540" cy="322669"/>
                  <wp:effectExtent l="0" t="0" r="0" b="1270"/>
                  <wp:docPr id="2" name="Picture 2"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6531" cy="325531"/>
                          </a:xfrm>
                          <a:prstGeom prst="rect">
                            <a:avLst/>
                          </a:prstGeom>
                          <a:noFill/>
                          <a:ln>
                            <a:noFill/>
                          </a:ln>
                        </pic:spPr>
                      </pic:pic>
                    </a:graphicData>
                  </a:graphic>
                </wp:inline>
              </w:drawing>
            </w:r>
          </w:p>
        </w:tc>
        <w:tc>
          <w:tcPr>
            <w:tcW w:w="2240" w:type="dxa"/>
            <w:shd w:val="clear" w:color="auto" w:fill="auto"/>
          </w:tcPr>
          <w:p w14:paraId="40853EDD" w14:textId="7878DC6C" w:rsidR="009E6434" w:rsidRPr="00E46078" w:rsidRDefault="00896345" w:rsidP="009E6434">
            <w:pPr>
              <w:spacing w:before="120" w:after="120"/>
              <w:rPr>
                <w:rFonts w:asciiTheme="minorHAnsi" w:hAnsiTheme="minorHAnsi" w:cstheme="minorHAnsi"/>
                <w:sz w:val="22"/>
                <w:szCs w:val="22"/>
              </w:rPr>
            </w:pPr>
            <w:r>
              <w:rPr>
                <w:rFonts w:asciiTheme="minorHAnsi" w:hAnsiTheme="minorHAnsi" w:cstheme="minorHAnsi"/>
                <w:sz w:val="22"/>
                <w:szCs w:val="22"/>
              </w:rPr>
              <w:t>15 August 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E01A2B">
        <w:tc>
          <w:tcPr>
            <w:tcW w:w="2514" w:type="dxa"/>
          </w:tcPr>
          <w:p w14:paraId="35F7184F" w14:textId="631C416C" w:rsidR="009E6434" w:rsidRPr="00E46078" w:rsidRDefault="00555098" w:rsidP="009E6434">
            <w:pPr>
              <w:spacing w:before="120" w:after="120"/>
              <w:rPr>
                <w:rFonts w:asciiTheme="minorHAnsi" w:hAnsiTheme="minorHAnsi" w:cstheme="minorHAnsi"/>
                <w:sz w:val="22"/>
                <w:szCs w:val="22"/>
              </w:rPr>
            </w:pPr>
            <w:r>
              <w:rPr>
                <w:rFonts w:asciiTheme="minorHAnsi" w:hAnsiTheme="minorHAnsi" w:cstheme="minorHAnsi"/>
                <w:sz w:val="22"/>
                <w:szCs w:val="22"/>
              </w:rPr>
              <w:t>Ronan O’Doherty</w:t>
            </w:r>
          </w:p>
        </w:tc>
        <w:tc>
          <w:tcPr>
            <w:tcW w:w="3151" w:type="dxa"/>
          </w:tcPr>
          <w:p w14:paraId="636C63E4" w14:textId="56FD4545" w:rsidR="009E6434" w:rsidRPr="00E46078" w:rsidRDefault="00555098" w:rsidP="009E6434">
            <w:pPr>
              <w:spacing w:before="120" w:after="120"/>
              <w:rPr>
                <w:rFonts w:asciiTheme="minorHAnsi" w:hAnsiTheme="minorHAnsi" w:cstheme="minorHAnsi"/>
                <w:sz w:val="22"/>
                <w:szCs w:val="22"/>
              </w:rPr>
            </w:pPr>
            <w:r>
              <w:rPr>
                <w:rFonts w:asciiTheme="minorHAnsi" w:hAnsiTheme="minorHAnsi" w:cstheme="minorHAnsi"/>
                <w:sz w:val="22"/>
                <w:szCs w:val="22"/>
              </w:rPr>
              <w:t>C</w:t>
            </w:r>
            <w:r w:rsidR="00AB7D78">
              <w:rPr>
                <w:rFonts w:asciiTheme="minorHAnsi" w:hAnsiTheme="minorHAnsi" w:cstheme="minorHAnsi"/>
                <w:sz w:val="22"/>
                <w:szCs w:val="22"/>
              </w:rPr>
              <w:t xml:space="preserve">hief Financial </w:t>
            </w:r>
            <w:r>
              <w:rPr>
                <w:rFonts w:asciiTheme="minorHAnsi" w:hAnsiTheme="minorHAnsi" w:cstheme="minorHAnsi"/>
                <w:sz w:val="22"/>
                <w:szCs w:val="22"/>
              </w:rPr>
              <w:t>O</w:t>
            </w:r>
            <w:r w:rsidR="00AB7D78">
              <w:rPr>
                <w:rFonts w:asciiTheme="minorHAnsi" w:hAnsiTheme="minorHAnsi" w:cstheme="minorHAnsi"/>
                <w:sz w:val="22"/>
                <w:szCs w:val="22"/>
              </w:rPr>
              <w:t>fficer</w:t>
            </w:r>
          </w:p>
        </w:tc>
        <w:tc>
          <w:tcPr>
            <w:tcW w:w="2268" w:type="dxa"/>
            <w:shd w:val="clear" w:color="auto" w:fill="auto"/>
          </w:tcPr>
          <w:p w14:paraId="50410FD2" w14:textId="37DB038C" w:rsidR="009E6434" w:rsidRPr="00E46078" w:rsidRDefault="00E01A2B" w:rsidP="009E6434">
            <w:pPr>
              <w:spacing w:before="120" w:after="120"/>
              <w:rPr>
                <w:rFonts w:asciiTheme="minorHAnsi" w:hAnsiTheme="minorHAnsi" w:cstheme="minorHAnsi"/>
                <w:sz w:val="22"/>
                <w:szCs w:val="22"/>
              </w:rPr>
            </w:pPr>
            <w:r>
              <w:rPr>
                <w:noProof/>
              </w:rPr>
              <w:drawing>
                <wp:inline distT="0" distB="0" distL="0" distR="0" wp14:anchorId="6823E0C2" wp14:editId="43725695">
                  <wp:extent cx="1219196" cy="495303"/>
                  <wp:effectExtent l="0" t="0" r="4" b="0"/>
                  <wp:docPr id="491563408" name="Picture 5"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219196" cy="495303"/>
                          </a:xfrm>
                          <a:prstGeom prst="rect">
                            <a:avLst/>
                          </a:prstGeom>
                          <a:noFill/>
                          <a:ln>
                            <a:noFill/>
                            <a:prstDash/>
                          </a:ln>
                        </pic:spPr>
                      </pic:pic>
                    </a:graphicData>
                  </a:graphic>
                </wp:inline>
              </w:drawing>
            </w:r>
          </w:p>
        </w:tc>
        <w:tc>
          <w:tcPr>
            <w:tcW w:w="2240" w:type="dxa"/>
            <w:shd w:val="clear" w:color="auto" w:fill="auto"/>
          </w:tcPr>
          <w:p w14:paraId="6B08DE01" w14:textId="600F5F74" w:rsidR="009E6434" w:rsidRPr="00E46078" w:rsidRDefault="00E01A2B" w:rsidP="009E6434">
            <w:pPr>
              <w:spacing w:before="120" w:after="120"/>
              <w:rPr>
                <w:rFonts w:asciiTheme="minorHAnsi" w:hAnsiTheme="minorHAnsi" w:cstheme="minorHAnsi"/>
                <w:sz w:val="22"/>
                <w:szCs w:val="22"/>
              </w:rPr>
            </w:pPr>
            <w:r>
              <w:rPr>
                <w:rFonts w:asciiTheme="minorHAnsi" w:hAnsiTheme="minorHAnsi" w:cstheme="minorHAnsi"/>
                <w:sz w:val="22"/>
                <w:szCs w:val="22"/>
              </w:rPr>
              <w:t>12 November 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Default="000B0B1F" w:rsidP="00E91D60">
      <w:pPr>
        <w:rPr>
          <w:rFonts w:asciiTheme="minorHAnsi" w:hAnsiTheme="minorHAnsi" w:cstheme="minorHAnsi"/>
          <w:sz w:val="22"/>
          <w:szCs w:val="22"/>
        </w:rPr>
      </w:pPr>
    </w:p>
    <w:p w14:paraId="253D9655" w14:textId="77777777" w:rsidR="00D062DB" w:rsidRDefault="00D062DB" w:rsidP="00E91D60">
      <w:pPr>
        <w:rPr>
          <w:rFonts w:asciiTheme="minorHAnsi" w:hAnsiTheme="minorHAnsi" w:cstheme="minorHAnsi"/>
          <w:sz w:val="22"/>
          <w:szCs w:val="22"/>
        </w:rPr>
      </w:pPr>
    </w:p>
    <w:p w14:paraId="5A6F9AF4" w14:textId="77777777" w:rsidR="00D062DB" w:rsidRDefault="00D062DB" w:rsidP="00E91D60">
      <w:pPr>
        <w:rPr>
          <w:rFonts w:asciiTheme="minorHAnsi" w:hAnsiTheme="minorHAnsi" w:cstheme="minorHAnsi"/>
          <w:sz w:val="22"/>
          <w:szCs w:val="22"/>
        </w:rPr>
      </w:pPr>
    </w:p>
    <w:p w14:paraId="1D74341E" w14:textId="77777777" w:rsidR="00D062DB" w:rsidRDefault="00D062DB" w:rsidP="00E91D60">
      <w:pPr>
        <w:rPr>
          <w:rFonts w:asciiTheme="minorHAnsi" w:hAnsiTheme="minorHAnsi" w:cstheme="minorHAnsi"/>
          <w:sz w:val="22"/>
          <w:szCs w:val="22"/>
        </w:rPr>
      </w:pPr>
    </w:p>
    <w:p w14:paraId="36E555D6" w14:textId="77777777" w:rsidR="00D062DB" w:rsidRPr="00E46078" w:rsidRDefault="00D062DB"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FC53209" w14:textId="779E514A" w:rsidR="00A64A1B" w:rsidRPr="00E46078" w:rsidRDefault="00A64A1B" w:rsidP="5EF3A4AE">
      <w:pPr>
        <w:rPr>
          <w:rFonts w:asciiTheme="minorHAnsi" w:hAnsiTheme="minorHAnsi" w:cstheme="minorBid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lastRenderedPageBreak/>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032EAE"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032EAE"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032EAE"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032EAE"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032EAE"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0B83F8A3" w14:textId="714A7412" w:rsidR="007C50C0" w:rsidRDefault="00DB2A7C" w:rsidP="00DB2A7C">
      <w:pPr>
        <w:tabs>
          <w:tab w:val="left" w:pos="2180"/>
        </w:tabs>
        <w:rPr>
          <w:rFonts w:asciiTheme="minorHAnsi" w:hAnsiTheme="minorHAnsi" w:cstheme="minorHAnsi"/>
          <w:b/>
          <w:bCs/>
          <w:sz w:val="32"/>
          <w:szCs w:val="32"/>
        </w:rPr>
      </w:pPr>
      <w:r>
        <w:rPr>
          <w:rFonts w:asciiTheme="minorHAnsi" w:hAnsiTheme="minorHAnsi" w:cstheme="minorHAnsi"/>
          <w:sz w:val="22"/>
          <w:szCs w:val="22"/>
        </w:rPr>
        <w:tab/>
      </w:r>
      <w:r w:rsidR="00D66D0F" w:rsidRPr="00D66D0F">
        <w:rPr>
          <w:rFonts w:asciiTheme="minorHAnsi" w:hAnsiTheme="minorHAnsi" w:cstheme="minorHAnsi"/>
          <w:b/>
          <w:bCs/>
          <w:sz w:val="32"/>
          <w:szCs w:val="32"/>
        </w:rPr>
        <w:t>Appendix 2</w:t>
      </w:r>
    </w:p>
    <w:p w14:paraId="50EA3728" w14:textId="77777777" w:rsidR="00494D1B" w:rsidRPr="00D66D0F" w:rsidRDefault="00494D1B" w:rsidP="00DB2A7C">
      <w:pPr>
        <w:tabs>
          <w:tab w:val="left" w:pos="2180"/>
        </w:tabs>
        <w:rPr>
          <w:rFonts w:asciiTheme="minorHAnsi" w:hAnsiTheme="minorHAnsi" w:cstheme="minorHAnsi"/>
          <w:b/>
          <w:bCs/>
          <w:sz w:val="22"/>
          <w:szCs w:val="22"/>
        </w:rPr>
      </w:pPr>
    </w:p>
    <w:tbl>
      <w:tblPr>
        <w:tblStyle w:val="TableGrid"/>
        <w:tblW w:w="9053" w:type="dxa"/>
        <w:tblLook w:val="04A0" w:firstRow="1" w:lastRow="0" w:firstColumn="1" w:lastColumn="0" w:noHBand="0" w:noVBand="1"/>
      </w:tblPr>
      <w:tblGrid>
        <w:gridCol w:w="2254"/>
        <w:gridCol w:w="4545"/>
        <w:gridCol w:w="2254"/>
      </w:tblGrid>
      <w:tr w:rsidR="00494D1B" w14:paraId="1F1832BE" w14:textId="77777777" w:rsidTr="005E5EC0">
        <w:tc>
          <w:tcPr>
            <w:tcW w:w="2254" w:type="dxa"/>
            <w:shd w:val="clear" w:color="auto" w:fill="D9D9D9" w:themeFill="background1" w:themeFillShade="D9"/>
          </w:tcPr>
          <w:p w14:paraId="5CE28407" w14:textId="77777777" w:rsidR="00494D1B" w:rsidRPr="00CC137B" w:rsidRDefault="00494D1B" w:rsidP="005E5EC0">
            <w:pPr>
              <w:rPr>
                <w:b/>
                <w:bCs/>
                <w:sz w:val="22"/>
                <w:szCs w:val="22"/>
              </w:rPr>
            </w:pPr>
            <w:r w:rsidRPr="00CC137B">
              <w:rPr>
                <w:b/>
                <w:bCs/>
                <w:sz w:val="22"/>
                <w:szCs w:val="22"/>
              </w:rPr>
              <w:t>Section</w:t>
            </w:r>
          </w:p>
        </w:tc>
        <w:tc>
          <w:tcPr>
            <w:tcW w:w="4545" w:type="dxa"/>
            <w:shd w:val="clear" w:color="auto" w:fill="D9D9D9" w:themeFill="background1" w:themeFillShade="D9"/>
          </w:tcPr>
          <w:p w14:paraId="78EFF953" w14:textId="77777777" w:rsidR="00494D1B" w:rsidRPr="00CC137B" w:rsidRDefault="00494D1B" w:rsidP="005E5EC0">
            <w:pPr>
              <w:rPr>
                <w:b/>
                <w:bCs/>
                <w:sz w:val="22"/>
                <w:szCs w:val="22"/>
              </w:rPr>
            </w:pPr>
            <w:r w:rsidRPr="00CC137B">
              <w:rPr>
                <w:b/>
                <w:bCs/>
                <w:sz w:val="22"/>
                <w:szCs w:val="22"/>
              </w:rPr>
              <w:t>Additional wording</w:t>
            </w:r>
          </w:p>
        </w:tc>
        <w:tc>
          <w:tcPr>
            <w:tcW w:w="2254" w:type="dxa"/>
            <w:shd w:val="clear" w:color="auto" w:fill="D9D9D9" w:themeFill="background1" w:themeFillShade="D9"/>
          </w:tcPr>
          <w:p w14:paraId="293CDDDD" w14:textId="77777777" w:rsidR="00494D1B" w:rsidRPr="00CC137B" w:rsidRDefault="00494D1B" w:rsidP="005E5EC0">
            <w:pPr>
              <w:rPr>
                <w:b/>
                <w:bCs/>
                <w:sz w:val="22"/>
                <w:szCs w:val="22"/>
              </w:rPr>
            </w:pPr>
            <w:r w:rsidRPr="00CC137B">
              <w:rPr>
                <w:b/>
                <w:bCs/>
                <w:sz w:val="22"/>
                <w:szCs w:val="22"/>
              </w:rPr>
              <w:t>Comments</w:t>
            </w:r>
          </w:p>
        </w:tc>
      </w:tr>
      <w:tr w:rsidR="00494D1B" w:rsidRPr="00494D1B" w14:paraId="7BF7FB7B" w14:textId="77777777" w:rsidTr="005E5EC0">
        <w:tc>
          <w:tcPr>
            <w:tcW w:w="2254" w:type="dxa"/>
          </w:tcPr>
          <w:p w14:paraId="7E5F5320" w14:textId="77777777" w:rsidR="00494D1B" w:rsidRPr="00494D1B" w:rsidRDefault="00494D1B" w:rsidP="005E5EC0">
            <w:pPr>
              <w:rPr>
                <w:sz w:val="20"/>
              </w:rPr>
            </w:pPr>
            <w:r w:rsidRPr="00494D1B">
              <w:rPr>
                <w:sz w:val="20"/>
              </w:rPr>
              <w:t>Introduction</w:t>
            </w:r>
          </w:p>
        </w:tc>
        <w:tc>
          <w:tcPr>
            <w:tcW w:w="4545" w:type="dxa"/>
          </w:tcPr>
          <w:p w14:paraId="2A04E3FE" w14:textId="77777777" w:rsidR="00494D1B" w:rsidRPr="00494D1B" w:rsidRDefault="00494D1B" w:rsidP="005E5EC0">
            <w:pPr>
              <w:tabs>
                <w:tab w:val="left" w:pos="1189"/>
              </w:tabs>
              <w:ind w:right="37"/>
              <w:rPr>
                <w:sz w:val="20"/>
              </w:rPr>
            </w:pPr>
            <w:r w:rsidRPr="00494D1B">
              <w:rPr>
                <w:sz w:val="20"/>
              </w:rPr>
              <w:t>The public expects the conduct of Translink employees to be above reasonable reproach.   A useful test is “could this course of action be satisfactorily defended in public?”</w:t>
            </w:r>
          </w:p>
          <w:p w14:paraId="18AB5A5F" w14:textId="77777777" w:rsidR="00494D1B" w:rsidRPr="00494D1B" w:rsidRDefault="00494D1B" w:rsidP="005E5EC0">
            <w:pPr>
              <w:rPr>
                <w:sz w:val="20"/>
              </w:rPr>
            </w:pPr>
          </w:p>
        </w:tc>
        <w:tc>
          <w:tcPr>
            <w:tcW w:w="2254" w:type="dxa"/>
          </w:tcPr>
          <w:p w14:paraId="00B6B2DA" w14:textId="77777777" w:rsidR="00494D1B" w:rsidRPr="00494D1B" w:rsidRDefault="00494D1B" w:rsidP="005E5EC0">
            <w:pPr>
              <w:rPr>
                <w:sz w:val="20"/>
              </w:rPr>
            </w:pPr>
            <w:r w:rsidRPr="00494D1B">
              <w:rPr>
                <w:sz w:val="20"/>
              </w:rPr>
              <w:t>Source Finance Bulletin</w:t>
            </w:r>
          </w:p>
        </w:tc>
      </w:tr>
      <w:tr w:rsidR="00494D1B" w:rsidRPr="00494D1B" w14:paraId="7D22F5F8" w14:textId="77777777" w:rsidTr="005E5EC0">
        <w:tc>
          <w:tcPr>
            <w:tcW w:w="2254" w:type="dxa"/>
          </w:tcPr>
          <w:p w14:paraId="737796EA" w14:textId="77777777" w:rsidR="00494D1B" w:rsidRPr="00494D1B" w:rsidRDefault="00494D1B" w:rsidP="005E5EC0">
            <w:pPr>
              <w:rPr>
                <w:sz w:val="20"/>
              </w:rPr>
            </w:pPr>
            <w:r w:rsidRPr="00494D1B">
              <w:rPr>
                <w:sz w:val="20"/>
              </w:rPr>
              <w:t>Introduction</w:t>
            </w:r>
          </w:p>
        </w:tc>
        <w:tc>
          <w:tcPr>
            <w:tcW w:w="4545" w:type="dxa"/>
          </w:tcPr>
          <w:p w14:paraId="4DE596B4" w14:textId="77777777" w:rsidR="00494D1B" w:rsidRPr="00494D1B" w:rsidRDefault="00494D1B" w:rsidP="005E5EC0">
            <w:pPr>
              <w:tabs>
                <w:tab w:val="left" w:pos="1189"/>
              </w:tabs>
              <w:ind w:right="37"/>
              <w:rPr>
                <w:sz w:val="20"/>
              </w:rPr>
            </w:pPr>
            <w:r w:rsidRPr="00494D1B">
              <w:rPr>
                <w:sz w:val="20"/>
              </w:rPr>
              <w:t xml:space="preserve">In updating this policy, </w:t>
            </w:r>
            <w:bookmarkStart w:id="6" w:name="_Hlk84336455"/>
            <w:r w:rsidRPr="00494D1B">
              <w:rPr>
                <w:sz w:val="20"/>
              </w:rPr>
              <w:t>the guidance contained in Finance Bulletin 02/10 ‘Guidance on The Acceptance And Provision Of Gifts And Hospitality’ (as amended 10 July 2019), issued by the Department of Finance</w:t>
            </w:r>
            <w:bookmarkEnd w:id="6"/>
            <w:r w:rsidRPr="00494D1B">
              <w:rPr>
                <w:sz w:val="20"/>
              </w:rPr>
              <w:t xml:space="preserve"> has been taken into consideration.</w:t>
            </w:r>
          </w:p>
          <w:p w14:paraId="7BD34F6E" w14:textId="77777777" w:rsidR="00494D1B" w:rsidRPr="00494D1B" w:rsidRDefault="00494D1B" w:rsidP="005E5EC0">
            <w:pPr>
              <w:rPr>
                <w:sz w:val="20"/>
              </w:rPr>
            </w:pPr>
          </w:p>
        </w:tc>
        <w:tc>
          <w:tcPr>
            <w:tcW w:w="2254" w:type="dxa"/>
          </w:tcPr>
          <w:p w14:paraId="749B1935" w14:textId="77777777" w:rsidR="00494D1B" w:rsidRPr="00494D1B" w:rsidRDefault="00494D1B" w:rsidP="005E5EC0">
            <w:pPr>
              <w:rPr>
                <w:sz w:val="20"/>
              </w:rPr>
            </w:pPr>
            <w:r w:rsidRPr="00494D1B">
              <w:rPr>
                <w:sz w:val="20"/>
              </w:rPr>
              <w:t>Source Finance Bulletin</w:t>
            </w:r>
          </w:p>
        </w:tc>
      </w:tr>
      <w:tr w:rsidR="00494D1B" w:rsidRPr="00494D1B" w14:paraId="7978B1F7" w14:textId="77777777" w:rsidTr="005E5EC0">
        <w:tc>
          <w:tcPr>
            <w:tcW w:w="2254" w:type="dxa"/>
          </w:tcPr>
          <w:p w14:paraId="414324B4" w14:textId="77777777" w:rsidR="00494D1B" w:rsidRPr="00494D1B" w:rsidRDefault="00494D1B" w:rsidP="005E5EC0">
            <w:pPr>
              <w:rPr>
                <w:sz w:val="20"/>
              </w:rPr>
            </w:pPr>
            <w:r w:rsidRPr="00494D1B">
              <w:rPr>
                <w:sz w:val="20"/>
              </w:rPr>
              <w:t>Policy Aims</w:t>
            </w:r>
          </w:p>
        </w:tc>
        <w:tc>
          <w:tcPr>
            <w:tcW w:w="4545" w:type="dxa"/>
          </w:tcPr>
          <w:p w14:paraId="47E3DFBD" w14:textId="77777777" w:rsidR="00494D1B" w:rsidRPr="00494D1B" w:rsidRDefault="00494D1B" w:rsidP="005E5EC0">
            <w:pPr>
              <w:tabs>
                <w:tab w:val="left" w:pos="1189"/>
              </w:tabs>
              <w:ind w:right="37"/>
              <w:rPr>
                <w:sz w:val="20"/>
              </w:rPr>
            </w:pPr>
            <w:r w:rsidRPr="00494D1B">
              <w:rPr>
                <w:sz w:val="20"/>
              </w:rPr>
              <w:t>The purpose of this Policy is to set out:</w:t>
            </w:r>
          </w:p>
          <w:p w14:paraId="0C0B210B" w14:textId="77777777" w:rsidR="00494D1B" w:rsidRPr="00494D1B" w:rsidRDefault="00494D1B" w:rsidP="00494D1B">
            <w:pPr>
              <w:pStyle w:val="ListParagraph"/>
              <w:widowControl w:val="0"/>
              <w:numPr>
                <w:ilvl w:val="0"/>
                <w:numId w:val="18"/>
              </w:numPr>
              <w:tabs>
                <w:tab w:val="left" w:pos="1189"/>
              </w:tabs>
              <w:autoSpaceDE w:val="0"/>
              <w:autoSpaceDN w:val="0"/>
              <w:ind w:right="37"/>
              <w:jc w:val="both"/>
              <w:rPr>
                <w:rFonts w:eastAsiaTheme="minorHAnsi"/>
                <w:sz w:val="20"/>
              </w:rPr>
            </w:pPr>
            <w:r w:rsidRPr="00494D1B">
              <w:rPr>
                <w:rFonts w:eastAsiaTheme="minorHAnsi"/>
                <w:sz w:val="20"/>
              </w:rPr>
              <w:t xml:space="preserve">the appropriate procedures to be followed in the acceptance and provision of gifts and hospitality by employees and what to do if an employee is concerned about an offer made to them in the course of their </w:t>
            </w:r>
            <w:proofErr w:type="gramStart"/>
            <w:r w:rsidRPr="00494D1B">
              <w:rPr>
                <w:rFonts w:eastAsiaTheme="minorHAnsi"/>
                <w:sz w:val="20"/>
              </w:rPr>
              <w:t>employment;</w:t>
            </w:r>
            <w:proofErr w:type="gramEnd"/>
          </w:p>
          <w:p w14:paraId="21FF4C22" w14:textId="77777777" w:rsidR="00494D1B" w:rsidRPr="00494D1B" w:rsidRDefault="00494D1B" w:rsidP="00494D1B">
            <w:pPr>
              <w:pStyle w:val="ListParagraph"/>
              <w:widowControl w:val="0"/>
              <w:numPr>
                <w:ilvl w:val="0"/>
                <w:numId w:val="18"/>
              </w:numPr>
              <w:tabs>
                <w:tab w:val="left" w:pos="1189"/>
              </w:tabs>
              <w:autoSpaceDE w:val="0"/>
              <w:autoSpaceDN w:val="0"/>
              <w:ind w:right="37"/>
              <w:jc w:val="both"/>
              <w:rPr>
                <w:sz w:val="20"/>
              </w:rPr>
            </w:pPr>
            <w:r w:rsidRPr="00494D1B">
              <w:rPr>
                <w:sz w:val="20"/>
              </w:rPr>
              <w:t>the ethical framework for decision making in relation to provision and acceptance</w:t>
            </w:r>
          </w:p>
        </w:tc>
        <w:tc>
          <w:tcPr>
            <w:tcW w:w="2254" w:type="dxa"/>
          </w:tcPr>
          <w:p w14:paraId="5A188379" w14:textId="77777777" w:rsidR="00494D1B" w:rsidRPr="00494D1B" w:rsidRDefault="00494D1B" w:rsidP="005E5EC0">
            <w:pPr>
              <w:rPr>
                <w:sz w:val="20"/>
              </w:rPr>
            </w:pPr>
            <w:r w:rsidRPr="00494D1B">
              <w:rPr>
                <w:sz w:val="20"/>
              </w:rPr>
              <w:t>Source Finance Bulletin</w:t>
            </w:r>
          </w:p>
        </w:tc>
      </w:tr>
      <w:tr w:rsidR="00494D1B" w:rsidRPr="00494D1B" w14:paraId="1D3CC518" w14:textId="77777777" w:rsidTr="005E5EC0">
        <w:tc>
          <w:tcPr>
            <w:tcW w:w="2254" w:type="dxa"/>
          </w:tcPr>
          <w:p w14:paraId="265037FC" w14:textId="77777777" w:rsidR="00494D1B" w:rsidRPr="00494D1B" w:rsidRDefault="00494D1B" w:rsidP="005E5EC0">
            <w:pPr>
              <w:rPr>
                <w:sz w:val="20"/>
              </w:rPr>
            </w:pPr>
            <w:r w:rsidRPr="00494D1B">
              <w:rPr>
                <w:sz w:val="20"/>
              </w:rPr>
              <w:t>Hospitality</w:t>
            </w:r>
          </w:p>
        </w:tc>
        <w:tc>
          <w:tcPr>
            <w:tcW w:w="4545" w:type="dxa"/>
          </w:tcPr>
          <w:p w14:paraId="6E807DB5" w14:textId="77777777" w:rsidR="00494D1B" w:rsidRPr="00494D1B" w:rsidRDefault="00494D1B" w:rsidP="005E5EC0">
            <w:pPr>
              <w:tabs>
                <w:tab w:val="left" w:pos="1189"/>
              </w:tabs>
              <w:ind w:right="37"/>
              <w:rPr>
                <w:sz w:val="20"/>
              </w:rPr>
            </w:pPr>
            <w:r w:rsidRPr="00494D1B">
              <w:rPr>
                <w:sz w:val="20"/>
              </w:rPr>
              <w:t>The provision of hospitality by Translink both internally or to representatives of other organisations should be modest and appropriate to the circumstances. In all instances, the expenditure involved must be in the direct interest of Translink and constitute good value for money.</w:t>
            </w:r>
          </w:p>
          <w:p w14:paraId="52638DAD" w14:textId="77777777" w:rsidR="00494D1B" w:rsidRPr="00494D1B" w:rsidRDefault="00494D1B" w:rsidP="005E5EC0">
            <w:pPr>
              <w:rPr>
                <w:sz w:val="20"/>
              </w:rPr>
            </w:pPr>
          </w:p>
        </w:tc>
        <w:tc>
          <w:tcPr>
            <w:tcW w:w="2254" w:type="dxa"/>
          </w:tcPr>
          <w:p w14:paraId="503F08AD" w14:textId="77777777" w:rsidR="00494D1B" w:rsidRPr="00494D1B" w:rsidRDefault="00494D1B" w:rsidP="005E5EC0">
            <w:pPr>
              <w:rPr>
                <w:sz w:val="20"/>
              </w:rPr>
            </w:pPr>
            <w:r w:rsidRPr="00494D1B">
              <w:rPr>
                <w:sz w:val="20"/>
              </w:rPr>
              <w:t>Source Finance Bulletin</w:t>
            </w:r>
          </w:p>
        </w:tc>
      </w:tr>
      <w:tr w:rsidR="00494D1B" w:rsidRPr="00494D1B" w14:paraId="79E312F7" w14:textId="77777777" w:rsidTr="005E5EC0">
        <w:tc>
          <w:tcPr>
            <w:tcW w:w="2254" w:type="dxa"/>
          </w:tcPr>
          <w:p w14:paraId="3F61E0F1" w14:textId="77777777" w:rsidR="00494D1B" w:rsidRPr="00494D1B" w:rsidRDefault="00494D1B" w:rsidP="005E5EC0">
            <w:pPr>
              <w:rPr>
                <w:sz w:val="20"/>
              </w:rPr>
            </w:pPr>
            <w:r w:rsidRPr="00494D1B">
              <w:rPr>
                <w:sz w:val="20"/>
              </w:rPr>
              <w:t>Accounting for Gifts and Hospitality Provided (new section)</w:t>
            </w:r>
          </w:p>
        </w:tc>
        <w:tc>
          <w:tcPr>
            <w:tcW w:w="4545" w:type="dxa"/>
          </w:tcPr>
          <w:p w14:paraId="28FF525F" w14:textId="77777777" w:rsidR="00494D1B" w:rsidRPr="00494D1B" w:rsidRDefault="00494D1B" w:rsidP="005E5EC0">
            <w:pPr>
              <w:tabs>
                <w:tab w:val="left" w:pos="1189"/>
              </w:tabs>
              <w:ind w:right="37"/>
              <w:rPr>
                <w:sz w:val="20"/>
              </w:rPr>
            </w:pPr>
            <w:r w:rsidRPr="00494D1B">
              <w:rPr>
                <w:sz w:val="20"/>
              </w:rPr>
              <w:t>All expenditure incurred on gifts and hospitality must be clearly identified as such.  It is not permissible to obscure the purpose of the expenditure on hospitality by subsuming such expenditure within other expense codes.</w:t>
            </w:r>
          </w:p>
          <w:p w14:paraId="6607D1AA" w14:textId="77777777" w:rsidR="00494D1B" w:rsidRPr="00494D1B" w:rsidRDefault="00494D1B" w:rsidP="005E5EC0">
            <w:pPr>
              <w:rPr>
                <w:sz w:val="20"/>
              </w:rPr>
            </w:pPr>
          </w:p>
        </w:tc>
        <w:tc>
          <w:tcPr>
            <w:tcW w:w="2254" w:type="dxa"/>
          </w:tcPr>
          <w:p w14:paraId="550347B7" w14:textId="77777777" w:rsidR="00494D1B" w:rsidRPr="00494D1B" w:rsidRDefault="00494D1B" w:rsidP="005E5EC0">
            <w:pPr>
              <w:rPr>
                <w:sz w:val="20"/>
              </w:rPr>
            </w:pPr>
            <w:r w:rsidRPr="00494D1B">
              <w:rPr>
                <w:sz w:val="20"/>
              </w:rPr>
              <w:t>Source Finance Bulletin</w:t>
            </w:r>
          </w:p>
        </w:tc>
      </w:tr>
    </w:tbl>
    <w:p w14:paraId="175B859E" w14:textId="77777777" w:rsidR="00494D1B" w:rsidRPr="00494D1B" w:rsidRDefault="00494D1B" w:rsidP="00494D1B">
      <w:pPr>
        <w:rPr>
          <w:sz w:val="22"/>
          <w:szCs w:val="22"/>
        </w:rPr>
      </w:pPr>
    </w:p>
    <w:p w14:paraId="2D21C9DA" w14:textId="77777777" w:rsidR="00494D1B" w:rsidRPr="00494D1B" w:rsidRDefault="00494D1B" w:rsidP="00494D1B">
      <w:pPr>
        <w:rPr>
          <w:sz w:val="22"/>
          <w:szCs w:val="22"/>
          <w:u w:val="single"/>
        </w:rPr>
      </w:pPr>
      <w:r w:rsidRPr="00494D1B">
        <w:rPr>
          <w:sz w:val="22"/>
          <w:szCs w:val="22"/>
          <w:u w:val="single"/>
        </w:rPr>
        <w:t xml:space="preserve">2 Deletions </w:t>
      </w:r>
    </w:p>
    <w:p w14:paraId="044986AB" w14:textId="77777777" w:rsidR="00494D1B" w:rsidRPr="00494D1B" w:rsidRDefault="00494D1B" w:rsidP="00494D1B">
      <w:pPr>
        <w:rPr>
          <w:b/>
          <w:bCs/>
          <w:sz w:val="22"/>
          <w:szCs w:val="22"/>
        </w:rPr>
      </w:pPr>
    </w:p>
    <w:tbl>
      <w:tblPr>
        <w:tblStyle w:val="TableGrid"/>
        <w:tblW w:w="9053" w:type="dxa"/>
        <w:tblLook w:val="04A0" w:firstRow="1" w:lastRow="0" w:firstColumn="1" w:lastColumn="0" w:noHBand="0" w:noVBand="1"/>
      </w:tblPr>
      <w:tblGrid>
        <w:gridCol w:w="2254"/>
        <w:gridCol w:w="4545"/>
        <w:gridCol w:w="2254"/>
      </w:tblGrid>
      <w:tr w:rsidR="00494D1B" w:rsidRPr="00494D1B" w14:paraId="2A41C371" w14:textId="77777777" w:rsidTr="005E5EC0">
        <w:tc>
          <w:tcPr>
            <w:tcW w:w="2254" w:type="dxa"/>
            <w:shd w:val="clear" w:color="auto" w:fill="D9D9D9" w:themeFill="background1" w:themeFillShade="D9"/>
          </w:tcPr>
          <w:p w14:paraId="13BFF2C4" w14:textId="77777777" w:rsidR="00494D1B" w:rsidRPr="00494D1B" w:rsidRDefault="00494D1B" w:rsidP="005E5EC0">
            <w:pPr>
              <w:rPr>
                <w:b/>
                <w:bCs/>
                <w:sz w:val="22"/>
                <w:szCs w:val="22"/>
              </w:rPr>
            </w:pPr>
            <w:r w:rsidRPr="00494D1B">
              <w:rPr>
                <w:b/>
                <w:bCs/>
                <w:sz w:val="22"/>
                <w:szCs w:val="22"/>
              </w:rPr>
              <w:t>Section</w:t>
            </w:r>
          </w:p>
        </w:tc>
        <w:tc>
          <w:tcPr>
            <w:tcW w:w="4545" w:type="dxa"/>
            <w:shd w:val="clear" w:color="auto" w:fill="D9D9D9" w:themeFill="background1" w:themeFillShade="D9"/>
          </w:tcPr>
          <w:p w14:paraId="45D0F5DC" w14:textId="77777777" w:rsidR="00494D1B" w:rsidRPr="00494D1B" w:rsidRDefault="00494D1B" w:rsidP="005E5EC0">
            <w:pPr>
              <w:rPr>
                <w:b/>
                <w:bCs/>
                <w:sz w:val="22"/>
                <w:szCs w:val="22"/>
              </w:rPr>
            </w:pPr>
            <w:r w:rsidRPr="00494D1B">
              <w:rPr>
                <w:b/>
                <w:bCs/>
                <w:sz w:val="22"/>
                <w:szCs w:val="22"/>
              </w:rPr>
              <w:t>Deleted wording</w:t>
            </w:r>
          </w:p>
        </w:tc>
        <w:tc>
          <w:tcPr>
            <w:tcW w:w="2254" w:type="dxa"/>
            <w:shd w:val="clear" w:color="auto" w:fill="D9D9D9" w:themeFill="background1" w:themeFillShade="D9"/>
          </w:tcPr>
          <w:p w14:paraId="7C74DCA6" w14:textId="77777777" w:rsidR="00494D1B" w:rsidRPr="00494D1B" w:rsidRDefault="00494D1B" w:rsidP="005E5EC0">
            <w:pPr>
              <w:rPr>
                <w:b/>
                <w:bCs/>
                <w:sz w:val="22"/>
                <w:szCs w:val="22"/>
              </w:rPr>
            </w:pPr>
            <w:r w:rsidRPr="00494D1B">
              <w:rPr>
                <w:b/>
                <w:bCs/>
                <w:sz w:val="22"/>
                <w:szCs w:val="22"/>
              </w:rPr>
              <w:t>Comments</w:t>
            </w:r>
          </w:p>
        </w:tc>
      </w:tr>
      <w:tr w:rsidR="00494D1B" w:rsidRPr="00494D1B" w14:paraId="7F276796" w14:textId="77777777" w:rsidTr="005E5EC0">
        <w:tc>
          <w:tcPr>
            <w:tcW w:w="2254" w:type="dxa"/>
          </w:tcPr>
          <w:p w14:paraId="37F398B3" w14:textId="77777777" w:rsidR="00494D1B" w:rsidRPr="00494D1B" w:rsidRDefault="00494D1B" w:rsidP="005E5EC0">
            <w:pPr>
              <w:rPr>
                <w:sz w:val="20"/>
              </w:rPr>
            </w:pPr>
            <w:r w:rsidRPr="00494D1B">
              <w:rPr>
                <w:sz w:val="20"/>
              </w:rPr>
              <w:t>Scope</w:t>
            </w:r>
          </w:p>
        </w:tc>
        <w:tc>
          <w:tcPr>
            <w:tcW w:w="4545" w:type="dxa"/>
          </w:tcPr>
          <w:p w14:paraId="1735CBEB" w14:textId="77777777" w:rsidR="00494D1B" w:rsidRPr="00494D1B" w:rsidRDefault="00494D1B" w:rsidP="005E5EC0">
            <w:pPr>
              <w:tabs>
                <w:tab w:val="left" w:pos="1189"/>
              </w:tabs>
              <w:ind w:right="37"/>
              <w:rPr>
                <w:sz w:val="20"/>
              </w:rPr>
            </w:pPr>
            <w:r w:rsidRPr="00494D1B">
              <w:rPr>
                <w:sz w:val="20"/>
              </w:rPr>
              <w:t>It should be noted that a special Policy in respect of gifts and hospitality applies to employees of the Travel Centre</w:t>
            </w:r>
          </w:p>
        </w:tc>
        <w:tc>
          <w:tcPr>
            <w:tcW w:w="2254" w:type="dxa"/>
          </w:tcPr>
          <w:p w14:paraId="05DCB564" w14:textId="77777777" w:rsidR="00494D1B" w:rsidRPr="00494D1B" w:rsidRDefault="00494D1B" w:rsidP="005E5EC0">
            <w:pPr>
              <w:rPr>
                <w:sz w:val="20"/>
              </w:rPr>
            </w:pPr>
            <w:r w:rsidRPr="00494D1B">
              <w:rPr>
                <w:sz w:val="20"/>
              </w:rPr>
              <w:t>Reference to Travel Centre no longer relevant</w:t>
            </w:r>
          </w:p>
        </w:tc>
      </w:tr>
      <w:tr w:rsidR="00494D1B" w:rsidRPr="00494D1B" w14:paraId="5DA93888" w14:textId="77777777" w:rsidTr="005E5EC0">
        <w:tc>
          <w:tcPr>
            <w:tcW w:w="2254" w:type="dxa"/>
          </w:tcPr>
          <w:p w14:paraId="25BDD06B" w14:textId="77777777" w:rsidR="00494D1B" w:rsidRPr="00494D1B" w:rsidRDefault="00494D1B" w:rsidP="005E5EC0">
            <w:pPr>
              <w:rPr>
                <w:sz w:val="20"/>
              </w:rPr>
            </w:pPr>
            <w:r w:rsidRPr="00494D1B">
              <w:rPr>
                <w:sz w:val="20"/>
              </w:rPr>
              <w:t>Gifts</w:t>
            </w:r>
          </w:p>
        </w:tc>
        <w:tc>
          <w:tcPr>
            <w:tcW w:w="4545" w:type="dxa"/>
          </w:tcPr>
          <w:p w14:paraId="7DF15423" w14:textId="77777777" w:rsidR="00494D1B" w:rsidRPr="00494D1B" w:rsidRDefault="00494D1B" w:rsidP="005E5EC0">
            <w:pPr>
              <w:tabs>
                <w:tab w:val="left" w:pos="1189"/>
              </w:tabs>
              <w:ind w:right="37"/>
              <w:rPr>
                <w:sz w:val="20"/>
              </w:rPr>
            </w:pPr>
            <w:r w:rsidRPr="00494D1B">
              <w:rPr>
                <w:sz w:val="20"/>
              </w:rPr>
              <w:t>Employees can make use of hotel rates negotiated through the Travel Centre for business accommodation.</w:t>
            </w:r>
          </w:p>
        </w:tc>
        <w:tc>
          <w:tcPr>
            <w:tcW w:w="2254" w:type="dxa"/>
          </w:tcPr>
          <w:p w14:paraId="2E35B68E" w14:textId="77777777" w:rsidR="00494D1B" w:rsidRPr="00494D1B" w:rsidRDefault="00494D1B" w:rsidP="005E5EC0">
            <w:pPr>
              <w:rPr>
                <w:sz w:val="20"/>
              </w:rPr>
            </w:pPr>
            <w:r w:rsidRPr="00494D1B">
              <w:rPr>
                <w:sz w:val="20"/>
              </w:rPr>
              <w:t>Reference to Travel Centre no longer relevant</w:t>
            </w:r>
          </w:p>
        </w:tc>
      </w:tr>
    </w:tbl>
    <w:p w14:paraId="7C392309" w14:textId="3B7E750D" w:rsidR="007C50C0" w:rsidRPr="00494D1B" w:rsidRDefault="007C50C0">
      <w:pPr>
        <w:rPr>
          <w:rFonts w:asciiTheme="minorHAnsi" w:hAnsiTheme="minorHAnsi" w:cstheme="minorHAnsi"/>
          <w:sz w:val="22"/>
          <w:szCs w:val="22"/>
        </w:rPr>
      </w:pPr>
    </w:p>
    <w:sectPr w:rsidR="007C50C0" w:rsidRPr="00494D1B"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C708" w14:textId="77777777" w:rsidR="0073204F" w:rsidRDefault="0073204F">
      <w:r>
        <w:separator/>
      </w:r>
    </w:p>
  </w:endnote>
  <w:endnote w:type="continuationSeparator" w:id="0">
    <w:p w14:paraId="4E8C6729" w14:textId="77777777" w:rsidR="0073204F" w:rsidRDefault="0073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0941" w14:textId="77777777" w:rsidR="0073204F" w:rsidRDefault="0073204F">
      <w:r>
        <w:separator/>
      </w:r>
    </w:p>
  </w:footnote>
  <w:footnote w:type="continuationSeparator" w:id="0">
    <w:p w14:paraId="7E248A7D" w14:textId="77777777" w:rsidR="0073204F" w:rsidRDefault="0073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FBB" w14:textId="77777777" w:rsidR="00F65EE2" w:rsidRDefault="00E46078" w:rsidP="00EA731A">
    <w:pPr>
      <w:pStyle w:val="Header"/>
      <w:rPr>
        <w:rFonts w:asciiTheme="minorHAnsi" w:hAnsiTheme="minorHAnsi" w:cstheme="minorHAnsi"/>
        <w:color w:val="808080" w:themeColor="background1" w:themeShade="80"/>
        <w:sz w:val="20"/>
        <w:highlight w:val="yellow"/>
      </w:rPr>
    </w:pPr>
    <w:r w:rsidRPr="008F197A">
      <w:rPr>
        <w:rFonts w:asciiTheme="minorHAnsi" w:hAnsiTheme="minorHAnsi" w:cstheme="minorHAnsi"/>
        <w:noProof/>
        <w:color w:val="808080" w:themeColor="background1" w:themeShade="80"/>
        <w:sz w:val="20"/>
      </w:rPr>
      <w:drawing>
        <wp:anchor distT="0" distB="0" distL="114300" distR="114300" simplePos="0" relativeHeight="251658752"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EA731A">
      <w:rPr>
        <w:rStyle w:val="normaltextrun"/>
        <w:rFonts w:cs="Arial"/>
        <w:color w:val="000000"/>
        <w:sz w:val="22"/>
        <w:szCs w:val="22"/>
        <w:shd w:val="clear" w:color="auto" w:fill="FFFFFF"/>
      </w:rPr>
      <w:t>Gifts and Hospitality</w:t>
    </w:r>
    <w:r w:rsidR="00EA731A">
      <w:rPr>
        <w:rStyle w:val="eop"/>
        <w:rFonts w:cs="Arial"/>
        <w:color w:val="000000"/>
        <w:sz w:val="22"/>
        <w:szCs w:val="22"/>
        <w:shd w:val="clear" w:color="auto" w:fill="FFFFFF"/>
      </w:rPr>
      <w:t> </w:t>
    </w:r>
    <w:r w:rsidR="00EA731A" w:rsidRPr="00CF6A46">
      <w:rPr>
        <w:rFonts w:asciiTheme="minorHAnsi" w:hAnsiTheme="minorHAnsi" w:cstheme="minorHAnsi"/>
        <w:color w:val="808080" w:themeColor="background1" w:themeShade="80"/>
        <w:sz w:val="20"/>
        <w:highlight w:val="yellow"/>
      </w:rPr>
      <w:t xml:space="preserve"> </w:t>
    </w:r>
  </w:p>
  <w:p w14:paraId="3B9E13A8" w14:textId="50028AF9" w:rsidR="00B35F11" w:rsidRPr="00224D2C" w:rsidRDefault="00B35F11" w:rsidP="00EA731A">
    <w:pPr>
      <w:pStyle w:val="Header"/>
      <w:rPr>
        <w:sz w:val="20"/>
      </w:rPr>
    </w:pPr>
    <w:r w:rsidRPr="00032EAE">
      <w:rPr>
        <w:rFonts w:asciiTheme="minorHAnsi" w:hAnsiTheme="minorHAnsi" w:cstheme="minorHAnsi"/>
        <w:color w:val="808080" w:themeColor="background1" w:themeShade="80"/>
        <w:sz w:val="20"/>
      </w:rPr>
      <w:t>Date Screening Submitted:</w:t>
    </w:r>
    <w:r w:rsidR="00032EAE">
      <w:rPr>
        <w:rFonts w:asciiTheme="minorHAnsi" w:hAnsiTheme="minorHAnsi" w:cstheme="minorHAnsi"/>
        <w:color w:val="808080" w:themeColor="background1" w:themeShade="80"/>
        <w:sz w:val="20"/>
      </w:rPr>
      <w:t xml:space="preserve"> December 2024</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1727F3"/>
    <w:multiLevelType w:val="hybridMultilevel"/>
    <w:tmpl w:val="30B4F2EA"/>
    <w:lvl w:ilvl="0" w:tplc="1EA63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A1C68"/>
    <w:multiLevelType w:val="hybridMultilevel"/>
    <w:tmpl w:val="9964318C"/>
    <w:lvl w:ilvl="0" w:tplc="04DCC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66A65"/>
    <w:multiLevelType w:val="hybridMultilevel"/>
    <w:tmpl w:val="F61A0460"/>
    <w:lvl w:ilvl="0" w:tplc="5D948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0647635">
    <w:abstractNumId w:val="16"/>
  </w:num>
  <w:num w:numId="2" w16cid:durableId="1091508607">
    <w:abstractNumId w:val="17"/>
  </w:num>
  <w:num w:numId="3" w16cid:durableId="817503968">
    <w:abstractNumId w:val="12"/>
  </w:num>
  <w:num w:numId="4" w16cid:durableId="1048728296">
    <w:abstractNumId w:val="8"/>
  </w:num>
  <w:num w:numId="5" w16cid:durableId="520319426">
    <w:abstractNumId w:val="15"/>
  </w:num>
  <w:num w:numId="6" w16cid:durableId="567543925">
    <w:abstractNumId w:val="0"/>
  </w:num>
  <w:num w:numId="7" w16cid:durableId="740179073">
    <w:abstractNumId w:val="7"/>
  </w:num>
  <w:num w:numId="8" w16cid:durableId="448352855">
    <w:abstractNumId w:val="5"/>
  </w:num>
  <w:num w:numId="9" w16cid:durableId="1619796937">
    <w:abstractNumId w:val="4"/>
  </w:num>
  <w:num w:numId="10" w16cid:durableId="1544633951">
    <w:abstractNumId w:val="10"/>
  </w:num>
  <w:num w:numId="11" w16cid:durableId="1144355201">
    <w:abstractNumId w:val="9"/>
  </w:num>
  <w:num w:numId="12" w16cid:durableId="1694257410">
    <w:abstractNumId w:val="6"/>
  </w:num>
  <w:num w:numId="13" w16cid:durableId="451899225">
    <w:abstractNumId w:val="2"/>
  </w:num>
  <w:num w:numId="14" w16cid:durableId="1982611989">
    <w:abstractNumId w:val="14"/>
  </w:num>
  <w:num w:numId="15" w16cid:durableId="129372011">
    <w:abstractNumId w:val="13"/>
  </w:num>
  <w:num w:numId="16" w16cid:durableId="701322179">
    <w:abstractNumId w:val="11"/>
  </w:num>
  <w:num w:numId="17" w16cid:durableId="1990594957">
    <w:abstractNumId w:val="1"/>
  </w:num>
  <w:num w:numId="18" w16cid:durableId="184448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2EAE"/>
    <w:rsid w:val="00053A3A"/>
    <w:rsid w:val="000562B1"/>
    <w:rsid w:val="00086CAA"/>
    <w:rsid w:val="00087863"/>
    <w:rsid w:val="000A32DE"/>
    <w:rsid w:val="000B0B1F"/>
    <w:rsid w:val="000B46BF"/>
    <w:rsid w:val="000C0D69"/>
    <w:rsid w:val="000C1FAC"/>
    <w:rsid w:val="000C4987"/>
    <w:rsid w:val="000E0C7A"/>
    <w:rsid w:val="000E0D30"/>
    <w:rsid w:val="000E465F"/>
    <w:rsid w:val="000E70FB"/>
    <w:rsid w:val="000F3F86"/>
    <w:rsid w:val="001238AD"/>
    <w:rsid w:val="00133338"/>
    <w:rsid w:val="0013361E"/>
    <w:rsid w:val="00151549"/>
    <w:rsid w:val="0016182A"/>
    <w:rsid w:val="00172896"/>
    <w:rsid w:val="00192EA1"/>
    <w:rsid w:val="001C45D0"/>
    <w:rsid w:val="001C6CAD"/>
    <w:rsid w:val="001D0073"/>
    <w:rsid w:val="001E2F71"/>
    <w:rsid w:val="001E40DD"/>
    <w:rsid w:val="001F79DA"/>
    <w:rsid w:val="00204118"/>
    <w:rsid w:val="00205492"/>
    <w:rsid w:val="002067D7"/>
    <w:rsid w:val="00224D2C"/>
    <w:rsid w:val="00232A4D"/>
    <w:rsid w:val="00245374"/>
    <w:rsid w:val="00251A0C"/>
    <w:rsid w:val="00264766"/>
    <w:rsid w:val="00272A2E"/>
    <w:rsid w:val="002842FC"/>
    <w:rsid w:val="002A748F"/>
    <w:rsid w:val="002B6CFF"/>
    <w:rsid w:val="002C3613"/>
    <w:rsid w:val="002F573E"/>
    <w:rsid w:val="003136A0"/>
    <w:rsid w:val="00323E2C"/>
    <w:rsid w:val="00332B3D"/>
    <w:rsid w:val="00344776"/>
    <w:rsid w:val="00350B29"/>
    <w:rsid w:val="00355CA2"/>
    <w:rsid w:val="00362054"/>
    <w:rsid w:val="00364993"/>
    <w:rsid w:val="0037685B"/>
    <w:rsid w:val="00377651"/>
    <w:rsid w:val="00390DDC"/>
    <w:rsid w:val="003A03FB"/>
    <w:rsid w:val="003B22B6"/>
    <w:rsid w:val="003C22D6"/>
    <w:rsid w:val="003D279A"/>
    <w:rsid w:val="003F0552"/>
    <w:rsid w:val="00406255"/>
    <w:rsid w:val="0041637C"/>
    <w:rsid w:val="0042305F"/>
    <w:rsid w:val="00427A8E"/>
    <w:rsid w:val="004400D7"/>
    <w:rsid w:val="00443735"/>
    <w:rsid w:val="00445430"/>
    <w:rsid w:val="00446450"/>
    <w:rsid w:val="00453279"/>
    <w:rsid w:val="00462095"/>
    <w:rsid w:val="00467ECA"/>
    <w:rsid w:val="00471C50"/>
    <w:rsid w:val="00475BA3"/>
    <w:rsid w:val="00477F87"/>
    <w:rsid w:val="004837A3"/>
    <w:rsid w:val="0048559D"/>
    <w:rsid w:val="00494D1B"/>
    <w:rsid w:val="004A0FBB"/>
    <w:rsid w:val="004A185C"/>
    <w:rsid w:val="004A7AA2"/>
    <w:rsid w:val="004B641C"/>
    <w:rsid w:val="004B6FD5"/>
    <w:rsid w:val="004C6DFF"/>
    <w:rsid w:val="004F0108"/>
    <w:rsid w:val="004F352C"/>
    <w:rsid w:val="004F5BB0"/>
    <w:rsid w:val="00507DBE"/>
    <w:rsid w:val="00512866"/>
    <w:rsid w:val="00546C70"/>
    <w:rsid w:val="00555098"/>
    <w:rsid w:val="00560A3A"/>
    <w:rsid w:val="00570D20"/>
    <w:rsid w:val="00572894"/>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767F0"/>
    <w:rsid w:val="0068076C"/>
    <w:rsid w:val="006835D8"/>
    <w:rsid w:val="006A178A"/>
    <w:rsid w:val="006C197F"/>
    <w:rsid w:val="006C36D6"/>
    <w:rsid w:val="006C7F84"/>
    <w:rsid w:val="006E4F14"/>
    <w:rsid w:val="006F5C7B"/>
    <w:rsid w:val="0071305C"/>
    <w:rsid w:val="00727F3A"/>
    <w:rsid w:val="0073123B"/>
    <w:rsid w:val="0073204F"/>
    <w:rsid w:val="00752AC7"/>
    <w:rsid w:val="00762FAF"/>
    <w:rsid w:val="00766EB5"/>
    <w:rsid w:val="0077015B"/>
    <w:rsid w:val="00784625"/>
    <w:rsid w:val="007847D2"/>
    <w:rsid w:val="007856CF"/>
    <w:rsid w:val="007910B9"/>
    <w:rsid w:val="007A35CC"/>
    <w:rsid w:val="007C432B"/>
    <w:rsid w:val="007C50C0"/>
    <w:rsid w:val="007D2B13"/>
    <w:rsid w:val="007D3E06"/>
    <w:rsid w:val="007D4893"/>
    <w:rsid w:val="008007B6"/>
    <w:rsid w:val="00803674"/>
    <w:rsid w:val="0081262C"/>
    <w:rsid w:val="00817D20"/>
    <w:rsid w:val="00824C8E"/>
    <w:rsid w:val="0083566C"/>
    <w:rsid w:val="008405BA"/>
    <w:rsid w:val="008420AF"/>
    <w:rsid w:val="008508E2"/>
    <w:rsid w:val="00854D34"/>
    <w:rsid w:val="00856A5D"/>
    <w:rsid w:val="008577D7"/>
    <w:rsid w:val="00863174"/>
    <w:rsid w:val="00870803"/>
    <w:rsid w:val="00876174"/>
    <w:rsid w:val="00896345"/>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607B6"/>
    <w:rsid w:val="00983E91"/>
    <w:rsid w:val="00986C4A"/>
    <w:rsid w:val="00997FA1"/>
    <w:rsid w:val="009A0FED"/>
    <w:rsid w:val="009C00C5"/>
    <w:rsid w:val="009D3406"/>
    <w:rsid w:val="009D6428"/>
    <w:rsid w:val="009E4649"/>
    <w:rsid w:val="009E5897"/>
    <w:rsid w:val="009E6434"/>
    <w:rsid w:val="00A14C86"/>
    <w:rsid w:val="00A42BDE"/>
    <w:rsid w:val="00A52503"/>
    <w:rsid w:val="00A64A1B"/>
    <w:rsid w:val="00A815A8"/>
    <w:rsid w:val="00AB6251"/>
    <w:rsid w:val="00AB7D78"/>
    <w:rsid w:val="00AC2E06"/>
    <w:rsid w:val="00AE252E"/>
    <w:rsid w:val="00B05DFF"/>
    <w:rsid w:val="00B24F54"/>
    <w:rsid w:val="00B35F11"/>
    <w:rsid w:val="00B45756"/>
    <w:rsid w:val="00B6300A"/>
    <w:rsid w:val="00B665AC"/>
    <w:rsid w:val="00B83096"/>
    <w:rsid w:val="00B95E90"/>
    <w:rsid w:val="00BA0F74"/>
    <w:rsid w:val="00BB634C"/>
    <w:rsid w:val="00BB73A4"/>
    <w:rsid w:val="00BE0562"/>
    <w:rsid w:val="00BE5A02"/>
    <w:rsid w:val="00BE68A5"/>
    <w:rsid w:val="00BF6CDA"/>
    <w:rsid w:val="00C06653"/>
    <w:rsid w:val="00C34ACE"/>
    <w:rsid w:val="00C40E06"/>
    <w:rsid w:val="00C47C78"/>
    <w:rsid w:val="00C523A5"/>
    <w:rsid w:val="00C62796"/>
    <w:rsid w:val="00C803FF"/>
    <w:rsid w:val="00C92C99"/>
    <w:rsid w:val="00CA53A3"/>
    <w:rsid w:val="00CB771D"/>
    <w:rsid w:val="00CC4E35"/>
    <w:rsid w:val="00CD421F"/>
    <w:rsid w:val="00CE0E50"/>
    <w:rsid w:val="00CF6A46"/>
    <w:rsid w:val="00D01120"/>
    <w:rsid w:val="00D0450D"/>
    <w:rsid w:val="00D062DB"/>
    <w:rsid w:val="00D11C1D"/>
    <w:rsid w:val="00D13DAF"/>
    <w:rsid w:val="00D32D9A"/>
    <w:rsid w:val="00D402EF"/>
    <w:rsid w:val="00D40EEE"/>
    <w:rsid w:val="00D4206A"/>
    <w:rsid w:val="00D4612A"/>
    <w:rsid w:val="00D5201A"/>
    <w:rsid w:val="00D62F3E"/>
    <w:rsid w:val="00D66D0F"/>
    <w:rsid w:val="00D77990"/>
    <w:rsid w:val="00D91B22"/>
    <w:rsid w:val="00DA522F"/>
    <w:rsid w:val="00DB2A7C"/>
    <w:rsid w:val="00DB77BD"/>
    <w:rsid w:val="00DC29CA"/>
    <w:rsid w:val="00DC39DA"/>
    <w:rsid w:val="00DD3711"/>
    <w:rsid w:val="00DD763F"/>
    <w:rsid w:val="00DD78E3"/>
    <w:rsid w:val="00DE6711"/>
    <w:rsid w:val="00E01A2B"/>
    <w:rsid w:val="00E35F68"/>
    <w:rsid w:val="00E379CE"/>
    <w:rsid w:val="00E40C86"/>
    <w:rsid w:val="00E4293F"/>
    <w:rsid w:val="00E43912"/>
    <w:rsid w:val="00E43D7A"/>
    <w:rsid w:val="00E44FF0"/>
    <w:rsid w:val="00E46078"/>
    <w:rsid w:val="00E70483"/>
    <w:rsid w:val="00E708A8"/>
    <w:rsid w:val="00E860F5"/>
    <w:rsid w:val="00E91D60"/>
    <w:rsid w:val="00E93B65"/>
    <w:rsid w:val="00EA2CF5"/>
    <w:rsid w:val="00EA49CF"/>
    <w:rsid w:val="00EA731A"/>
    <w:rsid w:val="00EB080B"/>
    <w:rsid w:val="00EB102D"/>
    <w:rsid w:val="00EE2BD8"/>
    <w:rsid w:val="00EF2B9B"/>
    <w:rsid w:val="00EF3B46"/>
    <w:rsid w:val="00EF4737"/>
    <w:rsid w:val="00F02D0E"/>
    <w:rsid w:val="00F108BB"/>
    <w:rsid w:val="00F1263C"/>
    <w:rsid w:val="00F12905"/>
    <w:rsid w:val="00F2443A"/>
    <w:rsid w:val="00F46E19"/>
    <w:rsid w:val="00F65EE2"/>
    <w:rsid w:val="00F66840"/>
    <w:rsid w:val="00F806ED"/>
    <w:rsid w:val="00F91211"/>
    <w:rsid w:val="00FB054C"/>
    <w:rsid w:val="00FB3A68"/>
    <w:rsid w:val="00FC2DC1"/>
    <w:rsid w:val="00FD2056"/>
    <w:rsid w:val="00FF2017"/>
    <w:rsid w:val="00FF7169"/>
    <w:rsid w:val="0B238D9E"/>
    <w:rsid w:val="0C438C73"/>
    <w:rsid w:val="3C0E9622"/>
    <w:rsid w:val="5BF62BED"/>
    <w:rsid w:val="5EF3A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1"/>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3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customStyle="1" w:styleId="wacimagecontainer">
    <w:name w:val="wacimagecontainer"/>
    <w:basedOn w:val="DefaultParagraphFont"/>
    <w:rsid w:val="0089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59145026">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5770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801F90"/>
    <w:rsid w:val="00824215"/>
    <w:rsid w:val="00D43B0C"/>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832e0272-9f79-4bc3-aab7-66d5ed1939b2">
      <Terms xmlns="http://schemas.microsoft.com/office/infopath/2007/PartnerControls"/>
    </lcf76f155ced4ddcb4097134ff3c332f>
    <_dlc_DocId xmlns="10a3e549-5f4a-4f22-9eb6-d113193ca7a8">M3VXSJ3VAXTT-1538396487-16421</_dlc_DocId>
    <_dlc_DocIdUrl xmlns="10a3e549-5f4a-4f22-9eb6-d113193ca7a8">
      <Url>https://translinkni.sharepoint.com/sites/HumanResources2/_layouts/15/DocIdRedir.aspx?ID=M3VXSJ3VAXTT-1538396487-16421</Url>
      <Description>M3VXSJ3VAXTT-1538396487-16421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s>
</ds:datastoreItem>
</file>

<file path=customXml/itemProps2.xml><?xml version="1.0" encoding="utf-8"?>
<ds:datastoreItem xmlns:ds="http://schemas.openxmlformats.org/officeDocument/2006/customXml" ds:itemID="{FB1945AB-DAC2-4ED9-AFD8-226DFE486DDE}"/>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5.xml><?xml version="1.0" encoding="utf-8"?>
<ds:datastoreItem xmlns:ds="http://schemas.openxmlformats.org/officeDocument/2006/customXml" ds:itemID="{49B86D16-FA1C-4C70-A5B5-B0FD9251E9E9}"/>
</file>

<file path=docProps/app.xml><?xml version="1.0" encoding="utf-8"?>
<Properties xmlns="http://schemas.openxmlformats.org/officeDocument/2006/extended-properties" xmlns:vt="http://schemas.openxmlformats.org/officeDocument/2006/docPropsVTypes">
  <Template>Normal</Template>
  <TotalTime>1</TotalTime>
  <Pages>14</Pages>
  <Words>3168</Words>
  <Characters>17988</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2025-01-17T11:56:00Z</dcterms:created>
  <dcterms:modified xsi:type="dcterms:W3CDTF">2025-01-17T11:56:00Z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4821b768-60b1-4353-ad04-94fab33eddc4</vt:lpwstr>
  </property>
</Properties>
</file>