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B36B" w14:textId="77777777" w:rsidR="00405981" w:rsidRDefault="00405981" w:rsidP="00506AC2">
      <w:pPr>
        <w:pStyle w:val="SectionHeading"/>
      </w:pPr>
      <w:r w:rsidRPr="00E65E99">
        <w:rPr>
          <w:noProof/>
        </w:rPr>
        <w:drawing>
          <wp:inline distT="0" distB="0" distL="0" distR="0" wp14:anchorId="4481256E" wp14:editId="2985B44C">
            <wp:extent cx="3733170" cy="979485"/>
            <wp:effectExtent l="0" t="0" r="635" b="0"/>
            <wp:docPr id="112" name="Picture 112" descr="Trans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Translink logo"/>
                    <pic:cNvPicPr/>
                  </pic:nvPicPr>
                  <pic:blipFill>
                    <a:blip r:embed="rId8" cstate="screen">
                      <a:extLst>
                        <a:ext uri="{28A0092B-C50C-407E-A947-70E740481C1C}">
                          <a14:useLocalDpi xmlns:a14="http://schemas.microsoft.com/office/drawing/2010/main"/>
                        </a:ext>
                      </a:extLst>
                    </a:blip>
                    <a:stretch>
                      <a:fillRect/>
                    </a:stretch>
                  </pic:blipFill>
                  <pic:spPr>
                    <a:xfrm>
                      <a:off x="0" y="0"/>
                      <a:ext cx="3783424" cy="992670"/>
                    </a:xfrm>
                    <a:prstGeom prst="rect">
                      <a:avLst/>
                    </a:prstGeom>
                  </pic:spPr>
                </pic:pic>
              </a:graphicData>
            </a:graphic>
          </wp:inline>
        </w:drawing>
      </w:r>
      <w:r w:rsidRPr="00405981">
        <w:t xml:space="preserve"> </w:t>
      </w:r>
    </w:p>
    <w:p w14:paraId="57F7086D" w14:textId="77777777" w:rsidR="00405981" w:rsidRDefault="00405981" w:rsidP="00506AC2">
      <w:pPr>
        <w:pStyle w:val="SectionHeading"/>
      </w:pPr>
    </w:p>
    <w:p w14:paraId="32682CC8" w14:textId="2A13E2F8" w:rsidR="00405981" w:rsidRPr="00405981" w:rsidRDefault="00405981" w:rsidP="00506AC2">
      <w:pPr>
        <w:pStyle w:val="Heading1"/>
      </w:pPr>
      <w:bookmarkStart w:id="0" w:name="_Toc176774920"/>
      <w:bookmarkStart w:id="1" w:name="_Toc176775303"/>
      <w:bookmarkStart w:id="2" w:name="_Toc212738599"/>
      <w:bookmarkStart w:id="3" w:name="_Toc212738994"/>
      <w:bookmarkStart w:id="4" w:name="_Toc213058493"/>
      <w:r w:rsidRPr="00405981">
        <w:t>Annual Report &amp; Accounts</w:t>
      </w:r>
      <w:bookmarkEnd w:id="0"/>
      <w:bookmarkEnd w:id="1"/>
      <w:bookmarkEnd w:id="2"/>
      <w:bookmarkEnd w:id="3"/>
      <w:bookmarkEnd w:id="4"/>
    </w:p>
    <w:p w14:paraId="79F71570" w14:textId="6E0B13FC" w:rsidR="00405981" w:rsidRPr="00405981" w:rsidRDefault="00405981" w:rsidP="00506AC2">
      <w:pPr>
        <w:pStyle w:val="Heading1"/>
      </w:pPr>
      <w:bookmarkStart w:id="5" w:name="_Toc176774921"/>
      <w:bookmarkStart w:id="6" w:name="_Toc176775304"/>
      <w:bookmarkStart w:id="7" w:name="_Toc212738600"/>
      <w:bookmarkStart w:id="8" w:name="_Toc212738995"/>
      <w:bookmarkStart w:id="9" w:name="_Toc213058494"/>
      <w:r w:rsidRPr="00405981">
        <w:t>202</w:t>
      </w:r>
      <w:r w:rsidR="001B030D">
        <w:t>4</w:t>
      </w:r>
      <w:r w:rsidRPr="00405981">
        <w:t>/2</w:t>
      </w:r>
      <w:bookmarkEnd w:id="5"/>
      <w:bookmarkEnd w:id="6"/>
      <w:r w:rsidR="001B030D">
        <w:t>5</w:t>
      </w:r>
      <w:bookmarkEnd w:id="7"/>
      <w:bookmarkEnd w:id="8"/>
      <w:bookmarkEnd w:id="9"/>
    </w:p>
    <w:p w14:paraId="21BB26EF" w14:textId="1A863207" w:rsidR="00405981" w:rsidRPr="00405981" w:rsidRDefault="00405981" w:rsidP="00506AC2">
      <w:pPr>
        <w:pStyle w:val="Heading2"/>
      </w:pPr>
      <w:bookmarkStart w:id="10" w:name="_Toc176774922"/>
      <w:bookmarkStart w:id="11" w:name="_Toc176775305"/>
      <w:bookmarkStart w:id="12" w:name="_Toc212738601"/>
      <w:bookmarkStart w:id="13" w:name="_Toc212738996"/>
      <w:bookmarkStart w:id="14" w:name="_Toc213058495"/>
      <w:r w:rsidRPr="00405981">
        <w:t>Better. Connected</w:t>
      </w:r>
      <w:bookmarkEnd w:id="10"/>
      <w:bookmarkEnd w:id="11"/>
      <w:bookmarkEnd w:id="12"/>
      <w:bookmarkEnd w:id="13"/>
      <w:bookmarkEnd w:id="14"/>
    </w:p>
    <w:p w14:paraId="2939F2A3" w14:textId="77777777" w:rsidR="00405981" w:rsidRDefault="00405981" w:rsidP="00506AC2">
      <w:pPr>
        <w:rPr>
          <w:rFonts w:ascii="Effra" w:hAnsi="Effra" w:cs="Effra"/>
          <w:sz w:val="54"/>
          <w:szCs w:val="54"/>
        </w:rPr>
      </w:pPr>
      <w:r>
        <w:br w:type="page"/>
      </w:r>
    </w:p>
    <w:sdt>
      <w:sdtPr>
        <w:rPr>
          <w:rFonts w:cstheme="minorBidi"/>
          <w:bCs w:val="0"/>
          <w:color w:val="auto"/>
          <w:sz w:val="24"/>
          <w:szCs w:val="24"/>
          <w:lang w:val="en-GB"/>
        </w:rPr>
        <w:id w:val="-1617364990"/>
        <w:docPartObj>
          <w:docPartGallery w:val="Table of Contents"/>
          <w:docPartUnique/>
        </w:docPartObj>
      </w:sdtPr>
      <w:sdtEndPr>
        <w:rPr>
          <w:b/>
          <w:noProof/>
        </w:rPr>
      </w:sdtEndPr>
      <w:sdtContent>
        <w:p w14:paraId="060C583A" w14:textId="662C6287" w:rsidR="00340DE5" w:rsidRDefault="00340DE5">
          <w:pPr>
            <w:pStyle w:val="TOCHeading"/>
          </w:pPr>
          <w:r>
            <w:t>Table of Contents</w:t>
          </w:r>
        </w:p>
        <w:p w14:paraId="0D1771C9" w14:textId="2EA994C8" w:rsidR="00822505" w:rsidRDefault="00340DE5">
          <w:pPr>
            <w:pStyle w:val="TOC1"/>
            <w:tabs>
              <w:tab w:val="right" w:leader="dot" w:pos="10450"/>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r w:rsidR="00822505" w:rsidRPr="009B3556">
            <w:rPr>
              <w:rStyle w:val="Hyperlink"/>
              <w:noProof/>
            </w:rPr>
            <w:fldChar w:fldCharType="begin"/>
          </w:r>
          <w:r w:rsidR="00822505" w:rsidRPr="009B3556">
            <w:rPr>
              <w:rStyle w:val="Hyperlink"/>
              <w:noProof/>
            </w:rPr>
            <w:instrText xml:space="preserve"> </w:instrText>
          </w:r>
          <w:r w:rsidR="00822505">
            <w:rPr>
              <w:noProof/>
            </w:rPr>
            <w:instrText>HYPERLINK \l "_Toc213058496"</w:instrText>
          </w:r>
          <w:r w:rsidR="00822505" w:rsidRPr="009B3556">
            <w:rPr>
              <w:rStyle w:val="Hyperlink"/>
              <w:noProof/>
            </w:rPr>
            <w:instrText xml:space="preserve"> </w:instrText>
          </w:r>
          <w:r w:rsidR="00822505" w:rsidRPr="009B3556">
            <w:rPr>
              <w:rStyle w:val="Hyperlink"/>
              <w:noProof/>
            </w:rPr>
          </w:r>
          <w:r w:rsidR="00822505" w:rsidRPr="009B3556">
            <w:rPr>
              <w:rStyle w:val="Hyperlink"/>
              <w:noProof/>
            </w:rPr>
            <w:fldChar w:fldCharType="separate"/>
          </w:r>
          <w:r w:rsidR="00822505" w:rsidRPr="009B3556">
            <w:rPr>
              <w:rStyle w:val="Hyperlink"/>
              <w:noProof/>
            </w:rPr>
            <w:t>Officers and Advisers</w:t>
          </w:r>
          <w:r w:rsidR="00822505">
            <w:rPr>
              <w:noProof/>
              <w:webHidden/>
            </w:rPr>
            <w:tab/>
          </w:r>
          <w:r w:rsidR="00822505">
            <w:rPr>
              <w:noProof/>
              <w:webHidden/>
            </w:rPr>
            <w:fldChar w:fldCharType="begin"/>
          </w:r>
          <w:r w:rsidR="00822505">
            <w:rPr>
              <w:noProof/>
              <w:webHidden/>
            </w:rPr>
            <w:instrText xml:space="preserve"> PAGEREF _Toc213058496 \h </w:instrText>
          </w:r>
          <w:r w:rsidR="00822505">
            <w:rPr>
              <w:noProof/>
              <w:webHidden/>
            </w:rPr>
          </w:r>
          <w:r w:rsidR="00822505">
            <w:rPr>
              <w:noProof/>
              <w:webHidden/>
            </w:rPr>
            <w:fldChar w:fldCharType="separate"/>
          </w:r>
          <w:r w:rsidR="000525D5">
            <w:rPr>
              <w:noProof/>
              <w:webHidden/>
            </w:rPr>
            <w:t>6</w:t>
          </w:r>
          <w:r w:rsidR="00822505">
            <w:rPr>
              <w:noProof/>
              <w:webHidden/>
            </w:rPr>
            <w:fldChar w:fldCharType="end"/>
          </w:r>
          <w:r w:rsidR="00822505" w:rsidRPr="009B3556">
            <w:rPr>
              <w:rStyle w:val="Hyperlink"/>
              <w:noProof/>
            </w:rPr>
            <w:fldChar w:fldCharType="end"/>
          </w:r>
        </w:p>
        <w:p w14:paraId="5774F346" w14:textId="125B04D1"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497" w:history="1">
            <w:r w:rsidRPr="009B3556">
              <w:rPr>
                <w:rStyle w:val="Hyperlink"/>
                <w:noProof/>
              </w:rPr>
              <w:t>Chair’s Foreword</w:t>
            </w:r>
            <w:r>
              <w:rPr>
                <w:noProof/>
                <w:webHidden/>
              </w:rPr>
              <w:tab/>
            </w:r>
            <w:r>
              <w:rPr>
                <w:noProof/>
                <w:webHidden/>
              </w:rPr>
              <w:fldChar w:fldCharType="begin"/>
            </w:r>
            <w:r>
              <w:rPr>
                <w:noProof/>
                <w:webHidden/>
              </w:rPr>
              <w:instrText xml:space="preserve"> PAGEREF _Toc213058497 \h </w:instrText>
            </w:r>
            <w:r>
              <w:rPr>
                <w:noProof/>
                <w:webHidden/>
              </w:rPr>
            </w:r>
            <w:r>
              <w:rPr>
                <w:noProof/>
                <w:webHidden/>
              </w:rPr>
              <w:fldChar w:fldCharType="separate"/>
            </w:r>
            <w:r w:rsidR="000525D5">
              <w:rPr>
                <w:noProof/>
                <w:webHidden/>
              </w:rPr>
              <w:t>8</w:t>
            </w:r>
            <w:r>
              <w:rPr>
                <w:noProof/>
                <w:webHidden/>
              </w:rPr>
              <w:fldChar w:fldCharType="end"/>
            </w:r>
          </w:hyperlink>
        </w:p>
        <w:p w14:paraId="3CA5BAAB" w14:textId="1C645D85"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498" w:history="1">
            <w:r w:rsidRPr="009B3556">
              <w:rPr>
                <w:rStyle w:val="Hyperlink"/>
                <w:noProof/>
              </w:rPr>
              <w:t>Northern Ireland Transport  Holding Company (NITHC)  Non-Executive Directors</w:t>
            </w:r>
            <w:r>
              <w:rPr>
                <w:noProof/>
                <w:webHidden/>
              </w:rPr>
              <w:tab/>
            </w:r>
            <w:r>
              <w:rPr>
                <w:noProof/>
                <w:webHidden/>
              </w:rPr>
              <w:fldChar w:fldCharType="begin"/>
            </w:r>
            <w:r>
              <w:rPr>
                <w:noProof/>
                <w:webHidden/>
              </w:rPr>
              <w:instrText xml:space="preserve"> PAGEREF _Toc213058498 \h </w:instrText>
            </w:r>
            <w:r>
              <w:rPr>
                <w:noProof/>
                <w:webHidden/>
              </w:rPr>
            </w:r>
            <w:r>
              <w:rPr>
                <w:noProof/>
                <w:webHidden/>
              </w:rPr>
              <w:fldChar w:fldCharType="separate"/>
            </w:r>
            <w:r w:rsidR="000525D5">
              <w:rPr>
                <w:noProof/>
                <w:webHidden/>
              </w:rPr>
              <w:t>10</w:t>
            </w:r>
            <w:r>
              <w:rPr>
                <w:noProof/>
                <w:webHidden/>
              </w:rPr>
              <w:fldChar w:fldCharType="end"/>
            </w:r>
          </w:hyperlink>
        </w:p>
        <w:p w14:paraId="3CF6FDB9" w14:textId="17B49924"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499" w:history="1">
            <w:r w:rsidRPr="009B3556">
              <w:rPr>
                <w:rStyle w:val="Hyperlink"/>
                <w:noProof/>
              </w:rPr>
              <w:t>Strategic Report</w:t>
            </w:r>
            <w:r>
              <w:rPr>
                <w:noProof/>
                <w:webHidden/>
              </w:rPr>
              <w:tab/>
            </w:r>
            <w:r>
              <w:rPr>
                <w:noProof/>
                <w:webHidden/>
              </w:rPr>
              <w:fldChar w:fldCharType="begin"/>
            </w:r>
            <w:r>
              <w:rPr>
                <w:noProof/>
                <w:webHidden/>
              </w:rPr>
              <w:instrText xml:space="preserve"> PAGEREF _Toc213058499 \h </w:instrText>
            </w:r>
            <w:r>
              <w:rPr>
                <w:noProof/>
                <w:webHidden/>
              </w:rPr>
            </w:r>
            <w:r>
              <w:rPr>
                <w:noProof/>
                <w:webHidden/>
              </w:rPr>
              <w:fldChar w:fldCharType="separate"/>
            </w:r>
            <w:r w:rsidR="000525D5">
              <w:rPr>
                <w:noProof/>
                <w:webHidden/>
              </w:rPr>
              <w:t>13</w:t>
            </w:r>
            <w:r>
              <w:rPr>
                <w:noProof/>
                <w:webHidden/>
              </w:rPr>
              <w:fldChar w:fldCharType="end"/>
            </w:r>
          </w:hyperlink>
        </w:p>
        <w:p w14:paraId="6A70869C" w14:textId="3A1FA596"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00" w:history="1">
            <w:r w:rsidRPr="009B3556">
              <w:rPr>
                <w:rStyle w:val="Hyperlink"/>
                <w:noProof/>
              </w:rPr>
              <w:t>Our Business</w:t>
            </w:r>
            <w:r>
              <w:rPr>
                <w:noProof/>
                <w:webHidden/>
              </w:rPr>
              <w:tab/>
            </w:r>
            <w:r>
              <w:rPr>
                <w:noProof/>
                <w:webHidden/>
              </w:rPr>
              <w:fldChar w:fldCharType="begin"/>
            </w:r>
            <w:r>
              <w:rPr>
                <w:noProof/>
                <w:webHidden/>
              </w:rPr>
              <w:instrText xml:space="preserve"> PAGEREF _Toc213058500 \h </w:instrText>
            </w:r>
            <w:r>
              <w:rPr>
                <w:noProof/>
                <w:webHidden/>
              </w:rPr>
            </w:r>
            <w:r>
              <w:rPr>
                <w:noProof/>
                <w:webHidden/>
              </w:rPr>
              <w:fldChar w:fldCharType="separate"/>
            </w:r>
            <w:r w:rsidR="000525D5">
              <w:rPr>
                <w:noProof/>
                <w:webHidden/>
              </w:rPr>
              <w:t>13</w:t>
            </w:r>
            <w:r>
              <w:rPr>
                <w:noProof/>
                <w:webHidden/>
              </w:rPr>
              <w:fldChar w:fldCharType="end"/>
            </w:r>
          </w:hyperlink>
        </w:p>
        <w:p w14:paraId="79E8F7CB" w14:textId="4CF7433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01" w:history="1">
            <w:r w:rsidRPr="009B3556">
              <w:rPr>
                <w:rStyle w:val="Hyperlink"/>
                <w:noProof/>
              </w:rPr>
              <w:t>Performance 2023/24</w:t>
            </w:r>
            <w:r>
              <w:rPr>
                <w:noProof/>
                <w:webHidden/>
              </w:rPr>
              <w:tab/>
            </w:r>
            <w:r>
              <w:rPr>
                <w:noProof/>
                <w:webHidden/>
              </w:rPr>
              <w:fldChar w:fldCharType="begin"/>
            </w:r>
            <w:r>
              <w:rPr>
                <w:noProof/>
                <w:webHidden/>
              </w:rPr>
              <w:instrText xml:space="preserve"> PAGEREF _Toc213058501 \h </w:instrText>
            </w:r>
            <w:r>
              <w:rPr>
                <w:noProof/>
                <w:webHidden/>
              </w:rPr>
            </w:r>
            <w:r>
              <w:rPr>
                <w:noProof/>
                <w:webHidden/>
              </w:rPr>
              <w:fldChar w:fldCharType="separate"/>
            </w:r>
            <w:r w:rsidR="000525D5">
              <w:rPr>
                <w:noProof/>
                <w:webHidden/>
              </w:rPr>
              <w:t>13</w:t>
            </w:r>
            <w:r>
              <w:rPr>
                <w:noProof/>
                <w:webHidden/>
              </w:rPr>
              <w:fldChar w:fldCharType="end"/>
            </w:r>
          </w:hyperlink>
        </w:p>
        <w:p w14:paraId="797720E0" w14:textId="36C1864C"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02" w:history="1">
            <w:r w:rsidRPr="009B3556">
              <w:rPr>
                <w:rStyle w:val="Hyperlink"/>
                <w:noProof/>
              </w:rPr>
              <w:t>Review of the Business</w:t>
            </w:r>
            <w:r>
              <w:rPr>
                <w:noProof/>
                <w:webHidden/>
              </w:rPr>
              <w:tab/>
            </w:r>
            <w:r>
              <w:rPr>
                <w:noProof/>
                <w:webHidden/>
              </w:rPr>
              <w:fldChar w:fldCharType="begin"/>
            </w:r>
            <w:r>
              <w:rPr>
                <w:noProof/>
                <w:webHidden/>
              </w:rPr>
              <w:instrText xml:space="preserve"> PAGEREF _Toc213058502 \h </w:instrText>
            </w:r>
            <w:r>
              <w:rPr>
                <w:noProof/>
                <w:webHidden/>
              </w:rPr>
            </w:r>
            <w:r>
              <w:rPr>
                <w:noProof/>
                <w:webHidden/>
              </w:rPr>
              <w:fldChar w:fldCharType="separate"/>
            </w:r>
            <w:r w:rsidR="000525D5">
              <w:rPr>
                <w:noProof/>
                <w:webHidden/>
              </w:rPr>
              <w:t>15</w:t>
            </w:r>
            <w:r>
              <w:rPr>
                <w:noProof/>
                <w:webHidden/>
              </w:rPr>
              <w:fldChar w:fldCharType="end"/>
            </w:r>
          </w:hyperlink>
        </w:p>
        <w:p w14:paraId="180255C8" w14:textId="63AC6E8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10" w:history="1">
            <w:r w:rsidRPr="009B3556">
              <w:rPr>
                <w:rStyle w:val="Hyperlink"/>
                <w:noProof/>
              </w:rPr>
              <w:t>Continuous Improvement</w:t>
            </w:r>
            <w:r>
              <w:rPr>
                <w:noProof/>
                <w:webHidden/>
              </w:rPr>
              <w:tab/>
            </w:r>
            <w:r>
              <w:rPr>
                <w:noProof/>
                <w:webHidden/>
              </w:rPr>
              <w:fldChar w:fldCharType="begin"/>
            </w:r>
            <w:r>
              <w:rPr>
                <w:noProof/>
                <w:webHidden/>
              </w:rPr>
              <w:instrText xml:space="preserve"> PAGEREF _Toc213058510 \h </w:instrText>
            </w:r>
            <w:r>
              <w:rPr>
                <w:noProof/>
                <w:webHidden/>
              </w:rPr>
            </w:r>
            <w:r>
              <w:rPr>
                <w:noProof/>
                <w:webHidden/>
              </w:rPr>
              <w:fldChar w:fldCharType="separate"/>
            </w:r>
            <w:r w:rsidR="000525D5">
              <w:rPr>
                <w:noProof/>
                <w:webHidden/>
              </w:rPr>
              <w:t>19</w:t>
            </w:r>
            <w:r>
              <w:rPr>
                <w:noProof/>
                <w:webHidden/>
              </w:rPr>
              <w:fldChar w:fldCharType="end"/>
            </w:r>
          </w:hyperlink>
        </w:p>
        <w:p w14:paraId="40A2CA18" w14:textId="7394A999" w:rsidR="00822505" w:rsidRPr="00822505" w:rsidRDefault="00822505" w:rsidP="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16" w:history="1">
            <w:r w:rsidRPr="009B3556">
              <w:rPr>
                <w:rStyle w:val="Hyperlink"/>
                <w:noProof/>
              </w:rPr>
              <w:t>Customer Focus</w:t>
            </w:r>
            <w:r>
              <w:rPr>
                <w:noProof/>
                <w:webHidden/>
              </w:rPr>
              <w:tab/>
            </w:r>
            <w:r>
              <w:rPr>
                <w:noProof/>
                <w:webHidden/>
              </w:rPr>
              <w:fldChar w:fldCharType="begin"/>
            </w:r>
            <w:r>
              <w:rPr>
                <w:noProof/>
                <w:webHidden/>
              </w:rPr>
              <w:instrText xml:space="preserve"> PAGEREF _Toc213058516 \h </w:instrText>
            </w:r>
            <w:r>
              <w:rPr>
                <w:noProof/>
                <w:webHidden/>
              </w:rPr>
            </w:r>
            <w:r>
              <w:rPr>
                <w:noProof/>
                <w:webHidden/>
              </w:rPr>
              <w:fldChar w:fldCharType="separate"/>
            </w:r>
            <w:r w:rsidR="000525D5">
              <w:rPr>
                <w:noProof/>
                <w:webHidden/>
              </w:rPr>
              <w:t>20</w:t>
            </w:r>
            <w:r>
              <w:rPr>
                <w:noProof/>
                <w:webHidden/>
              </w:rPr>
              <w:fldChar w:fldCharType="end"/>
            </w:r>
          </w:hyperlink>
        </w:p>
        <w:p w14:paraId="402FD9CE" w14:textId="6479340A"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25" w:history="1">
            <w:r w:rsidRPr="009B3556">
              <w:rPr>
                <w:rStyle w:val="Hyperlink"/>
                <w:noProof/>
              </w:rPr>
              <w:t>Climate Action</w:t>
            </w:r>
            <w:r>
              <w:rPr>
                <w:noProof/>
                <w:webHidden/>
              </w:rPr>
              <w:tab/>
            </w:r>
            <w:r>
              <w:rPr>
                <w:noProof/>
                <w:webHidden/>
              </w:rPr>
              <w:fldChar w:fldCharType="begin"/>
            </w:r>
            <w:r>
              <w:rPr>
                <w:noProof/>
                <w:webHidden/>
              </w:rPr>
              <w:instrText xml:space="preserve"> PAGEREF _Toc213058525 \h </w:instrText>
            </w:r>
            <w:r>
              <w:rPr>
                <w:noProof/>
                <w:webHidden/>
              </w:rPr>
            </w:r>
            <w:r>
              <w:rPr>
                <w:noProof/>
                <w:webHidden/>
              </w:rPr>
              <w:fldChar w:fldCharType="separate"/>
            </w:r>
            <w:r w:rsidR="000525D5">
              <w:rPr>
                <w:noProof/>
                <w:webHidden/>
              </w:rPr>
              <w:t>21</w:t>
            </w:r>
            <w:r>
              <w:rPr>
                <w:noProof/>
                <w:webHidden/>
              </w:rPr>
              <w:fldChar w:fldCharType="end"/>
            </w:r>
          </w:hyperlink>
        </w:p>
        <w:p w14:paraId="572A8505" w14:textId="3E7495F6"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31" w:history="1">
            <w:r w:rsidRPr="009B3556">
              <w:rPr>
                <w:rStyle w:val="Hyperlink"/>
                <w:noProof/>
              </w:rPr>
              <w:t>Connecting Communities</w:t>
            </w:r>
            <w:r>
              <w:rPr>
                <w:noProof/>
                <w:webHidden/>
              </w:rPr>
              <w:tab/>
            </w:r>
            <w:r>
              <w:rPr>
                <w:noProof/>
                <w:webHidden/>
              </w:rPr>
              <w:fldChar w:fldCharType="begin"/>
            </w:r>
            <w:r>
              <w:rPr>
                <w:noProof/>
                <w:webHidden/>
              </w:rPr>
              <w:instrText xml:space="preserve"> PAGEREF _Toc213058531 \h </w:instrText>
            </w:r>
            <w:r>
              <w:rPr>
                <w:noProof/>
                <w:webHidden/>
              </w:rPr>
            </w:r>
            <w:r>
              <w:rPr>
                <w:noProof/>
                <w:webHidden/>
              </w:rPr>
              <w:fldChar w:fldCharType="separate"/>
            </w:r>
            <w:r w:rsidR="000525D5">
              <w:rPr>
                <w:noProof/>
                <w:webHidden/>
              </w:rPr>
              <w:t>22</w:t>
            </w:r>
            <w:r>
              <w:rPr>
                <w:noProof/>
                <w:webHidden/>
              </w:rPr>
              <w:fldChar w:fldCharType="end"/>
            </w:r>
          </w:hyperlink>
        </w:p>
        <w:p w14:paraId="7976C83E" w14:textId="2317A398" w:rsidR="00822505" w:rsidRPr="00822505" w:rsidRDefault="00822505" w:rsidP="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38" w:history="1">
            <w:r w:rsidRPr="009B3556">
              <w:rPr>
                <w:rStyle w:val="Hyperlink"/>
                <w:noProof/>
              </w:rPr>
              <w:t>Key Achievements 2024-2025</w:t>
            </w:r>
            <w:r>
              <w:rPr>
                <w:noProof/>
                <w:webHidden/>
              </w:rPr>
              <w:tab/>
            </w:r>
            <w:r>
              <w:rPr>
                <w:noProof/>
                <w:webHidden/>
              </w:rPr>
              <w:fldChar w:fldCharType="begin"/>
            </w:r>
            <w:r>
              <w:rPr>
                <w:noProof/>
                <w:webHidden/>
              </w:rPr>
              <w:instrText xml:space="preserve"> PAGEREF _Toc213058538 \h </w:instrText>
            </w:r>
            <w:r>
              <w:rPr>
                <w:noProof/>
                <w:webHidden/>
              </w:rPr>
            </w:r>
            <w:r>
              <w:rPr>
                <w:noProof/>
                <w:webHidden/>
              </w:rPr>
              <w:fldChar w:fldCharType="separate"/>
            </w:r>
            <w:r w:rsidR="000525D5">
              <w:rPr>
                <w:noProof/>
                <w:webHidden/>
              </w:rPr>
              <w:t>23</w:t>
            </w:r>
            <w:r>
              <w:rPr>
                <w:noProof/>
                <w:webHidden/>
              </w:rPr>
              <w:fldChar w:fldCharType="end"/>
            </w:r>
          </w:hyperlink>
        </w:p>
        <w:p w14:paraId="5CECF100" w14:textId="5A1DDF0C"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49" w:history="1">
            <w:r w:rsidRPr="009B3556">
              <w:rPr>
                <w:rStyle w:val="Hyperlink"/>
                <w:noProof/>
              </w:rPr>
              <w:t>The Translink SPIRIT</w:t>
            </w:r>
            <w:r>
              <w:rPr>
                <w:noProof/>
                <w:webHidden/>
              </w:rPr>
              <w:tab/>
            </w:r>
            <w:r>
              <w:rPr>
                <w:noProof/>
                <w:webHidden/>
              </w:rPr>
              <w:fldChar w:fldCharType="begin"/>
            </w:r>
            <w:r>
              <w:rPr>
                <w:noProof/>
                <w:webHidden/>
              </w:rPr>
              <w:instrText xml:space="preserve"> PAGEREF _Toc213058549 \h </w:instrText>
            </w:r>
            <w:r>
              <w:rPr>
                <w:noProof/>
                <w:webHidden/>
              </w:rPr>
            </w:r>
            <w:r>
              <w:rPr>
                <w:noProof/>
                <w:webHidden/>
              </w:rPr>
              <w:fldChar w:fldCharType="separate"/>
            </w:r>
            <w:r w:rsidR="000525D5">
              <w:rPr>
                <w:noProof/>
                <w:webHidden/>
              </w:rPr>
              <w:t>28</w:t>
            </w:r>
            <w:r>
              <w:rPr>
                <w:noProof/>
                <w:webHidden/>
              </w:rPr>
              <w:fldChar w:fldCharType="end"/>
            </w:r>
          </w:hyperlink>
        </w:p>
        <w:p w14:paraId="042DB60E" w14:textId="50A28757"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557" w:history="1">
            <w:r w:rsidRPr="009B3556">
              <w:rPr>
                <w:rStyle w:val="Hyperlink"/>
                <w:noProof/>
              </w:rPr>
              <w:t>Directors’ Report</w:t>
            </w:r>
            <w:r>
              <w:rPr>
                <w:noProof/>
                <w:webHidden/>
              </w:rPr>
              <w:tab/>
            </w:r>
            <w:r>
              <w:rPr>
                <w:noProof/>
                <w:webHidden/>
              </w:rPr>
              <w:fldChar w:fldCharType="begin"/>
            </w:r>
            <w:r>
              <w:rPr>
                <w:noProof/>
                <w:webHidden/>
              </w:rPr>
              <w:instrText xml:space="preserve"> PAGEREF _Toc213058557 \h </w:instrText>
            </w:r>
            <w:r>
              <w:rPr>
                <w:noProof/>
                <w:webHidden/>
              </w:rPr>
            </w:r>
            <w:r>
              <w:rPr>
                <w:noProof/>
                <w:webHidden/>
              </w:rPr>
              <w:fldChar w:fldCharType="separate"/>
            </w:r>
            <w:r w:rsidR="000525D5">
              <w:rPr>
                <w:noProof/>
                <w:webHidden/>
              </w:rPr>
              <w:t>32</w:t>
            </w:r>
            <w:r>
              <w:rPr>
                <w:noProof/>
                <w:webHidden/>
              </w:rPr>
              <w:fldChar w:fldCharType="end"/>
            </w:r>
          </w:hyperlink>
        </w:p>
        <w:p w14:paraId="7B761C9A" w14:textId="50FD02E8" w:rsidR="00822505" w:rsidRDefault="00822505">
          <w:pPr>
            <w:pStyle w:val="TOC3"/>
            <w:tabs>
              <w:tab w:val="right" w:leader="dot" w:pos="10450"/>
            </w:tabs>
            <w:rPr>
              <w:rFonts w:eastAsiaTheme="minorEastAsia" w:cstheme="minorBidi"/>
              <w:noProof/>
              <w:kern w:val="2"/>
              <w:sz w:val="24"/>
              <w:szCs w:val="24"/>
              <w:lang w:eastAsia="en-GB"/>
              <w14:ligatures w14:val="standardContextual"/>
            </w:rPr>
          </w:pPr>
          <w:hyperlink w:anchor="_Toc213058576" w:history="1">
            <w:r w:rsidRPr="009B3556">
              <w:rPr>
                <w:rStyle w:val="Hyperlink"/>
                <w:noProof/>
              </w:rPr>
              <w:t>Credit Risk</w:t>
            </w:r>
            <w:r>
              <w:rPr>
                <w:noProof/>
                <w:webHidden/>
              </w:rPr>
              <w:tab/>
            </w:r>
            <w:r>
              <w:rPr>
                <w:noProof/>
                <w:webHidden/>
              </w:rPr>
              <w:fldChar w:fldCharType="begin"/>
            </w:r>
            <w:r>
              <w:rPr>
                <w:noProof/>
                <w:webHidden/>
              </w:rPr>
              <w:instrText xml:space="preserve"> PAGEREF _Toc213058576 \h </w:instrText>
            </w:r>
            <w:r>
              <w:rPr>
                <w:noProof/>
                <w:webHidden/>
              </w:rPr>
            </w:r>
            <w:r>
              <w:rPr>
                <w:noProof/>
                <w:webHidden/>
              </w:rPr>
              <w:fldChar w:fldCharType="separate"/>
            </w:r>
            <w:r w:rsidR="000525D5">
              <w:rPr>
                <w:noProof/>
                <w:webHidden/>
              </w:rPr>
              <w:t>39</w:t>
            </w:r>
            <w:r>
              <w:rPr>
                <w:noProof/>
                <w:webHidden/>
              </w:rPr>
              <w:fldChar w:fldCharType="end"/>
            </w:r>
          </w:hyperlink>
        </w:p>
        <w:p w14:paraId="7D3440AB" w14:textId="6AECDAB3" w:rsidR="00822505" w:rsidRDefault="00822505">
          <w:pPr>
            <w:pStyle w:val="TOC3"/>
            <w:tabs>
              <w:tab w:val="right" w:leader="dot" w:pos="10450"/>
            </w:tabs>
            <w:rPr>
              <w:rFonts w:eastAsiaTheme="minorEastAsia" w:cstheme="minorBidi"/>
              <w:noProof/>
              <w:kern w:val="2"/>
              <w:sz w:val="24"/>
              <w:szCs w:val="24"/>
              <w:lang w:eastAsia="en-GB"/>
              <w14:ligatures w14:val="standardContextual"/>
            </w:rPr>
          </w:pPr>
          <w:hyperlink w:anchor="_Toc213058577" w:history="1">
            <w:r w:rsidRPr="009B3556">
              <w:rPr>
                <w:rStyle w:val="Hyperlink"/>
                <w:noProof/>
              </w:rPr>
              <w:t>Liquidity Risk</w:t>
            </w:r>
            <w:r>
              <w:rPr>
                <w:noProof/>
                <w:webHidden/>
              </w:rPr>
              <w:tab/>
            </w:r>
            <w:r>
              <w:rPr>
                <w:noProof/>
                <w:webHidden/>
              </w:rPr>
              <w:fldChar w:fldCharType="begin"/>
            </w:r>
            <w:r>
              <w:rPr>
                <w:noProof/>
                <w:webHidden/>
              </w:rPr>
              <w:instrText xml:space="preserve"> PAGEREF _Toc213058577 \h </w:instrText>
            </w:r>
            <w:r>
              <w:rPr>
                <w:noProof/>
                <w:webHidden/>
              </w:rPr>
            </w:r>
            <w:r>
              <w:rPr>
                <w:noProof/>
                <w:webHidden/>
              </w:rPr>
              <w:fldChar w:fldCharType="separate"/>
            </w:r>
            <w:r w:rsidR="000525D5">
              <w:rPr>
                <w:noProof/>
                <w:webHidden/>
              </w:rPr>
              <w:t>39</w:t>
            </w:r>
            <w:r>
              <w:rPr>
                <w:noProof/>
                <w:webHidden/>
              </w:rPr>
              <w:fldChar w:fldCharType="end"/>
            </w:r>
          </w:hyperlink>
        </w:p>
        <w:p w14:paraId="58A1E292" w14:textId="576CA9C1" w:rsidR="00822505" w:rsidRDefault="00822505">
          <w:pPr>
            <w:pStyle w:val="TOC3"/>
            <w:tabs>
              <w:tab w:val="right" w:leader="dot" w:pos="10450"/>
            </w:tabs>
            <w:rPr>
              <w:rFonts w:eastAsiaTheme="minorEastAsia" w:cstheme="minorBidi"/>
              <w:noProof/>
              <w:kern w:val="2"/>
              <w:sz w:val="24"/>
              <w:szCs w:val="24"/>
              <w:lang w:eastAsia="en-GB"/>
              <w14:ligatures w14:val="standardContextual"/>
            </w:rPr>
          </w:pPr>
          <w:hyperlink w:anchor="_Toc213058578" w:history="1">
            <w:r w:rsidRPr="009B3556">
              <w:rPr>
                <w:rStyle w:val="Hyperlink"/>
                <w:noProof/>
              </w:rPr>
              <w:t>Going Concern</w:t>
            </w:r>
            <w:r>
              <w:rPr>
                <w:noProof/>
                <w:webHidden/>
              </w:rPr>
              <w:tab/>
            </w:r>
            <w:r>
              <w:rPr>
                <w:noProof/>
                <w:webHidden/>
              </w:rPr>
              <w:fldChar w:fldCharType="begin"/>
            </w:r>
            <w:r>
              <w:rPr>
                <w:noProof/>
                <w:webHidden/>
              </w:rPr>
              <w:instrText xml:space="preserve"> PAGEREF _Toc213058578 \h </w:instrText>
            </w:r>
            <w:r>
              <w:rPr>
                <w:noProof/>
                <w:webHidden/>
              </w:rPr>
            </w:r>
            <w:r>
              <w:rPr>
                <w:noProof/>
                <w:webHidden/>
              </w:rPr>
              <w:fldChar w:fldCharType="separate"/>
            </w:r>
            <w:r w:rsidR="000525D5">
              <w:rPr>
                <w:noProof/>
                <w:webHidden/>
              </w:rPr>
              <w:t>40</w:t>
            </w:r>
            <w:r>
              <w:rPr>
                <w:noProof/>
                <w:webHidden/>
              </w:rPr>
              <w:fldChar w:fldCharType="end"/>
            </w:r>
          </w:hyperlink>
        </w:p>
        <w:p w14:paraId="557DDE05" w14:textId="209D8538" w:rsidR="00822505" w:rsidRDefault="00822505">
          <w:pPr>
            <w:pStyle w:val="TOC3"/>
            <w:tabs>
              <w:tab w:val="right" w:leader="dot" w:pos="10450"/>
            </w:tabs>
            <w:rPr>
              <w:rFonts w:eastAsiaTheme="minorEastAsia" w:cstheme="minorBidi"/>
              <w:noProof/>
              <w:kern w:val="2"/>
              <w:sz w:val="24"/>
              <w:szCs w:val="24"/>
              <w:lang w:eastAsia="en-GB"/>
              <w14:ligatures w14:val="standardContextual"/>
            </w:rPr>
          </w:pPr>
          <w:hyperlink w:anchor="_Toc213058579" w:history="1">
            <w:r w:rsidRPr="009B3556">
              <w:rPr>
                <w:rStyle w:val="Hyperlink"/>
                <w:noProof/>
              </w:rPr>
              <w:t>Post Balance Sheet Events</w:t>
            </w:r>
            <w:r>
              <w:rPr>
                <w:noProof/>
                <w:webHidden/>
              </w:rPr>
              <w:tab/>
            </w:r>
            <w:r>
              <w:rPr>
                <w:noProof/>
                <w:webHidden/>
              </w:rPr>
              <w:fldChar w:fldCharType="begin"/>
            </w:r>
            <w:r>
              <w:rPr>
                <w:noProof/>
                <w:webHidden/>
              </w:rPr>
              <w:instrText xml:space="preserve"> PAGEREF _Toc213058579 \h </w:instrText>
            </w:r>
            <w:r>
              <w:rPr>
                <w:noProof/>
                <w:webHidden/>
              </w:rPr>
            </w:r>
            <w:r>
              <w:rPr>
                <w:noProof/>
                <w:webHidden/>
              </w:rPr>
              <w:fldChar w:fldCharType="separate"/>
            </w:r>
            <w:r w:rsidR="000525D5">
              <w:rPr>
                <w:noProof/>
                <w:webHidden/>
              </w:rPr>
              <w:t>41</w:t>
            </w:r>
            <w:r>
              <w:rPr>
                <w:noProof/>
                <w:webHidden/>
              </w:rPr>
              <w:fldChar w:fldCharType="end"/>
            </w:r>
          </w:hyperlink>
        </w:p>
        <w:p w14:paraId="58BB3DA2" w14:textId="396260D1"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580" w:history="1">
            <w:r w:rsidRPr="009B3556">
              <w:rPr>
                <w:rStyle w:val="Hyperlink"/>
                <w:noProof/>
              </w:rPr>
              <w:t>Statement of Directors’ Responsibilities  in Respect of the Directors’ Report and  the Financial Statements</w:t>
            </w:r>
            <w:r>
              <w:rPr>
                <w:noProof/>
                <w:webHidden/>
              </w:rPr>
              <w:tab/>
            </w:r>
            <w:r>
              <w:rPr>
                <w:noProof/>
                <w:webHidden/>
              </w:rPr>
              <w:fldChar w:fldCharType="begin"/>
            </w:r>
            <w:r>
              <w:rPr>
                <w:noProof/>
                <w:webHidden/>
              </w:rPr>
              <w:instrText xml:space="preserve"> PAGEREF _Toc213058580 \h </w:instrText>
            </w:r>
            <w:r>
              <w:rPr>
                <w:noProof/>
                <w:webHidden/>
              </w:rPr>
            </w:r>
            <w:r>
              <w:rPr>
                <w:noProof/>
                <w:webHidden/>
              </w:rPr>
              <w:fldChar w:fldCharType="separate"/>
            </w:r>
            <w:r w:rsidR="000525D5">
              <w:rPr>
                <w:noProof/>
                <w:webHidden/>
              </w:rPr>
              <w:t>42</w:t>
            </w:r>
            <w:r>
              <w:rPr>
                <w:noProof/>
                <w:webHidden/>
              </w:rPr>
              <w:fldChar w:fldCharType="end"/>
            </w:r>
          </w:hyperlink>
        </w:p>
        <w:p w14:paraId="22384532" w14:textId="58AC64C0"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581" w:history="1">
            <w:r w:rsidRPr="009B3556">
              <w:rPr>
                <w:rStyle w:val="Hyperlink"/>
                <w:noProof/>
              </w:rPr>
              <w:t>Corporate Governance Statement</w:t>
            </w:r>
            <w:r>
              <w:rPr>
                <w:noProof/>
                <w:webHidden/>
              </w:rPr>
              <w:tab/>
            </w:r>
            <w:r>
              <w:rPr>
                <w:noProof/>
                <w:webHidden/>
              </w:rPr>
              <w:fldChar w:fldCharType="begin"/>
            </w:r>
            <w:r>
              <w:rPr>
                <w:noProof/>
                <w:webHidden/>
              </w:rPr>
              <w:instrText xml:space="preserve"> PAGEREF _Toc213058581 \h </w:instrText>
            </w:r>
            <w:r>
              <w:rPr>
                <w:noProof/>
                <w:webHidden/>
              </w:rPr>
            </w:r>
            <w:r>
              <w:rPr>
                <w:noProof/>
                <w:webHidden/>
              </w:rPr>
              <w:fldChar w:fldCharType="separate"/>
            </w:r>
            <w:r w:rsidR="000525D5">
              <w:rPr>
                <w:noProof/>
                <w:webHidden/>
              </w:rPr>
              <w:t>44</w:t>
            </w:r>
            <w:r>
              <w:rPr>
                <w:noProof/>
                <w:webHidden/>
              </w:rPr>
              <w:fldChar w:fldCharType="end"/>
            </w:r>
          </w:hyperlink>
        </w:p>
        <w:p w14:paraId="63C364BB" w14:textId="2C5A87DE"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82" w:history="1">
            <w:r w:rsidRPr="009B3556">
              <w:rPr>
                <w:rStyle w:val="Hyperlink"/>
                <w:noProof/>
              </w:rPr>
              <w:t>Relationship with the Department</w:t>
            </w:r>
            <w:r>
              <w:rPr>
                <w:noProof/>
                <w:webHidden/>
              </w:rPr>
              <w:tab/>
            </w:r>
            <w:r>
              <w:rPr>
                <w:noProof/>
                <w:webHidden/>
              </w:rPr>
              <w:fldChar w:fldCharType="begin"/>
            </w:r>
            <w:r>
              <w:rPr>
                <w:noProof/>
                <w:webHidden/>
              </w:rPr>
              <w:instrText xml:space="preserve"> PAGEREF _Toc213058582 \h </w:instrText>
            </w:r>
            <w:r>
              <w:rPr>
                <w:noProof/>
                <w:webHidden/>
              </w:rPr>
            </w:r>
            <w:r>
              <w:rPr>
                <w:noProof/>
                <w:webHidden/>
              </w:rPr>
              <w:fldChar w:fldCharType="separate"/>
            </w:r>
            <w:r w:rsidR="000525D5">
              <w:rPr>
                <w:noProof/>
                <w:webHidden/>
              </w:rPr>
              <w:t>45</w:t>
            </w:r>
            <w:r>
              <w:rPr>
                <w:noProof/>
                <w:webHidden/>
              </w:rPr>
              <w:fldChar w:fldCharType="end"/>
            </w:r>
          </w:hyperlink>
        </w:p>
        <w:p w14:paraId="59FC4468" w14:textId="3392436A"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83" w:history="1">
            <w:r w:rsidRPr="009B3556">
              <w:rPr>
                <w:rStyle w:val="Hyperlink"/>
                <w:noProof/>
              </w:rPr>
              <w:t>The Role of the Board</w:t>
            </w:r>
            <w:r>
              <w:rPr>
                <w:noProof/>
                <w:webHidden/>
              </w:rPr>
              <w:tab/>
            </w:r>
            <w:r>
              <w:rPr>
                <w:noProof/>
                <w:webHidden/>
              </w:rPr>
              <w:fldChar w:fldCharType="begin"/>
            </w:r>
            <w:r>
              <w:rPr>
                <w:noProof/>
                <w:webHidden/>
              </w:rPr>
              <w:instrText xml:space="preserve"> PAGEREF _Toc213058583 \h </w:instrText>
            </w:r>
            <w:r>
              <w:rPr>
                <w:noProof/>
                <w:webHidden/>
              </w:rPr>
            </w:r>
            <w:r>
              <w:rPr>
                <w:noProof/>
                <w:webHidden/>
              </w:rPr>
              <w:fldChar w:fldCharType="separate"/>
            </w:r>
            <w:r w:rsidR="000525D5">
              <w:rPr>
                <w:noProof/>
                <w:webHidden/>
              </w:rPr>
              <w:t>46</w:t>
            </w:r>
            <w:r>
              <w:rPr>
                <w:noProof/>
                <w:webHidden/>
              </w:rPr>
              <w:fldChar w:fldCharType="end"/>
            </w:r>
          </w:hyperlink>
        </w:p>
        <w:p w14:paraId="3DD927E4" w14:textId="2B33B7D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84" w:history="1">
            <w:r w:rsidRPr="009B3556">
              <w:rPr>
                <w:rStyle w:val="Hyperlink"/>
                <w:noProof/>
              </w:rPr>
              <w:t>Division of responsibilities</w:t>
            </w:r>
            <w:r>
              <w:rPr>
                <w:noProof/>
                <w:webHidden/>
              </w:rPr>
              <w:tab/>
            </w:r>
            <w:r>
              <w:rPr>
                <w:noProof/>
                <w:webHidden/>
              </w:rPr>
              <w:fldChar w:fldCharType="begin"/>
            </w:r>
            <w:r>
              <w:rPr>
                <w:noProof/>
                <w:webHidden/>
              </w:rPr>
              <w:instrText xml:space="preserve"> PAGEREF _Toc213058584 \h </w:instrText>
            </w:r>
            <w:r>
              <w:rPr>
                <w:noProof/>
                <w:webHidden/>
              </w:rPr>
            </w:r>
            <w:r>
              <w:rPr>
                <w:noProof/>
                <w:webHidden/>
              </w:rPr>
              <w:fldChar w:fldCharType="separate"/>
            </w:r>
            <w:r w:rsidR="000525D5">
              <w:rPr>
                <w:noProof/>
                <w:webHidden/>
              </w:rPr>
              <w:t>46</w:t>
            </w:r>
            <w:r>
              <w:rPr>
                <w:noProof/>
                <w:webHidden/>
              </w:rPr>
              <w:fldChar w:fldCharType="end"/>
            </w:r>
          </w:hyperlink>
        </w:p>
        <w:p w14:paraId="211F509E" w14:textId="7B682443"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88" w:history="1">
            <w:r w:rsidRPr="009B3556">
              <w:rPr>
                <w:rStyle w:val="Hyperlink"/>
                <w:noProof/>
              </w:rPr>
              <w:t>Board Effectiveness</w:t>
            </w:r>
            <w:r>
              <w:rPr>
                <w:noProof/>
                <w:webHidden/>
              </w:rPr>
              <w:tab/>
            </w:r>
            <w:r>
              <w:rPr>
                <w:noProof/>
                <w:webHidden/>
              </w:rPr>
              <w:fldChar w:fldCharType="begin"/>
            </w:r>
            <w:r>
              <w:rPr>
                <w:noProof/>
                <w:webHidden/>
              </w:rPr>
              <w:instrText xml:space="preserve"> PAGEREF _Toc213058588 \h </w:instrText>
            </w:r>
            <w:r>
              <w:rPr>
                <w:noProof/>
                <w:webHidden/>
              </w:rPr>
            </w:r>
            <w:r>
              <w:rPr>
                <w:noProof/>
                <w:webHidden/>
              </w:rPr>
              <w:fldChar w:fldCharType="separate"/>
            </w:r>
            <w:r w:rsidR="000525D5">
              <w:rPr>
                <w:noProof/>
                <w:webHidden/>
              </w:rPr>
              <w:t>47</w:t>
            </w:r>
            <w:r>
              <w:rPr>
                <w:noProof/>
                <w:webHidden/>
              </w:rPr>
              <w:fldChar w:fldCharType="end"/>
            </w:r>
          </w:hyperlink>
        </w:p>
        <w:p w14:paraId="0081483C" w14:textId="7F43A409"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595" w:history="1">
            <w:r w:rsidRPr="009B3556">
              <w:rPr>
                <w:rStyle w:val="Hyperlink"/>
                <w:noProof/>
              </w:rPr>
              <w:t>Sources of Assurance and Risk Management Controls</w:t>
            </w:r>
            <w:r>
              <w:rPr>
                <w:noProof/>
                <w:webHidden/>
              </w:rPr>
              <w:tab/>
            </w:r>
            <w:r>
              <w:rPr>
                <w:noProof/>
                <w:webHidden/>
              </w:rPr>
              <w:fldChar w:fldCharType="begin"/>
            </w:r>
            <w:r>
              <w:rPr>
                <w:noProof/>
                <w:webHidden/>
              </w:rPr>
              <w:instrText xml:space="preserve"> PAGEREF _Toc213058595 \h </w:instrText>
            </w:r>
            <w:r>
              <w:rPr>
                <w:noProof/>
                <w:webHidden/>
              </w:rPr>
            </w:r>
            <w:r>
              <w:rPr>
                <w:noProof/>
                <w:webHidden/>
              </w:rPr>
              <w:fldChar w:fldCharType="separate"/>
            </w:r>
            <w:r w:rsidR="000525D5">
              <w:rPr>
                <w:noProof/>
                <w:webHidden/>
              </w:rPr>
              <w:t>49</w:t>
            </w:r>
            <w:r>
              <w:rPr>
                <w:noProof/>
                <w:webHidden/>
              </w:rPr>
              <w:fldChar w:fldCharType="end"/>
            </w:r>
          </w:hyperlink>
        </w:p>
        <w:p w14:paraId="2DB609B9" w14:textId="485C30E5"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11" w:history="1">
            <w:r w:rsidRPr="009B3556">
              <w:rPr>
                <w:rStyle w:val="Hyperlink"/>
                <w:noProof/>
              </w:rPr>
              <w:t>Conclusion</w:t>
            </w:r>
            <w:r>
              <w:rPr>
                <w:noProof/>
                <w:webHidden/>
              </w:rPr>
              <w:tab/>
            </w:r>
            <w:r>
              <w:rPr>
                <w:noProof/>
                <w:webHidden/>
              </w:rPr>
              <w:fldChar w:fldCharType="begin"/>
            </w:r>
            <w:r>
              <w:rPr>
                <w:noProof/>
                <w:webHidden/>
              </w:rPr>
              <w:instrText xml:space="preserve"> PAGEREF _Toc213058611 \h </w:instrText>
            </w:r>
            <w:r>
              <w:rPr>
                <w:noProof/>
                <w:webHidden/>
              </w:rPr>
            </w:r>
            <w:r>
              <w:rPr>
                <w:noProof/>
                <w:webHidden/>
              </w:rPr>
              <w:fldChar w:fldCharType="separate"/>
            </w:r>
            <w:r w:rsidR="000525D5">
              <w:rPr>
                <w:noProof/>
                <w:webHidden/>
              </w:rPr>
              <w:t>54</w:t>
            </w:r>
            <w:r>
              <w:rPr>
                <w:noProof/>
                <w:webHidden/>
              </w:rPr>
              <w:fldChar w:fldCharType="end"/>
            </w:r>
          </w:hyperlink>
        </w:p>
        <w:p w14:paraId="3B9FD2CD" w14:textId="2E751046"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12" w:history="1">
            <w:r w:rsidRPr="009B3556">
              <w:rPr>
                <w:rStyle w:val="Hyperlink"/>
                <w:noProof/>
              </w:rPr>
              <w:t>Audit and Risk</w:t>
            </w:r>
            <w:r>
              <w:rPr>
                <w:noProof/>
                <w:webHidden/>
              </w:rPr>
              <w:tab/>
            </w:r>
            <w:r>
              <w:rPr>
                <w:noProof/>
                <w:webHidden/>
              </w:rPr>
              <w:fldChar w:fldCharType="begin"/>
            </w:r>
            <w:r>
              <w:rPr>
                <w:noProof/>
                <w:webHidden/>
              </w:rPr>
              <w:instrText xml:space="preserve"> PAGEREF _Toc213058612 \h </w:instrText>
            </w:r>
            <w:r>
              <w:rPr>
                <w:noProof/>
                <w:webHidden/>
              </w:rPr>
            </w:r>
            <w:r>
              <w:rPr>
                <w:noProof/>
                <w:webHidden/>
              </w:rPr>
              <w:fldChar w:fldCharType="separate"/>
            </w:r>
            <w:r w:rsidR="000525D5">
              <w:rPr>
                <w:noProof/>
                <w:webHidden/>
              </w:rPr>
              <w:t>55</w:t>
            </w:r>
            <w:r>
              <w:rPr>
                <w:noProof/>
                <w:webHidden/>
              </w:rPr>
              <w:fldChar w:fldCharType="end"/>
            </w:r>
          </w:hyperlink>
        </w:p>
        <w:p w14:paraId="7D66DF15" w14:textId="3E440A1D"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13" w:history="1">
            <w:r w:rsidRPr="009B3556">
              <w:rPr>
                <w:rStyle w:val="Hyperlink"/>
                <w:noProof/>
              </w:rPr>
              <w:t>Committee Report</w:t>
            </w:r>
            <w:r>
              <w:rPr>
                <w:noProof/>
                <w:webHidden/>
              </w:rPr>
              <w:tab/>
            </w:r>
            <w:r>
              <w:rPr>
                <w:noProof/>
                <w:webHidden/>
              </w:rPr>
              <w:fldChar w:fldCharType="begin"/>
            </w:r>
            <w:r>
              <w:rPr>
                <w:noProof/>
                <w:webHidden/>
              </w:rPr>
              <w:instrText xml:space="preserve"> PAGEREF _Toc213058613 \h </w:instrText>
            </w:r>
            <w:r>
              <w:rPr>
                <w:noProof/>
                <w:webHidden/>
              </w:rPr>
            </w:r>
            <w:r>
              <w:rPr>
                <w:noProof/>
                <w:webHidden/>
              </w:rPr>
              <w:fldChar w:fldCharType="separate"/>
            </w:r>
            <w:r w:rsidR="000525D5">
              <w:rPr>
                <w:noProof/>
                <w:webHidden/>
              </w:rPr>
              <w:t>55</w:t>
            </w:r>
            <w:r>
              <w:rPr>
                <w:noProof/>
                <w:webHidden/>
              </w:rPr>
              <w:fldChar w:fldCharType="end"/>
            </w:r>
          </w:hyperlink>
        </w:p>
        <w:p w14:paraId="6E8915F2" w14:textId="101EB4D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14" w:history="1">
            <w:r w:rsidRPr="009B3556">
              <w:rPr>
                <w:rStyle w:val="Hyperlink"/>
                <w:noProof/>
              </w:rPr>
              <w:t>Summary of the Role of the Audit Committee</w:t>
            </w:r>
            <w:r>
              <w:rPr>
                <w:noProof/>
                <w:webHidden/>
              </w:rPr>
              <w:tab/>
            </w:r>
            <w:r>
              <w:rPr>
                <w:noProof/>
                <w:webHidden/>
              </w:rPr>
              <w:fldChar w:fldCharType="begin"/>
            </w:r>
            <w:r>
              <w:rPr>
                <w:noProof/>
                <w:webHidden/>
              </w:rPr>
              <w:instrText xml:space="preserve"> PAGEREF _Toc213058614 \h </w:instrText>
            </w:r>
            <w:r>
              <w:rPr>
                <w:noProof/>
                <w:webHidden/>
              </w:rPr>
            </w:r>
            <w:r>
              <w:rPr>
                <w:noProof/>
                <w:webHidden/>
              </w:rPr>
              <w:fldChar w:fldCharType="separate"/>
            </w:r>
            <w:r w:rsidR="000525D5">
              <w:rPr>
                <w:noProof/>
                <w:webHidden/>
              </w:rPr>
              <w:t>55</w:t>
            </w:r>
            <w:r>
              <w:rPr>
                <w:noProof/>
                <w:webHidden/>
              </w:rPr>
              <w:fldChar w:fldCharType="end"/>
            </w:r>
          </w:hyperlink>
        </w:p>
        <w:p w14:paraId="1C1BE5B8" w14:textId="7547C511"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15" w:history="1">
            <w:r w:rsidRPr="009B3556">
              <w:rPr>
                <w:rStyle w:val="Hyperlink"/>
                <w:noProof/>
              </w:rPr>
              <w:t>Composition of the Audit Committee</w:t>
            </w:r>
            <w:r>
              <w:rPr>
                <w:noProof/>
                <w:webHidden/>
              </w:rPr>
              <w:tab/>
            </w:r>
            <w:r>
              <w:rPr>
                <w:noProof/>
                <w:webHidden/>
              </w:rPr>
              <w:fldChar w:fldCharType="begin"/>
            </w:r>
            <w:r>
              <w:rPr>
                <w:noProof/>
                <w:webHidden/>
              </w:rPr>
              <w:instrText xml:space="preserve"> PAGEREF _Toc213058615 \h </w:instrText>
            </w:r>
            <w:r>
              <w:rPr>
                <w:noProof/>
                <w:webHidden/>
              </w:rPr>
            </w:r>
            <w:r>
              <w:rPr>
                <w:noProof/>
                <w:webHidden/>
              </w:rPr>
              <w:fldChar w:fldCharType="separate"/>
            </w:r>
            <w:r w:rsidR="000525D5">
              <w:rPr>
                <w:noProof/>
                <w:webHidden/>
              </w:rPr>
              <w:t>55</w:t>
            </w:r>
            <w:r>
              <w:rPr>
                <w:noProof/>
                <w:webHidden/>
              </w:rPr>
              <w:fldChar w:fldCharType="end"/>
            </w:r>
          </w:hyperlink>
        </w:p>
        <w:p w14:paraId="761B10B2" w14:textId="49CFD55E"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18" w:history="1">
            <w:r w:rsidRPr="009B3556">
              <w:rPr>
                <w:rStyle w:val="Hyperlink"/>
                <w:noProof/>
              </w:rPr>
              <w:t>Governance</w:t>
            </w:r>
            <w:r>
              <w:rPr>
                <w:noProof/>
                <w:webHidden/>
              </w:rPr>
              <w:tab/>
            </w:r>
            <w:r>
              <w:rPr>
                <w:noProof/>
                <w:webHidden/>
              </w:rPr>
              <w:fldChar w:fldCharType="begin"/>
            </w:r>
            <w:r>
              <w:rPr>
                <w:noProof/>
                <w:webHidden/>
              </w:rPr>
              <w:instrText xml:space="preserve"> PAGEREF _Toc213058618 \h </w:instrText>
            </w:r>
            <w:r>
              <w:rPr>
                <w:noProof/>
                <w:webHidden/>
              </w:rPr>
            </w:r>
            <w:r>
              <w:rPr>
                <w:noProof/>
                <w:webHidden/>
              </w:rPr>
              <w:fldChar w:fldCharType="separate"/>
            </w:r>
            <w:r w:rsidR="000525D5">
              <w:rPr>
                <w:noProof/>
                <w:webHidden/>
              </w:rPr>
              <w:t>56</w:t>
            </w:r>
            <w:r>
              <w:rPr>
                <w:noProof/>
                <w:webHidden/>
              </w:rPr>
              <w:fldChar w:fldCharType="end"/>
            </w:r>
          </w:hyperlink>
        </w:p>
        <w:p w14:paraId="075C796C" w14:textId="45B64B1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19" w:history="1">
            <w:r w:rsidRPr="009B3556">
              <w:rPr>
                <w:rStyle w:val="Hyperlink"/>
                <w:noProof/>
              </w:rPr>
              <w:t>Activities in Respect of the Year</w:t>
            </w:r>
            <w:r>
              <w:rPr>
                <w:noProof/>
                <w:webHidden/>
              </w:rPr>
              <w:tab/>
            </w:r>
            <w:r>
              <w:rPr>
                <w:noProof/>
                <w:webHidden/>
              </w:rPr>
              <w:fldChar w:fldCharType="begin"/>
            </w:r>
            <w:r>
              <w:rPr>
                <w:noProof/>
                <w:webHidden/>
              </w:rPr>
              <w:instrText xml:space="preserve"> PAGEREF _Toc213058619 \h </w:instrText>
            </w:r>
            <w:r>
              <w:rPr>
                <w:noProof/>
                <w:webHidden/>
              </w:rPr>
            </w:r>
            <w:r>
              <w:rPr>
                <w:noProof/>
                <w:webHidden/>
              </w:rPr>
              <w:fldChar w:fldCharType="separate"/>
            </w:r>
            <w:r w:rsidR="000525D5">
              <w:rPr>
                <w:noProof/>
                <w:webHidden/>
              </w:rPr>
              <w:t>57</w:t>
            </w:r>
            <w:r>
              <w:rPr>
                <w:noProof/>
                <w:webHidden/>
              </w:rPr>
              <w:fldChar w:fldCharType="end"/>
            </w:r>
          </w:hyperlink>
        </w:p>
        <w:p w14:paraId="6ED6C98E" w14:textId="4FEB1B6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26" w:history="1">
            <w:r w:rsidRPr="009B3556">
              <w:rPr>
                <w:rStyle w:val="Hyperlink"/>
                <w:noProof/>
              </w:rPr>
              <w:t>Conclusion</w:t>
            </w:r>
            <w:r>
              <w:rPr>
                <w:noProof/>
                <w:webHidden/>
              </w:rPr>
              <w:tab/>
            </w:r>
            <w:r>
              <w:rPr>
                <w:noProof/>
                <w:webHidden/>
              </w:rPr>
              <w:fldChar w:fldCharType="begin"/>
            </w:r>
            <w:r>
              <w:rPr>
                <w:noProof/>
                <w:webHidden/>
              </w:rPr>
              <w:instrText xml:space="preserve"> PAGEREF _Toc213058626 \h </w:instrText>
            </w:r>
            <w:r>
              <w:rPr>
                <w:noProof/>
                <w:webHidden/>
              </w:rPr>
            </w:r>
            <w:r>
              <w:rPr>
                <w:noProof/>
                <w:webHidden/>
              </w:rPr>
              <w:fldChar w:fldCharType="separate"/>
            </w:r>
            <w:r w:rsidR="000525D5">
              <w:rPr>
                <w:noProof/>
                <w:webHidden/>
              </w:rPr>
              <w:t>59</w:t>
            </w:r>
            <w:r>
              <w:rPr>
                <w:noProof/>
                <w:webHidden/>
              </w:rPr>
              <w:fldChar w:fldCharType="end"/>
            </w:r>
          </w:hyperlink>
        </w:p>
        <w:p w14:paraId="40FF448C" w14:textId="5022349D"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27" w:history="1">
            <w:r w:rsidRPr="009B3556">
              <w:rPr>
                <w:rStyle w:val="Hyperlink"/>
                <w:noProof/>
              </w:rPr>
              <w:t>Safety Oversight</w:t>
            </w:r>
            <w:r>
              <w:rPr>
                <w:noProof/>
                <w:webHidden/>
              </w:rPr>
              <w:tab/>
            </w:r>
            <w:r>
              <w:rPr>
                <w:noProof/>
                <w:webHidden/>
              </w:rPr>
              <w:fldChar w:fldCharType="begin"/>
            </w:r>
            <w:r>
              <w:rPr>
                <w:noProof/>
                <w:webHidden/>
              </w:rPr>
              <w:instrText xml:space="preserve"> PAGEREF _Toc213058627 \h </w:instrText>
            </w:r>
            <w:r>
              <w:rPr>
                <w:noProof/>
                <w:webHidden/>
              </w:rPr>
            </w:r>
            <w:r>
              <w:rPr>
                <w:noProof/>
                <w:webHidden/>
              </w:rPr>
              <w:fldChar w:fldCharType="separate"/>
            </w:r>
            <w:r w:rsidR="000525D5">
              <w:rPr>
                <w:noProof/>
                <w:webHidden/>
              </w:rPr>
              <w:t>60</w:t>
            </w:r>
            <w:r>
              <w:rPr>
                <w:noProof/>
                <w:webHidden/>
              </w:rPr>
              <w:fldChar w:fldCharType="end"/>
            </w:r>
          </w:hyperlink>
        </w:p>
        <w:p w14:paraId="1BF5815C" w14:textId="56CCC10F"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28" w:history="1">
            <w:r w:rsidRPr="009B3556">
              <w:rPr>
                <w:rStyle w:val="Hyperlink"/>
                <w:noProof/>
              </w:rPr>
              <w:t>Committee Report</w:t>
            </w:r>
            <w:r>
              <w:rPr>
                <w:noProof/>
                <w:webHidden/>
              </w:rPr>
              <w:tab/>
            </w:r>
            <w:r>
              <w:rPr>
                <w:noProof/>
                <w:webHidden/>
              </w:rPr>
              <w:fldChar w:fldCharType="begin"/>
            </w:r>
            <w:r>
              <w:rPr>
                <w:noProof/>
                <w:webHidden/>
              </w:rPr>
              <w:instrText xml:space="preserve"> PAGEREF _Toc213058628 \h </w:instrText>
            </w:r>
            <w:r>
              <w:rPr>
                <w:noProof/>
                <w:webHidden/>
              </w:rPr>
            </w:r>
            <w:r>
              <w:rPr>
                <w:noProof/>
                <w:webHidden/>
              </w:rPr>
              <w:fldChar w:fldCharType="separate"/>
            </w:r>
            <w:r w:rsidR="000525D5">
              <w:rPr>
                <w:noProof/>
                <w:webHidden/>
              </w:rPr>
              <w:t>60</w:t>
            </w:r>
            <w:r>
              <w:rPr>
                <w:noProof/>
                <w:webHidden/>
              </w:rPr>
              <w:fldChar w:fldCharType="end"/>
            </w:r>
          </w:hyperlink>
        </w:p>
        <w:p w14:paraId="34705960" w14:textId="01B7D673"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29" w:history="1">
            <w:r w:rsidRPr="009B3556">
              <w:rPr>
                <w:rStyle w:val="Hyperlink"/>
                <w:noProof/>
              </w:rPr>
              <w:t>Safety Management System (SMS)</w:t>
            </w:r>
            <w:r>
              <w:rPr>
                <w:noProof/>
                <w:webHidden/>
              </w:rPr>
              <w:tab/>
            </w:r>
            <w:r>
              <w:rPr>
                <w:noProof/>
                <w:webHidden/>
              </w:rPr>
              <w:fldChar w:fldCharType="begin"/>
            </w:r>
            <w:r>
              <w:rPr>
                <w:noProof/>
                <w:webHidden/>
              </w:rPr>
              <w:instrText xml:space="preserve"> PAGEREF _Toc213058629 \h </w:instrText>
            </w:r>
            <w:r>
              <w:rPr>
                <w:noProof/>
                <w:webHidden/>
              </w:rPr>
            </w:r>
            <w:r>
              <w:rPr>
                <w:noProof/>
                <w:webHidden/>
              </w:rPr>
              <w:fldChar w:fldCharType="separate"/>
            </w:r>
            <w:r w:rsidR="000525D5">
              <w:rPr>
                <w:noProof/>
                <w:webHidden/>
              </w:rPr>
              <w:t>60</w:t>
            </w:r>
            <w:r>
              <w:rPr>
                <w:noProof/>
                <w:webHidden/>
              </w:rPr>
              <w:fldChar w:fldCharType="end"/>
            </w:r>
          </w:hyperlink>
        </w:p>
        <w:p w14:paraId="55217F21" w14:textId="22EDA67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0" w:history="1">
            <w:r w:rsidRPr="009B3556">
              <w:rPr>
                <w:rStyle w:val="Hyperlink"/>
                <w:noProof/>
              </w:rPr>
              <w:t>Corporate Responsibility Strategy and the Environment</w:t>
            </w:r>
            <w:r>
              <w:rPr>
                <w:noProof/>
                <w:webHidden/>
              </w:rPr>
              <w:tab/>
            </w:r>
            <w:r>
              <w:rPr>
                <w:noProof/>
                <w:webHidden/>
              </w:rPr>
              <w:fldChar w:fldCharType="begin"/>
            </w:r>
            <w:r>
              <w:rPr>
                <w:noProof/>
                <w:webHidden/>
              </w:rPr>
              <w:instrText xml:space="preserve"> PAGEREF _Toc213058630 \h </w:instrText>
            </w:r>
            <w:r>
              <w:rPr>
                <w:noProof/>
                <w:webHidden/>
              </w:rPr>
            </w:r>
            <w:r>
              <w:rPr>
                <w:noProof/>
                <w:webHidden/>
              </w:rPr>
              <w:fldChar w:fldCharType="separate"/>
            </w:r>
            <w:r w:rsidR="000525D5">
              <w:rPr>
                <w:noProof/>
                <w:webHidden/>
              </w:rPr>
              <w:t>61</w:t>
            </w:r>
            <w:r>
              <w:rPr>
                <w:noProof/>
                <w:webHidden/>
              </w:rPr>
              <w:fldChar w:fldCharType="end"/>
            </w:r>
          </w:hyperlink>
        </w:p>
        <w:p w14:paraId="01170B3B" w14:textId="4F0F1300"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1" w:history="1">
            <w:r w:rsidRPr="009B3556">
              <w:rPr>
                <w:rStyle w:val="Hyperlink"/>
                <w:noProof/>
              </w:rPr>
              <w:t>Regulators and other Agencies</w:t>
            </w:r>
            <w:r>
              <w:rPr>
                <w:noProof/>
                <w:webHidden/>
              </w:rPr>
              <w:tab/>
            </w:r>
            <w:r>
              <w:rPr>
                <w:noProof/>
                <w:webHidden/>
              </w:rPr>
              <w:fldChar w:fldCharType="begin"/>
            </w:r>
            <w:r>
              <w:rPr>
                <w:noProof/>
                <w:webHidden/>
              </w:rPr>
              <w:instrText xml:space="preserve"> PAGEREF _Toc213058631 \h </w:instrText>
            </w:r>
            <w:r>
              <w:rPr>
                <w:noProof/>
                <w:webHidden/>
              </w:rPr>
            </w:r>
            <w:r>
              <w:rPr>
                <w:noProof/>
                <w:webHidden/>
              </w:rPr>
              <w:fldChar w:fldCharType="separate"/>
            </w:r>
            <w:r w:rsidR="000525D5">
              <w:rPr>
                <w:noProof/>
                <w:webHidden/>
              </w:rPr>
              <w:t>61</w:t>
            </w:r>
            <w:r>
              <w:rPr>
                <w:noProof/>
                <w:webHidden/>
              </w:rPr>
              <w:fldChar w:fldCharType="end"/>
            </w:r>
          </w:hyperlink>
        </w:p>
        <w:p w14:paraId="6C167BAC" w14:textId="3701F441"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2" w:history="1">
            <w:r w:rsidRPr="009B3556">
              <w:rPr>
                <w:rStyle w:val="Hyperlink"/>
                <w:noProof/>
              </w:rPr>
              <w:t>Health and Wellbeing</w:t>
            </w:r>
            <w:r>
              <w:rPr>
                <w:noProof/>
                <w:webHidden/>
              </w:rPr>
              <w:tab/>
            </w:r>
            <w:r>
              <w:rPr>
                <w:noProof/>
                <w:webHidden/>
              </w:rPr>
              <w:fldChar w:fldCharType="begin"/>
            </w:r>
            <w:r>
              <w:rPr>
                <w:noProof/>
                <w:webHidden/>
              </w:rPr>
              <w:instrText xml:space="preserve"> PAGEREF _Toc213058632 \h </w:instrText>
            </w:r>
            <w:r>
              <w:rPr>
                <w:noProof/>
                <w:webHidden/>
              </w:rPr>
            </w:r>
            <w:r>
              <w:rPr>
                <w:noProof/>
                <w:webHidden/>
              </w:rPr>
              <w:fldChar w:fldCharType="separate"/>
            </w:r>
            <w:r w:rsidR="000525D5">
              <w:rPr>
                <w:noProof/>
                <w:webHidden/>
              </w:rPr>
              <w:t>61</w:t>
            </w:r>
            <w:r>
              <w:rPr>
                <w:noProof/>
                <w:webHidden/>
              </w:rPr>
              <w:fldChar w:fldCharType="end"/>
            </w:r>
          </w:hyperlink>
        </w:p>
        <w:p w14:paraId="359359E4" w14:textId="78A0975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3" w:history="1">
            <w:r w:rsidRPr="009B3556">
              <w:rPr>
                <w:rStyle w:val="Hyperlink"/>
                <w:noProof/>
              </w:rPr>
              <w:t>Future Focus</w:t>
            </w:r>
            <w:r>
              <w:rPr>
                <w:noProof/>
                <w:webHidden/>
              </w:rPr>
              <w:tab/>
            </w:r>
            <w:r>
              <w:rPr>
                <w:noProof/>
                <w:webHidden/>
              </w:rPr>
              <w:fldChar w:fldCharType="begin"/>
            </w:r>
            <w:r>
              <w:rPr>
                <w:noProof/>
                <w:webHidden/>
              </w:rPr>
              <w:instrText xml:space="preserve"> PAGEREF _Toc213058633 \h </w:instrText>
            </w:r>
            <w:r>
              <w:rPr>
                <w:noProof/>
                <w:webHidden/>
              </w:rPr>
            </w:r>
            <w:r>
              <w:rPr>
                <w:noProof/>
                <w:webHidden/>
              </w:rPr>
              <w:fldChar w:fldCharType="separate"/>
            </w:r>
            <w:r w:rsidR="000525D5">
              <w:rPr>
                <w:noProof/>
                <w:webHidden/>
              </w:rPr>
              <w:t>62</w:t>
            </w:r>
            <w:r>
              <w:rPr>
                <w:noProof/>
                <w:webHidden/>
              </w:rPr>
              <w:fldChar w:fldCharType="end"/>
            </w:r>
          </w:hyperlink>
        </w:p>
        <w:p w14:paraId="70EC4E20" w14:textId="6DEB34A0"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34" w:history="1">
            <w:r w:rsidRPr="009B3556">
              <w:rPr>
                <w:rStyle w:val="Hyperlink"/>
                <w:noProof/>
              </w:rPr>
              <w:t>Project Oversight</w:t>
            </w:r>
            <w:r>
              <w:rPr>
                <w:noProof/>
                <w:webHidden/>
              </w:rPr>
              <w:tab/>
            </w:r>
            <w:r>
              <w:rPr>
                <w:noProof/>
                <w:webHidden/>
              </w:rPr>
              <w:fldChar w:fldCharType="begin"/>
            </w:r>
            <w:r>
              <w:rPr>
                <w:noProof/>
                <w:webHidden/>
              </w:rPr>
              <w:instrText xml:space="preserve"> PAGEREF _Toc213058634 \h </w:instrText>
            </w:r>
            <w:r>
              <w:rPr>
                <w:noProof/>
                <w:webHidden/>
              </w:rPr>
            </w:r>
            <w:r>
              <w:rPr>
                <w:noProof/>
                <w:webHidden/>
              </w:rPr>
              <w:fldChar w:fldCharType="separate"/>
            </w:r>
            <w:r w:rsidR="000525D5">
              <w:rPr>
                <w:noProof/>
                <w:webHidden/>
              </w:rPr>
              <w:t>63</w:t>
            </w:r>
            <w:r>
              <w:rPr>
                <w:noProof/>
                <w:webHidden/>
              </w:rPr>
              <w:fldChar w:fldCharType="end"/>
            </w:r>
          </w:hyperlink>
        </w:p>
        <w:p w14:paraId="347E1AB6" w14:textId="2F44A146"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35" w:history="1">
            <w:r w:rsidRPr="009B3556">
              <w:rPr>
                <w:rStyle w:val="Hyperlink"/>
                <w:noProof/>
              </w:rPr>
              <w:t>Committee Report</w:t>
            </w:r>
            <w:r>
              <w:rPr>
                <w:noProof/>
                <w:webHidden/>
              </w:rPr>
              <w:tab/>
            </w:r>
            <w:r>
              <w:rPr>
                <w:noProof/>
                <w:webHidden/>
              </w:rPr>
              <w:fldChar w:fldCharType="begin"/>
            </w:r>
            <w:r>
              <w:rPr>
                <w:noProof/>
                <w:webHidden/>
              </w:rPr>
              <w:instrText xml:space="preserve"> PAGEREF _Toc213058635 \h </w:instrText>
            </w:r>
            <w:r>
              <w:rPr>
                <w:noProof/>
                <w:webHidden/>
              </w:rPr>
            </w:r>
            <w:r>
              <w:rPr>
                <w:noProof/>
                <w:webHidden/>
              </w:rPr>
              <w:fldChar w:fldCharType="separate"/>
            </w:r>
            <w:r w:rsidR="000525D5">
              <w:rPr>
                <w:noProof/>
                <w:webHidden/>
              </w:rPr>
              <w:t>63</w:t>
            </w:r>
            <w:r>
              <w:rPr>
                <w:noProof/>
                <w:webHidden/>
              </w:rPr>
              <w:fldChar w:fldCharType="end"/>
            </w:r>
          </w:hyperlink>
        </w:p>
        <w:p w14:paraId="64D37FF9" w14:textId="4CE85305"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6" w:history="1">
            <w:r w:rsidRPr="009B3556">
              <w:rPr>
                <w:rStyle w:val="Hyperlink"/>
                <w:noProof/>
              </w:rPr>
              <w:t>Summary of the Role of the Project Oversight Committee</w:t>
            </w:r>
            <w:r>
              <w:rPr>
                <w:noProof/>
                <w:webHidden/>
              </w:rPr>
              <w:tab/>
            </w:r>
            <w:r>
              <w:rPr>
                <w:noProof/>
                <w:webHidden/>
              </w:rPr>
              <w:fldChar w:fldCharType="begin"/>
            </w:r>
            <w:r>
              <w:rPr>
                <w:noProof/>
                <w:webHidden/>
              </w:rPr>
              <w:instrText xml:space="preserve"> PAGEREF _Toc213058636 \h </w:instrText>
            </w:r>
            <w:r>
              <w:rPr>
                <w:noProof/>
                <w:webHidden/>
              </w:rPr>
            </w:r>
            <w:r>
              <w:rPr>
                <w:noProof/>
                <w:webHidden/>
              </w:rPr>
              <w:fldChar w:fldCharType="separate"/>
            </w:r>
            <w:r w:rsidR="000525D5">
              <w:rPr>
                <w:noProof/>
                <w:webHidden/>
              </w:rPr>
              <w:t>63</w:t>
            </w:r>
            <w:r>
              <w:rPr>
                <w:noProof/>
                <w:webHidden/>
              </w:rPr>
              <w:fldChar w:fldCharType="end"/>
            </w:r>
          </w:hyperlink>
        </w:p>
        <w:p w14:paraId="20E154B7" w14:textId="47408CEE"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7" w:history="1">
            <w:r w:rsidRPr="009B3556">
              <w:rPr>
                <w:rStyle w:val="Hyperlink"/>
                <w:noProof/>
              </w:rPr>
              <w:t>Composition of the Committee</w:t>
            </w:r>
            <w:r>
              <w:rPr>
                <w:noProof/>
                <w:webHidden/>
              </w:rPr>
              <w:tab/>
            </w:r>
            <w:r>
              <w:rPr>
                <w:noProof/>
                <w:webHidden/>
              </w:rPr>
              <w:fldChar w:fldCharType="begin"/>
            </w:r>
            <w:r>
              <w:rPr>
                <w:noProof/>
                <w:webHidden/>
              </w:rPr>
              <w:instrText xml:space="preserve"> PAGEREF _Toc213058637 \h </w:instrText>
            </w:r>
            <w:r>
              <w:rPr>
                <w:noProof/>
                <w:webHidden/>
              </w:rPr>
            </w:r>
            <w:r>
              <w:rPr>
                <w:noProof/>
                <w:webHidden/>
              </w:rPr>
              <w:fldChar w:fldCharType="separate"/>
            </w:r>
            <w:r w:rsidR="000525D5">
              <w:rPr>
                <w:noProof/>
                <w:webHidden/>
              </w:rPr>
              <w:t>63</w:t>
            </w:r>
            <w:r>
              <w:rPr>
                <w:noProof/>
                <w:webHidden/>
              </w:rPr>
              <w:fldChar w:fldCharType="end"/>
            </w:r>
          </w:hyperlink>
        </w:p>
        <w:p w14:paraId="7F7BC179" w14:textId="3B3AC89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8" w:history="1">
            <w:r w:rsidRPr="009B3556">
              <w:rPr>
                <w:rStyle w:val="Hyperlink"/>
                <w:noProof/>
              </w:rPr>
              <w:t>Governance</w:t>
            </w:r>
            <w:r>
              <w:rPr>
                <w:noProof/>
                <w:webHidden/>
              </w:rPr>
              <w:tab/>
            </w:r>
            <w:r>
              <w:rPr>
                <w:noProof/>
                <w:webHidden/>
              </w:rPr>
              <w:fldChar w:fldCharType="begin"/>
            </w:r>
            <w:r>
              <w:rPr>
                <w:noProof/>
                <w:webHidden/>
              </w:rPr>
              <w:instrText xml:space="preserve"> PAGEREF _Toc213058638 \h </w:instrText>
            </w:r>
            <w:r>
              <w:rPr>
                <w:noProof/>
                <w:webHidden/>
              </w:rPr>
            </w:r>
            <w:r>
              <w:rPr>
                <w:noProof/>
                <w:webHidden/>
              </w:rPr>
              <w:fldChar w:fldCharType="separate"/>
            </w:r>
            <w:r w:rsidR="000525D5">
              <w:rPr>
                <w:noProof/>
                <w:webHidden/>
              </w:rPr>
              <w:t>64</w:t>
            </w:r>
            <w:r>
              <w:rPr>
                <w:noProof/>
                <w:webHidden/>
              </w:rPr>
              <w:fldChar w:fldCharType="end"/>
            </w:r>
          </w:hyperlink>
        </w:p>
        <w:p w14:paraId="49BA4CB9" w14:textId="4729F0D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39" w:history="1">
            <w:r w:rsidRPr="009B3556">
              <w:rPr>
                <w:rStyle w:val="Hyperlink"/>
                <w:noProof/>
              </w:rPr>
              <w:t>Activities Undertaken</w:t>
            </w:r>
            <w:r>
              <w:rPr>
                <w:noProof/>
                <w:webHidden/>
              </w:rPr>
              <w:tab/>
            </w:r>
            <w:r>
              <w:rPr>
                <w:noProof/>
                <w:webHidden/>
              </w:rPr>
              <w:fldChar w:fldCharType="begin"/>
            </w:r>
            <w:r>
              <w:rPr>
                <w:noProof/>
                <w:webHidden/>
              </w:rPr>
              <w:instrText xml:space="preserve"> PAGEREF _Toc213058639 \h </w:instrText>
            </w:r>
            <w:r>
              <w:rPr>
                <w:noProof/>
                <w:webHidden/>
              </w:rPr>
            </w:r>
            <w:r>
              <w:rPr>
                <w:noProof/>
                <w:webHidden/>
              </w:rPr>
              <w:fldChar w:fldCharType="separate"/>
            </w:r>
            <w:r w:rsidR="000525D5">
              <w:rPr>
                <w:noProof/>
                <w:webHidden/>
              </w:rPr>
              <w:t>64</w:t>
            </w:r>
            <w:r>
              <w:rPr>
                <w:noProof/>
                <w:webHidden/>
              </w:rPr>
              <w:fldChar w:fldCharType="end"/>
            </w:r>
          </w:hyperlink>
        </w:p>
        <w:p w14:paraId="0B1E2229" w14:textId="7EE085A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40" w:history="1">
            <w:r w:rsidRPr="009B3556">
              <w:rPr>
                <w:rStyle w:val="Hyperlink"/>
                <w:noProof/>
              </w:rPr>
              <w:t>Conclusion</w:t>
            </w:r>
            <w:r>
              <w:rPr>
                <w:noProof/>
                <w:webHidden/>
              </w:rPr>
              <w:tab/>
            </w:r>
            <w:r>
              <w:rPr>
                <w:noProof/>
                <w:webHidden/>
              </w:rPr>
              <w:fldChar w:fldCharType="begin"/>
            </w:r>
            <w:r>
              <w:rPr>
                <w:noProof/>
                <w:webHidden/>
              </w:rPr>
              <w:instrText xml:space="preserve"> PAGEREF _Toc213058640 \h </w:instrText>
            </w:r>
            <w:r>
              <w:rPr>
                <w:noProof/>
                <w:webHidden/>
              </w:rPr>
            </w:r>
            <w:r>
              <w:rPr>
                <w:noProof/>
                <w:webHidden/>
              </w:rPr>
              <w:fldChar w:fldCharType="separate"/>
            </w:r>
            <w:r w:rsidR="000525D5">
              <w:rPr>
                <w:noProof/>
                <w:webHidden/>
              </w:rPr>
              <w:t>65</w:t>
            </w:r>
            <w:r>
              <w:rPr>
                <w:noProof/>
                <w:webHidden/>
              </w:rPr>
              <w:fldChar w:fldCharType="end"/>
            </w:r>
          </w:hyperlink>
        </w:p>
        <w:p w14:paraId="1E114747" w14:textId="28D74A7D"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41" w:history="1">
            <w:r w:rsidRPr="009B3556">
              <w:rPr>
                <w:rStyle w:val="Hyperlink"/>
                <w:noProof/>
              </w:rPr>
              <w:t>Directors’</w:t>
            </w:r>
            <w:r>
              <w:rPr>
                <w:noProof/>
                <w:webHidden/>
              </w:rPr>
              <w:tab/>
            </w:r>
            <w:r>
              <w:rPr>
                <w:noProof/>
                <w:webHidden/>
              </w:rPr>
              <w:fldChar w:fldCharType="begin"/>
            </w:r>
            <w:r>
              <w:rPr>
                <w:noProof/>
                <w:webHidden/>
              </w:rPr>
              <w:instrText xml:space="preserve"> PAGEREF _Toc213058641 \h </w:instrText>
            </w:r>
            <w:r>
              <w:rPr>
                <w:noProof/>
                <w:webHidden/>
              </w:rPr>
            </w:r>
            <w:r>
              <w:rPr>
                <w:noProof/>
                <w:webHidden/>
              </w:rPr>
              <w:fldChar w:fldCharType="separate"/>
            </w:r>
            <w:r w:rsidR="000525D5">
              <w:rPr>
                <w:noProof/>
                <w:webHidden/>
              </w:rPr>
              <w:t>66</w:t>
            </w:r>
            <w:r>
              <w:rPr>
                <w:noProof/>
                <w:webHidden/>
              </w:rPr>
              <w:fldChar w:fldCharType="end"/>
            </w:r>
          </w:hyperlink>
        </w:p>
        <w:p w14:paraId="17E8341B" w14:textId="5C339C9F"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42" w:history="1">
            <w:r w:rsidRPr="009B3556">
              <w:rPr>
                <w:rStyle w:val="Hyperlink"/>
                <w:noProof/>
              </w:rPr>
              <w:t>Remuneration  Report</w:t>
            </w:r>
            <w:r>
              <w:rPr>
                <w:noProof/>
                <w:webHidden/>
              </w:rPr>
              <w:tab/>
            </w:r>
            <w:r>
              <w:rPr>
                <w:noProof/>
                <w:webHidden/>
              </w:rPr>
              <w:fldChar w:fldCharType="begin"/>
            </w:r>
            <w:r>
              <w:rPr>
                <w:noProof/>
                <w:webHidden/>
              </w:rPr>
              <w:instrText xml:space="preserve"> PAGEREF _Toc213058642 \h </w:instrText>
            </w:r>
            <w:r>
              <w:rPr>
                <w:noProof/>
                <w:webHidden/>
              </w:rPr>
            </w:r>
            <w:r>
              <w:rPr>
                <w:noProof/>
                <w:webHidden/>
              </w:rPr>
              <w:fldChar w:fldCharType="separate"/>
            </w:r>
            <w:r w:rsidR="000525D5">
              <w:rPr>
                <w:noProof/>
                <w:webHidden/>
              </w:rPr>
              <w:t>66</w:t>
            </w:r>
            <w:r>
              <w:rPr>
                <w:noProof/>
                <w:webHidden/>
              </w:rPr>
              <w:fldChar w:fldCharType="end"/>
            </w:r>
          </w:hyperlink>
        </w:p>
        <w:p w14:paraId="4223A3F5" w14:textId="4EBEB91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43" w:history="1">
            <w:r w:rsidRPr="009B3556">
              <w:rPr>
                <w:rStyle w:val="Hyperlink"/>
                <w:noProof/>
              </w:rPr>
              <w:t>The Group Remuneration and Pensions Committee  (the “Committee”)</w:t>
            </w:r>
            <w:r>
              <w:rPr>
                <w:noProof/>
                <w:webHidden/>
              </w:rPr>
              <w:tab/>
            </w:r>
            <w:r>
              <w:rPr>
                <w:noProof/>
                <w:webHidden/>
              </w:rPr>
              <w:fldChar w:fldCharType="begin"/>
            </w:r>
            <w:r>
              <w:rPr>
                <w:noProof/>
                <w:webHidden/>
              </w:rPr>
              <w:instrText xml:space="preserve"> PAGEREF _Toc213058643 \h </w:instrText>
            </w:r>
            <w:r>
              <w:rPr>
                <w:noProof/>
                <w:webHidden/>
              </w:rPr>
            </w:r>
            <w:r>
              <w:rPr>
                <w:noProof/>
                <w:webHidden/>
              </w:rPr>
              <w:fldChar w:fldCharType="separate"/>
            </w:r>
            <w:r w:rsidR="000525D5">
              <w:rPr>
                <w:noProof/>
                <w:webHidden/>
              </w:rPr>
              <w:t>66</w:t>
            </w:r>
            <w:r>
              <w:rPr>
                <w:noProof/>
                <w:webHidden/>
              </w:rPr>
              <w:fldChar w:fldCharType="end"/>
            </w:r>
          </w:hyperlink>
        </w:p>
        <w:p w14:paraId="319DF3EC" w14:textId="338E7020"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57" w:history="1">
            <w:r w:rsidRPr="009B3556">
              <w:rPr>
                <w:rStyle w:val="Hyperlink"/>
                <w:noProof/>
              </w:rPr>
              <w:t>Independent Auditor’s Report to the  Members of Northern Ireland Transport Holding Company</w:t>
            </w:r>
            <w:r>
              <w:rPr>
                <w:noProof/>
                <w:webHidden/>
              </w:rPr>
              <w:tab/>
            </w:r>
            <w:r>
              <w:rPr>
                <w:noProof/>
                <w:webHidden/>
              </w:rPr>
              <w:fldChar w:fldCharType="begin"/>
            </w:r>
            <w:r>
              <w:rPr>
                <w:noProof/>
                <w:webHidden/>
              </w:rPr>
              <w:instrText xml:space="preserve"> PAGEREF _Toc213058657 \h </w:instrText>
            </w:r>
            <w:r>
              <w:rPr>
                <w:noProof/>
                <w:webHidden/>
              </w:rPr>
            </w:r>
            <w:r>
              <w:rPr>
                <w:noProof/>
                <w:webHidden/>
              </w:rPr>
              <w:fldChar w:fldCharType="separate"/>
            </w:r>
            <w:r w:rsidR="000525D5">
              <w:rPr>
                <w:noProof/>
                <w:webHidden/>
              </w:rPr>
              <w:t>71</w:t>
            </w:r>
            <w:r>
              <w:rPr>
                <w:noProof/>
                <w:webHidden/>
              </w:rPr>
              <w:fldChar w:fldCharType="end"/>
            </w:r>
          </w:hyperlink>
        </w:p>
        <w:p w14:paraId="13A36B3F" w14:textId="41B9B158"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58" w:history="1">
            <w:r w:rsidRPr="009B3556">
              <w:rPr>
                <w:rStyle w:val="Hyperlink"/>
                <w:noProof/>
              </w:rPr>
              <w:t>Opinion</w:t>
            </w:r>
            <w:r>
              <w:rPr>
                <w:noProof/>
                <w:webHidden/>
              </w:rPr>
              <w:tab/>
            </w:r>
            <w:r>
              <w:rPr>
                <w:noProof/>
                <w:webHidden/>
              </w:rPr>
              <w:fldChar w:fldCharType="begin"/>
            </w:r>
            <w:r>
              <w:rPr>
                <w:noProof/>
                <w:webHidden/>
              </w:rPr>
              <w:instrText xml:space="preserve"> PAGEREF _Toc213058658 \h </w:instrText>
            </w:r>
            <w:r>
              <w:rPr>
                <w:noProof/>
                <w:webHidden/>
              </w:rPr>
            </w:r>
            <w:r>
              <w:rPr>
                <w:noProof/>
                <w:webHidden/>
              </w:rPr>
              <w:fldChar w:fldCharType="separate"/>
            </w:r>
            <w:r w:rsidR="000525D5">
              <w:rPr>
                <w:noProof/>
                <w:webHidden/>
              </w:rPr>
              <w:t>71</w:t>
            </w:r>
            <w:r>
              <w:rPr>
                <w:noProof/>
                <w:webHidden/>
              </w:rPr>
              <w:fldChar w:fldCharType="end"/>
            </w:r>
          </w:hyperlink>
        </w:p>
        <w:p w14:paraId="7F560070" w14:textId="1178DFF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59" w:history="1">
            <w:r w:rsidRPr="009B3556">
              <w:rPr>
                <w:rStyle w:val="Hyperlink"/>
                <w:noProof/>
              </w:rPr>
              <w:t>Opinion on Regularity</w:t>
            </w:r>
            <w:r>
              <w:rPr>
                <w:noProof/>
                <w:webHidden/>
              </w:rPr>
              <w:tab/>
            </w:r>
            <w:r>
              <w:rPr>
                <w:noProof/>
                <w:webHidden/>
              </w:rPr>
              <w:fldChar w:fldCharType="begin"/>
            </w:r>
            <w:r>
              <w:rPr>
                <w:noProof/>
                <w:webHidden/>
              </w:rPr>
              <w:instrText xml:space="preserve"> PAGEREF _Toc213058659 \h </w:instrText>
            </w:r>
            <w:r>
              <w:rPr>
                <w:noProof/>
                <w:webHidden/>
              </w:rPr>
            </w:r>
            <w:r>
              <w:rPr>
                <w:noProof/>
                <w:webHidden/>
              </w:rPr>
              <w:fldChar w:fldCharType="separate"/>
            </w:r>
            <w:r w:rsidR="000525D5">
              <w:rPr>
                <w:noProof/>
                <w:webHidden/>
              </w:rPr>
              <w:t>71</w:t>
            </w:r>
            <w:r>
              <w:rPr>
                <w:noProof/>
                <w:webHidden/>
              </w:rPr>
              <w:fldChar w:fldCharType="end"/>
            </w:r>
          </w:hyperlink>
        </w:p>
        <w:p w14:paraId="215BBD81" w14:textId="6223B43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0" w:history="1">
            <w:r w:rsidRPr="009B3556">
              <w:rPr>
                <w:rStyle w:val="Hyperlink"/>
                <w:noProof/>
              </w:rPr>
              <w:t>Basis for Opinion</w:t>
            </w:r>
            <w:r>
              <w:rPr>
                <w:noProof/>
                <w:webHidden/>
              </w:rPr>
              <w:tab/>
            </w:r>
            <w:r>
              <w:rPr>
                <w:noProof/>
                <w:webHidden/>
              </w:rPr>
              <w:fldChar w:fldCharType="begin"/>
            </w:r>
            <w:r>
              <w:rPr>
                <w:noProof/>
                <w:webHidden/>
              </w:rPr>
              <w:instrText xml:space="preserve"> PAGEREF _Toc213058660 \h </w:instrText>
            </w:r>
            <w:r>
              <w:rPr>
                <w:noProof/>
                <w:webHidden/>
              </w:rPr>
            </w:r>
            <w:r>
              <w:rPr>
                <w:noProof/>
                <w:webHidden/>
              </w:rPr>
              <w:fldChar w:fldCharType="separate"/>
            </w:r>
            <w:r w:rsidR="000525D5">
              <w:rPr>
                <w:noProof/>
                <w:webHidden/>
              </w:rPr>
              <w:t>71</w:t>
            </w:r>
            <w:r>
              <w:rPr>
                <w:noProof/>
                <w:webHidden/>
              </w:rPr>
              <w:fldChar w:fldCharType="end"/>
            </w:r>
          </w:hyperlink>
        </w:p>
        <w:p w14:paraId="5781B83B" w14:textId="3AF4DCB0"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1" w:history="1">
            <w:r w:rsidRPr="009B3556">
              <w:rPr>
                <w:rStyle w:val="Hyperlink"/>
                <w:noProof/>
              </w:rPr>
              <w:t>Conclusions Relating to Going Concern</w:t>
            </w:r>
            <w:r>
              <w:rPr>
                <w:noProof/>
                <w:webHidden/>
              </w:rPr>
              <w:tab/>
            </w:r>
            <w:r>
              <w:rPr>
                <w:noProof/>
                <w:webHidden/>
              </w:rPr>
              <w:fldChar w:fldCharType="begin"/>
            </w:r>
            <w:r>
              <w:rPr>
                <w:noProof/>
                <w:webHidden/>
              </w:rPr>
              <w:instrText xml:space="preserve"> PAGEREF _Toc213058661 \h </w:instrText>
            </w:r>
            <w:r>
              <w:rPr>
                <w:noProof/>
                <w:webHidden/>
              </w:rPr>
            </w:r>
            <w:r>
              <w:rPr>
                <w:noProof/>
                <w:webHidden/>
              </w:rPr>
              <w:fldChar w:fldCharType="separate"/>
            </w:r>
            <w:r w:rsidR="000525D5">
              <w:rPr>
                <w:noProof/>
                <w:webHidden/>
              </w:rPr>
              <w:t>72</w:t>
            </w:r>
            <w:r>
              <w:rPr>
                <w:noProof/>
                <w:webHidden/>
              </w:rPr>
              <w:fldChar w:fldCharType="end"/>
            </w:r>
          </w:hyperlink>
        </w:p>
        <w:p w14:paraId="26859C62" w14:textId="7F7615F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2" w:history="1">
            <w:r w:rsidRPr="009B3556">
              <w:rPr>
                <w:rStyle w:val="Hyperlink"/>
                <w:noProof/>
              </w:rPr>
              <w:t>Other Information</w:t>
            </w:r>
            <w:r>
              <w:rPr>
                <w:noProof/>
                <w:webHidden/>
              </w:rPr>
              <w:tab/>
            </w:r>
            <w:r>
              <w:rPr>
                <w:noProof/>
                <w:webHidden/>
              </w:rPr>
              <w:fldChar w:fldCharType="begin"/>
            </w:r>
            <w:r>
              <w:rPr>
                <w:noProof/>
                <w:webHidden/>
              </w:rPr>
              <w:instrText xml:space="preserve"> PAGEREF _Toc213058662 \h </w:instrText>
            </w:r>
            <w:r>
              <w:rPr>
                <w:noProof/>
                <w:webHidden/>
              </w:rPr>
            </w:r>
            <w:r>
              <w:rPr>
                <w:noProof/>
                <w:webHidden/>
              </w:rPr>
              <w:fldChar w:fldCharType="separate"/>
            </w:r>
            <w:r w:rsidR="000525D5">
              <w:rPr>
                <w:noProof/>
                <w:webHidden/>
              </w:rPr>
              <w:t>72</w:t>
            </w:r>
            <w:r>
              <w:rPr>
                <w:noProof/>
                <w:webHidden/>
              </w:rPr>
              <w:fldChar w:fldCharType="end"/>
            </w:r>
          </w:hyperlink>
        </w:p>
        <w:p w14:paraId="6ECD131F" w14:textId="0222EEF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3" w:history="1">
            <w:r w:rsidRPr="009B3556">
              <w:rPr>
                <w:rStyle w:val="Hyperlink"/>
                <w:noProof/>
              </w:rPr>
              <w:t>Opinions on Other Matters Prescribed by the Companies Act 2006</w:t>
            </w:r>
            <w:r>
              <w:rPr>
                <w:noProof/>
                <w:webHidden/>
              </w:rPr>
              <w:tab/>
            </w:r>
            <w:r>
              <w:rPr>
                <w:noProof/>
                <w:webHidden/>
              </w:rPr>
              <w:fldChar w:fldCharType="begin"/>
            </w:r>
            <w:r>
              <w:rPr>
                <w:noProof/>
                <w:webHidden/>
              </w:rPr>
              <w:instrText xml:space="preserve"> PAGEREF _Toc213058663 \h </w:instrText>
            </w:r>
            <w:r>
              <w:rPr>
                <w:noProof/>
                <w:webHidden/>
              </w:rPr>
            </w:r>
            <w:r>
              <w:rPr>
                <w:noProof/>
                <w:webHidden/>
              </w:rPr>
              <w:fldChar w:fldCharType="separate"/>
            </w:r>
            <w:r w:rsidR="000525D5">
              <w:rPr>
                <w:noProof/>
                <w:webHidden/>
              </w:rPr>
              <w:t>73</w:t>
            </w:r>
            <w:r>
              <w:rPr>
                <w:noProof/>
                <w:webHidden/>
              </w:rPr>
              <w:fldChar w:fldCharType="end"/>
            </w:r>
          </w:hyperlink>
        </w:p>
        <w:p w14:paraId="4C637CF4" w14:textId="471D44BF"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4" w:history="1">
            <w:r w:rsidRPr="009B3556">
              <w:rPr>
                <w:rStyle w:val="Hyperlink"/>
                <w:noProof/>
              </w:rPr>
              <w:t>Matters on which we are Required to Report by Exception</w:t>
            </w:r>
            <w:r>
              <w:rPr>
                <w:noProof/>
                <w:webHidden/>
              </w:rPr>
              <w:tab/>
            </w:r>
            <w:r>
              <w:rPr>
                <w:noProof/>
                <w:webHidden/>
              </w:rPr>
              <w:fldChar w:fldCharType="begin"/>
            </w:r>
            <w:r>
              <w:rPr>
                <w:noProof/>
                <w:webHidden/>
              </w:rPr>
              <w:instrText xml:space="preserve"> PAGEREF _Toc213058664 \h </w:instrText>
            </w:r>
            <w:r>
              <w:rPr>
                <w:noProof/>
                <w:webHidden/>
              </w:rPr>
            </w:r>
            <w:r>
              <w:rPr>
                <w:noProof/>
                <w:webHidden/>
              </w:rPr>
              <w:fldChar w:fldCharType="separate"/>
            </w:r>
            <w:r w:rsidR="000525D5">
              <w:rPr>
                <w:noProof/>
                <w:webHidden/>
              </w:rPr>
              <w:t>73</w:t>
            </w:r>
            <w:r>
              <w:rPr>
                <w:noProof/>
                <w:webHidden/>
              </w:rPr>
              <w:fldChar w:fldCharType="end"/>
            </w:r>
          </w:hyperlink>
        </w:p>
        <w:p w14:paraId="1FBD7DAD" w14:textId="4FFCE837"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5" w:history="1">
            <w:r w:rsidRPr="009B3556">
              <w:rPr>
                <w:rStyle w:val="Hyperlink"/>
                <w:noProof/>
              </w:rPr>
              <w:t>Responsibilities of Management and Those Charged with Governance for the Financial Statements</w:t>
            </w:r>
            <w:r>
              <w:rPr>
                <w:noProof/>
                <w:webHidden/>
              </w:rPr>
              <w:tab/>
            </w:r>
            <w:r>
              <w:rPr>
                <w:noProof/>
                <w:webHidden/>
              </w:rPr>
              <w:fldChar w:fldCharType="begin"/>
            </w:r>
            <w:r>
              <w:rPr>
                <w:noProof/>
                <w:webHidden/>
              </w:rPr>
              <w:instrText xml:space="preserve"> PAGEREF _Toc213058665 \h </w:instrText>
            </w:r>
            <w:r>
              <w:rPr>
                <w:noProof/>
                <w:webHidden/>
              </w:rPr>
            </w:r>
            <w:r>
              <w:rPr>
                <w:noProof/>
                <w:webHidden/>
              </w:rPr>
              <w:fldChar w:fldCharType="separate"/>
            </w:r>
            <w:r w:rsidR="000525D5">
              <w:rPr>
                <w:noProof/>
                <w:webHidden/>
              </w:rPr>
              <w:t>73</w:t>
            </w:r>
            <w:r>
              <w:rPr>
                <w:noProof/>
                <w:webHidden/>
              </w:rPr>
              <w:fldChar w:fldCharType="end"/>
            </w:r>
          </w:hyperlink>
        </w:p>
        <w:p w14:paraId="438B11F1" w14:textId="2EC3BC5A"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6" w:history="1">
            <w:r w:rsidRPr="009B3556">
              <w:rPr>
                <w:rStyle w:val="Hyperlink"/>
                <w:noProof/>
              </w:rPr>
              <w:t>Responsibilities of the Auditor for the Audit of the Financial Statements</w:t>
            </w:r>
            <w:r>
              <w:rPr>
                <w:noProof/>
                <w:webHidden/>
              </w:rPr>
              <w:tab/>
            </w:r>
            <w:r>
              <w:rPr>
                <w:noProof/>
                <w:webHidden/>
              </w:rPr>
              <w:fldChar w:fldCharType="begin"/>
            </w:r>
            <w:r>
              <w:rPr>
                <w:noProof/>
                <w:webHidden/>
              </w:rPr>
              <w:instrText xml:space="preserve"> PAGEREF _Toc213058666 \h </w:instrText>
            </w:r>
            <w:r>
              <w:rPr>
                <w:noProof/>
                <w:webHidden/>
              </w:rPr>
            </w:r>
            <w:r>
              <w:rPr>
                <w:noProof/>
                <w:webHidden/>
              </w:rPr>
              <w:fldChar w:fldCharType="separate"/>
            </w:r>
            <w:r w:rsidR="000525D5">
              <w:rPr>
                <w:noProof/>
                <w:webHidden/>
              </w:rPr>
              <w:t>74</w:t>
            </w:r>
            <w:r>
              <w:rPr>
                <w:noProof/>
                <w:webHidden/>
              </w:rPr>
              <w:fldChar w:fldCharType="end"/>
            </w:r>
          </w:hyperlink>
        </w:p>
        <w:p w14:paraId="216FB778" w14:textId="58A0E29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68" w:history="1">
            <w:r w:rsidRPr="009B3556">
              <w:rPr>
                <w:rStyle w:val="Hyperlink"/>
                <w:noProof/>
              </w:rPr>
              <w:t>The Purpose of our Audit Work and to whom we owe our Responsibilities</w:t>
            </w:r>
            <w:r>
              <w:rPr>
                <w:noProof/>
                <w:webHidden/>
              </w:rPr>
              <w:tab/>
            </w:r>
            <w:r>
              <w:rPr>
                <w:noProof/>
                <w:webHidden/>
              </w:rPr>
              <w:fldChar w:fldCharType="begin"/>
            </w:r>
            <w:r>
              <w:rPr>
                <w:noProof/>
                <w:webHidden/>
              </w:rPr>
              <w:instrText xml:space="preserve"> PAGEREF _Toc213058668 \h </w:instrText>
            </w:r>
            <w:r>
              <w:rPr>
                <w:noProof/>
                <w:webHidden/>
              </w:rPr>
            </w:r>
            <w:r>
              <w:rPr>
                <w:noProof/>
                <w:webHidden/>
              </w:rPr>
              <w:fldChar w:fldCharType="separate"/>
            </w:r>
            <w:r w:rsidR="000525D5">
              <w:rPr>
                <w:noProof/>
                <w:webHidden/>
              </w:rPr>
              <w:t>76</w:t>
            </w:r>
            <w:r>
              <w:rPr>
                <w:noProof/>
                <w:webHidden/>
              </w:rPr>
              <w:fldChar w:fldCharType="end"/>
            </w:r>
          </w:hyperlink>
        </w:p>
        <w:p w14:paraId="55DE498A" w14:textId="1CC6C88E"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69" w:history="1">
            <w:r w:rsidRPr="009B3556">
              <w:rPr>
                <w:rStyle w:val="Hyperlink"/>
                <w:noProof/>
              </w:rPr>
              <w:t>Consolidated Income Statement</w:t>
            </w:r>
            <w:r>
              <w:rPr>
                <w:noProof/>
                <w:webHidden/>
              </w:rPr>
              <w:tab/>
            </w:r>
            <w:r>
              <w:rPr>
                <w:noProof/>
                <w:webHidden/>
              </w:rPr>
              <w:fldChar w:fldCharType="begin"/>
            </w:r>
            <w:r>
              <w:rPr>
                <w:noProof/>
                <w:webHidden/>
              </w:rPr>
              <w:instrText xml:space="preserve"> PAGEREF _Toc213058669 \h </w:instrText>
            </w:r>
            <w:r>
              <w:rPr>
                <w:noProof/>
                <w:webHidden/>
              </w:rPr>
            </w:r>
            <w:r>
              <w:rPr>
                <w:noProof/>
                <w:webHidden/>
              </w:rPr>
              <w:fldChar w:fldCharType="separate"/>
            </w:r>
            <w:r w:rsidR="000525D5">
              <w:rPr>
                <w:noProof/>
                <w:webHidden/>
              </w:rPr>
              <w:t>77</w:t>
            </w:r>
            <w:r>
              <w:rPr>
                <w:noProof/>
                <w:webHidden/>
              </w:rPr>
              <w:fldChar w:fldCharType="end"/>
            </w:r>
          </w:hyperlink>
        </w:p>
        <w:p w14:paraId="4BB80FE5" w14:textId="158975C9"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0" w:history="1">
            <w:r w:rsidRPr="009B3556">
              <w:rPr>
                <w:rStyle w:val="Hyperlink"/>
                <w:noProof/>
              </w:rPr>
              <w:t>Consolidated Statement of Comprehensive Income</w:t>
            </w:r>
            <w:r>
              <w:rPr>
                <w:noProof/>
                <w:webHidden/>
              </w:rPr>
              <w:tab/>
            </w:r>
            <w:r>
              <w:rPr>
                <w:noProof/>
                <w:webHidden/>
              </w:rPr>
              <w:fldChar w:fldCharType="begin"/>
            </w:r>
            <w:r>
              <w:rPr>
                <w:noProof/>
                <w:webHidden/>
              </w:rPr>
              <w:instrText xml:space="preserve"> PAGEREF _Toc213058670 \h </w:instrText>
            </w:r>
            <w:r>
              <w:rPr>
                <w:noProof/>
                <w:webHidden/>
              </w:rPr>
            </w:r>
            <w:r>
              <w:rPr>
                <w:noProof/>
                <w:webHidden/>
              </w:rPr>
              <w:fldChar w:fldCharType="separate"/>
            </w:r>
            <w:r w:rsidR="000525D5">
              <w:rPr>
                <w:noProof/>
                <w:webHidden/>
              </w:rPr>
              <w:t>77</w:t>
            </w:r>
            <w:r>
              <w:rPr>
                <w:noProof/>
                <w:webHidden/>
              </w:rPr>
              <w:fldChar w:fldCharType="end"/>
            </w:r>
          </w:hyperlink>
        </w:p>
        <w:p w14:paraId="6F469915" w14:textId="06DCC1A5"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1" w:history="1">
            <w:r w:rsidRPr="009B3556">
              <w:rPr>
                <w:rStyle w:val="Hyperlink"/>
                <w:noProof/>
              </w:rPr>
              <w:t>Consolidated Balance Sheet</w:t>
            </w:r>
            <w:r>
              <w:rPr>
                <w:noProof/>
                <w:webHidden/>
              </w:rPr>
              <w:tab/>
            </w:r>
            <w:r>
              <w:rPr>
                <w:noProof/>
                <w:webHidden/>
              </w:rPr>
              <w:fldChar w:fldCharType="begin"/>
            </w:r>
            <w:r>
              <w:rPr>
                <w:noProof/>
                <w:webHidden/>
              </w:rPr>
              <w:instrText xml:space="preserve"> PAGEREF _Toc213058671 \h </w:instrText>
            </w:r>
            <w:r>
              <w:rPr>
                <w:noProof/>
                <w:webHidden/>
              </w:rPr>
            </w:r>
            <w:r>
              <w:rPr>
                <w:noProof/>
                <w:webHidden/>
              </w:rPr>
              <w:fldChar w:fldCharType="separate"/>
            </w:r>
            <w:r w:rsidR="000525D5">
              <w:rPr>
                <w:noProof/>
                <w:webHidden/>
              </w:rPr>
              <w:t>78</w:t>
            </w:r>
            <w:r>
              <w:rPr>
                <w:noProof/>
                <w:webHidden/>
              </w:rPr>
              <w:fldChar w:fldCharType="end"/>
            </w:r>
          </w:hyperlink>
        </w:p>
        <w:p w14:paraId="026BB31E" w14:textId="634695F2"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2" w:history="1">
            <w:r w:rsidRPr="009B3556">
              <w:rPr>
                <w:rStyle w:val="Hyperlink"/>
                <w:noProof/>
              </w:rPr>
              <w:t>Company Balance Sheet</w:t>
            </w:r>
            <w:r>
              <w:rPr>
                <w:noProof/>
                <w:webHidden/>
              </w:rPr>
              <w:tab/>
            </w:r>
            <w:r>
              <w:rPr>
                <w:noProof/>
                <w:webHidden/>
              </w:rPr>
              <w:fldChar w:fldCharType="begin"/>
            </w:r>
            <w:r>
              <w:rPr>
                <w:noProof/>
                <w:webHidden/>
              </w:rPr>
              <w:instrText xml:space="preserve"> PAGEREF _Toc213058672 \h </w:instrText>
            </w:r>
            <w:r>
              <w:rPr>
                <w:noProof/>
                <w:webHidden/>
              </w:rPr>
            </w:r>
            <w:r>
              <w:rPr>
                <w:noProof/>
                <w:webHidden/>
              </w:rPr>
              <w:fldChar w:fldCharType="separate"/>
            </w:r>
            <w:r w:rsidR="000525D5">
              <w:rPr>
                <w:noProof/>
                <w:webHidden/>
              </w:rPr>
              <w:t>79</w:t>
            </w:r>
            <w:r>
              <w:rPr>
                <w:noProof/>
                <w:webHidden/>
              </w:rPr>
              <w:fldChar w:fldCharType="end"/>
            </w:r>
          </w:hyperlink>
        </w:p>
        <w:p w14:paraId="78C33C5E" w14:textId="02A98209"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3" w:history="1">
            <w:r w:rsidRPr="009B3556">
              <w:rPr>
                <w:rStyle w:val="Hyperlink"/>
                <w:noProof/>
              </w:rPr>
              <w:t>Statement of Changes  in Reserves</w:t>
            </w:r>
            <w:r>
              <w:rPr>
                <w:noProof/>
                <w:webHidden/>
              </w:rPr>
              <w:tab/>
            </w:r>
            <w:r>
              <w:rPr>
                <w:noProof/>
                <w:webHidden/>
              </w:rPr>
              <w:fldChar w:fldCharType="begin"/>
            </w:r>
            <w:r>
              <w:rPr>
                <w:noProof/>
                <w:webHidden/>
              </w:rPr>
              <w:instrText xml:space="preserve"> PAGEREF _Toc213058673 \h </w:instrText>
            </w:r>
            <w:r>
              <w:rPr>
                <w:noProof/>
                <w:webHidden/>
              </w:rPr>
            </w:r>
            <w:r>
              <w:rPr>
                <w:noProof/>
                <w:webHidden/>
              </w:rPr>
              <w:fldChar w:fldCharType="separate"/>
            </w:r>
            <w:r w:rsidR="000525D5">
              <w:rPr>
                <w:noProof/>
                <w:webHidden/>
              </w:rPr>
              <w:t>80</w:t>
            </w:r>
            <w:r>
              <w:rPr>
                <w:noProof/>
                <w:webHidden/>
              </w:rPr>
              <w:fldChar w:fldCharType="end"/>
            </w:r>
          </w:hyperlink>
        </w:p>
        <w:p w14:paraId="74EFE460" w14:textId="3ED5024B"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4" w:history="1">
            <w:r w:rsidRPr="009B3556">
              <w:rPr>
                <w:rStyle w:val="Hyperlink"/>
                <w:noProof/>
              </w:rPr>
              <w:t>Consolidated Cash Flow Statement</w:t>
            </w:r>
            <w:r>
              <w:rPr>
                <w:noProof/>
                <w:webHidden/>
              </w:rPr>
              <w:tab/>
            </w:r>
            <w:r>
              <w:rPr>
                <w:noProof/>
                <w:webHidden/>
              </w:rPr>
              <w:fldChar w:fldCharType="begin"/>
            </w:r>
            <w:r>
              <w:rPr>
                <w:noProof/>
                <w:webHidden/>
              </w:rPr>
              <w:instrText xml:space="preserve"> PAGEREF _Toc213058674 \h </w:instrText>
            </w:r>
            <w:r>
              <w:rPr>
                <w:noProof/>
                <w:webHidden/>
              </w:rPr>
            </w:r>
            <w:r>
              <w:rPr>
                <w:noProof/>
                <w:webHidden/>
              </w:rPr>
              <w:fldChar w:fldCharType="separate"/>
            </w:r>
            <w:r w:rsidR="000525D5">
              <w:rPr>
                <w:noProof/>
                <w:webHidden/>
              </w:rPr>
              <w:t>81</w:t>
            </w:r>
            <w:r>
              <w:rPr>
                <w:noProof/>
                <w:webHidden/>
              </w:rPr>
              <w:fldChar w:fldCharType="end"/>
            </w:r>
          </w:hyperlink>
        </w:p>
        <w:p w14:paraId="32191BCE" w14:textId="1D857890" w:rsidR="00822505" w:rsidRDefault="00822505">
          <w:pPr>
            <w:pStyle w:val="TOC1"/>
            <w:tabs>
              <w:tab w:val="right" w:leader="dot" w:pos="10450"/>
            </w:tabs>
            <w:rPr>
              <w:rFonts w:eastAsiaTheme="minorEastAsia" w:cstheme="minorBidi"/>
              <w:b w:val="0"/>
              <w:bCs w:val="0"/>
              <w:i w:val="0"/>
              <w:iCs w:val="0"/>
              <w:noProof/>
              <w:kern w:val="2"/>
              <w:lang w:eastAsia="en-GB"/>
              <w14:ligatures w14:val="standardContextual"/>
            </w:rPr>
          </w:pPr>
          <w:hyperlink w:anchor="_Toc213058675" w:history="1">
            <w:r w:rsidRPr="009B3556">
              <w:rPr>
                <w:rStyle w:val="Hyperlink"/>
                <w:noProof/>
              </w:rPr>
              <w:t>Notes to the Consolidated  Financial Statements</w:t>
            </w:r>
            <w:r>
              <w:rPr>
                <w:noProof/>
                <w:webHidden/>
              </w:rPr>
              <w:tab/>
            </w:r>
            <w:r>
              <w:rPr>
                <w:noProof/>
                <w:webHidden/>
              </w:rPr>
              <w:fldChar w:fldCharType="begin"/>
            </w:r>
            <w:r>
              <w:rPr>
                <w:noProof/>
                <w:webHidden/>
              </w:rPr>
              <w:instrText xml:space="preserve"> PAGEREF _Toc213058675 \h </w:instrText>
            </w:r>
            <w:r>
              <w:rPr>
                <w:noProof/>
                <w:webHidden/>
              </w:rPr>
            </w:r>
            <w:r>
              <w:rPr>
                <w:noProof/>
                <w:webHidden/>
              </w:rPr>
              <w:fldChar w:fldCharType="separate"/>
            </w:r>
            <w:r w:rsidR="000525D5">
              <w:rPr>
                <w:noProof/>
                <w:webHidden/>
              </w:rPr>
              <w:t>82</w:t>
            </w:r>
            <w:r>
              <w:rPr>
                <w:noProof/>
                <w:webHidden/>
              </w:rPr>
              <w:fldChar w:fldCharType="end"/>
            </w:r>
          </w:hyperlink>
        </w:p>
        <w:p w14:paraId="084C7B17" w14:textId="4C415D6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76" w:history="1">
            <w:r w:rsidRPr="009B3556">
              <w:rPr>
                <w:rStyle w:val="Hyperlink"/>
                <w:noProof/>
              </w:rPr>
              <w:t>1. General Information</w:t>
            </w:r>
            <w:r>
              <w:rPr>
                <w:noProof/>
                <w:webHidden/>
              </w:rPr>
              <w:tab/>
            </w:r>
            <w:r>
              <w:rPr>
                <w:noProof/>
                <w:webHidden/>
              </w:rPr>
              <w:fldChar w:fldCharType="begin"/>
            </w:r>
            <w:r>
              <w:rPr>
                <w:noProof/>
                <w:webHidden/>
              </w:rPr>
              <w:instrText xml:space="preserve"> PAGEREF _Toc213058676 \h </w:instrText>
            </w:r>
            <w:r>
              <w:rPr>
                <w:noProof/>
                <w:webHidden/>
              </w:rPr>
            </w:r>
            <w:r>
              <w:rPr>
                <w:noProof/>
                <w:webHidden/>
              </w:rPr>
              <w:fldChar w:fldCharType="separate"/>
            </w:r>
            <w:r w:rsidR="000525D5">
              <w:rPr>
                <w:noProof/>
                <w:webHidden/>
              </w:rPr>
              <w:t>82</w:t>
            </w:r>
            <w:r>
              <w:rPr>
                <w:noProof/>
                <w:webHidden/>
              </w:rPr>
              <w:fldChar w:fldCharType="end"/>
            </w:r>
          </w:hyperlink>
        </w:p>
        <w:p w14:paraId="791ADF3E" w14:textId="40EB4546"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677" w:history="1">
            <w:r w:rsidRPr="009B3556">
              <w:rPr>
                <w:rStyle w:val="Hyperlink"/>
                <w:noProof/>
              </w:rPr>
              <w:t>2. Significant Accounting Policies</w:t>
            </w:r>
            <w:r>
              <w:rPr>
                <w:noProof/>
                <w:webHidden/>
              </w:rPr>
              <w:tab/>
            </w:r>
            <w:r>
              <w:rPr>
                <w:noProof/>
                <w:webHidden/>
              </w:rPr>
              <w:fldChar w:fldCharType="begin"/>
            </w:r>
            <w:r>
              <w:rPr>
                <w:noProof/>
                <w:webHidden/>
              </w:rPr>
              <w:instrText xml:space="preserve"> PAGEREF _Toc213058677 \h </w:instrText>
            </w:r>
            <w:r>
              <w:rPr>
                <w:noProof/>
                <w:webHidden/>
              </w:rPr>
            </w:r>
            <w:r>
              <w:rPr>
                <w:noProof/>
                <w:webHidden/>
              </w:rPr>
              <w:fldChar w:fldCharType="separate"/>
            </w:r>
            <w:r w:rsidR="000525D5">
              <w:rPr>
                <w:noProof/>
                <w:webHidden/>
              </w:rPr>
              <w:t>82</w:t>
            </w:r>
            <w:r>
              <w:rPr>
                <w:noProof/>
                <w:webHidden/>
              </w:rPr>
              <w:fldChar w:fldCharType="end"/>
            </w:r>
          </w:hyperlink>
        </w:p>
        <w:p w14:paraId="7D786C50" w14:textId="0F42C67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05" w:history="1">
            <w:r w:rsidRPr="009B3556">
              <w:rPr>
                <w:rStyle w:val="Hyperlink"/>
                <w:noProof/>
              </w:rPr>
              <w:t>3. Application of New and Revised International Financial Reporting Standards (IFRSs)</w:t>
            </w:r>
            <w:r>
              <w:rPr>
                <w:noProof/>
                <w:webHidden/>
              </w:rPr>
              <w:tab/>
            </w:r>
            <w:r>
              <w:rPr>
                <w:noProof/>
                <w:webHidden/>
              </w:rPr>
              <w:fldChar w:fldCharType="begin"/>
            </w:r>
            <w:r>
              <w:rPr>
                <w:noProof/>
                <w:webHidden/>
              </w:rPr>
              <w:instrText xml:space="preserve"> PAGEREF _Toc213058705 \h </w:instrText>
            </w:r>
            <w:r>
              <w:rPr>
                <w:noProof/>
                <w:webHidden/>
              </w:rPr>
            </w:r>
            <w:r>
              <w:rPr>
                <w:noProof/>
                <w:webHidden/>
              </w:rPr>
              <w:fldChar w:fldCharType="separate"/>
            </w:r>
            <w:r w:rsidR="000525D5">
              <w:rPr>
                <w:noProof/>
                <w:webHidden/>
              </w:rPr>
              <w:t>95</w:t>
            </w:r>
            <w:r>
              <w:rPr>
                <w:noProof/>
                <w:webHidden/>
              </w:rPr>
              <w:fldChar w:fldCharType="end"/>
            </w:r>
          </w:hyperlink>
        </w:p>
        <w:p w14:paraId="2721818A" w14:textId="6BF14B68"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07" w:history="1">
            <w:r w:rsidRPr="009B3556">
              <w:rPr>
                <w:rStyle w:val="Hyperlink"/>
                <w:noProof/>
              </w:rPr>
              <w:t>4. Revenue</w:t>
            </w:r>
            <w:r>
              <w:rPr>
                <w:noProof/>
                <w:webHidden/>
              </w:rPr>
              <w:tab/>
            </w:r>
            <w:r>
              <w:rPr>
                <w:noProof/>
                <w:webHidden/>
              </w:rPr>
              <w:fldChar w:fldCharType="begin"/>
            </w:r>
            <w:r>
              <w:rPr>
                <w:noProof/>
                <w:webHidden/>
              </w:rPr>
              <w:instrText xml:space="preserve"> PAGEREF _Toc213058707 \h </w:instrText>
            </w:r>
            <w:r>
              <w:rPr>
                <w:noProof/>
                <w:webHidden/>
              </w:rPr>
            </w:r>
            <w:r>
              <w:rPr>
                <w:noProof/>
                <w:webHidden/>
              </w:rPr>
              <w:fldChar w:fldCharType="separate"/>
            </w:r>
            <w:r w:rsidR="000525D5">
              <w:rPr>
                <w:noProof/>
                <w:webHidden/>
              </w:rPr>
              <w:t>96</w:t>
            </w:r>
            <w:r>
              <w:rPr>
                <w:noProof/>
                <w:webHidden/>
              </w:rPr>
              <w:fldChar w:fldCharType="end"/>
            </w:r>
          </w:hyperlink>
        </w:p>
        <w:p w14:paraId="4B7353AA" w14:textId="0ADF0C3C"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08" w:history="1">
            <w:r w:rsidRPr="009B3556">
              <w:rPr>
                <w:rStyle w:val="Hyperlink"/>
                <w:noProof/>
              </w:rPr>
              <w:t>5. Impairment</w:t>
            </w:r>
            <w:r>
              <w:rPr>
                <w:noProof/>
                <w:webHidden/>
              </w:rPr>
              <w:tab/>
            </w:r>
            <w:r>
              <w:rPr>
                <w:noProof/>
                <w:webHidden/>
              </w:rPr>
              <w:fldChar w:fldCharType="begin"/>
            </w:r>
            <w:r>
              <w:rPr>
                <w:noProof/>
                <w:webHidden/>
              </w:rPr>
              <w:instrText xml:space="preserve"> PAGEREF _Toc213058708 \h </w:instrText>
            </w:r>
            <w:r>
              <w:rPr>
                <w:noProof/>
                <w:webHidden/>
              </w:rPr>
            </w:r>
            <w:r>
              <w:rPr>
                <w:noProof/>
                <w:webHidden/>
              </w:rPr>
              <w:fldChar w:fldCharType="separate"/>
            </w:r>
            <w:r w:rsidR="000525D5">
              <w:rPr>
                <w:noProof/>
                <w:webHidden/>
              </w:rPr>
              <w:t>97</w:t>
            </w:r>
            <w:r>
              <w:rPr>
                <w:noProof/>
                <w:webHidden/>
              </w:rPr>
              <w:fldChar w:fldCharType="end"/>
            </w:r>
          </w:hyperlink>
        </w:p>
        <w:p w14:paraId="225D7401" w14:textId="51F636B7"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09" w:history="1">
            <w:r w:rsidRPr="009B3556">
              <w:rPr>
                <w:rStyle w:val="Hyperlink"/>
                <w:noProof/>
              </w:rPr>
              <w:t>6. Operating (Loss)/Profit</w:t>
            </w:r>
            <w:r>
              <w:rPr>
                <w:noProof/>
                <w:webHidden/>
              </w:rPr>
              <w:tab/>
            </w:r>
            <w:r>
              <w:rPr>
                <w:noProof/>
                <w:webHidden/>
              </w:rPr>
              <w:fldChar w:fldCharType="begin"/>
            </w:r>
            <w:r>
              <w:rPr>
                <w:noProof/>
                <w:webHidden/>
              </w:rPr>
              <w:instrText xml:space="preserve"> PAGEREF _Toc213058709 \h </w:instrText>
            </w:r>
            <w:r>
              <w:rPr>
                <w:noProof/>
                <w:webHidden/>
              </w:rPr>
            </w:r>
            <w:r>
              <w:rPr>
                <w:noProof/>
                <w:webHidden/>
              </w:rPr>
              <w:fldChar w:fldCharType="separate"/>
            </w:r>
            <w:r w:rsidR="000525D5">
              <w:rPr>
                <w:noProof/>
                <w:webHidden/>
              </w:rPr>
              <w:t>97</w:t>
            </w:r>
            <w:r>
              <w:rPr>
                <w:noProof/>
                <w:webHidden/>
              </w:rPr>
              <w:fldChar w:fldCharType="end"/>
            </w:r>
          </w:hyperlink>
        </w:p>
        <w:p w14:paraId="76381CA2" w14:textId="5E07C70E"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0" w:history="1">
            <w:r w:rsidRPr="009B3556">
              <w:rPr>
                <w:rStyle w:val="Hyperlink"/>
                <w:noProof/>
              </w:rPr>
              <w:t>7. Finance Income</w:t>
            </w:r>
            <w:r>
              <w:rPr>
                <w:noProof/>
                <w:webHidden/>
              </w:rPr>
              <w:tab/>
            </w:r>
            <w:r>
              <w:rPr>
                <w:noProof/>
                <w:webHidden/>
              </w:rPr>
              <w:fldChar w:fldCharType="begin"/>
            </w:r>
            <w:r>
              <w:rPr>
                <w:noProof/>
                <w:webHidden/>
              </w:rPr>
              <w:instrText xml:space="preserve"> PAGEREF _Toc213058710 \h </w:instrText>
            </w:r>
            <w:r>
              <w:rPr>
                <w:noProof/>
                <w:webHidden/>
              </w:rPr>
            </w:r>
            <w:r>
              <w:rPr>
                <w:noProof/>
                <w:webHidden/>
              </w:rPr>
              <w:fldChar w:fldCharType="separate"/>
            </w:r>
            <w:r w:rsidR="000525D5">
              <w:rPr>
                <w:noProof/>
                <w:webHidden/>
              </w:rPr>
              <w:t>98</w:t>
            </w:r>
            <w:r>
              <w:rPr>
                <w:noProof/>
                <w:webHidden/>
              </w:rPr>
              <w:fldChar w:fldCharType="end"/>
            </w:r>
          </w:hyperlink>
        </w:p>
        <w:p w14:paraId="61AF5D9F" w14:textId="329BFE41"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1" w:history="1">
            <w:r w:rsidRPr="009B3556">
              <w:rPr>
                <w:rStyle w:val="Hyperlink"/>
                <w:noProof/>
              </w:rPr>
              <w:t>8. Other Income</w:t>
            </w:r>
            <w:r>
              <w:rPr>
                <w:noProof/>
                <w:webHidden/>
              </w:rPr>
              <w:tab/>
            </w:r>
            <w:r>
              <w:rPr>
                <w:noProof/>
                <w:webHidden/>
              </w:rPr>
              <w:fldChar w:fldCharType="begin"/>
            </w:r>
            <w:r>
              <w:rPr>
                <w:noProof/>
                <w:webHidden/>
              </w:rPr>
              <w:instrText xml:space="preserve"> PAGEREF _Toc213058711 \h </w:instrText>
            </w:r>
            <w:r>
              <w:rPr>
                <w:noProof/>
                <w:webHidden/>
              </w:rPr>
            </w:r>
            <w:r>
              <w:rPr>
                <w:noProof/>
                <w:webHidden/>
              </w:rPr>
              <w:fldChar w:fldCharType="separate"/>
            </w:r>
            <w:r w:rsidR="000525D5">
              <w:rPr>
                <w:noProof/>
                <w:webHidden/>
              </w:rPr>
              <w:t>98</w:t>
            </w:r>
            <w:r>
              <w:rPr>
                <w:noProof/>
                <w:webHidden/>
              </w:rPr>
              <w:fldChar w:fldCharType="end"/>
            </w:r>
          </w:hyperlink>
        </w:p>
        <w:p w14:paraId="1FA796D2" w14:textId="3333DA0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2" w:history="1">
            <w:r w:rsidRPr="009B3556">
              <w:rPr>
                <w:rStyle w:val="Hyperlink"/>
                <w:noProof/>
              </w:rPr>
              <w:t>9. Taxation</w:t>
            </w:r>
            <w:r>
              <w:rPr>
                <w:noProof/>
                <w:webHidden/>
              </w:rPr>
              <w:tab/>
            </w:r>
            <w:r>
              <w:rPr>
                <w:noProof/>
                <w:webHidden/>
              </w:rPr>
              <w:fldChar w:fldCharType="begin"/>
            </w:r>
            <w:r>
              <w:rPr>
                <w:noProof/>
                <w:webHidden/>
              </w:rPr>
              <w:instrText xml:space="preserve"> PAGEREF _Toc213058712 \h </w:instrText>
            </w:r>
            <w:r>
              <w:rPr>
                <w:noProof/>
                <w:webHidden/>
              </w:rPr>
            </w:r>
            <w:r>
              <w:rPr>
                <w:noProof/>
                <w:webHidden/>
              </w:rPr>
              <w:fldChar w:fldCharType="separate"/>
            </w:r>
            <w:r w:rsidR="000525D5">
              <w:rPr>
                <w:noProof/>
                <w:webHidden/>
              </w:rPr>
              <w:t>98</w:t>
            </w:r>
            <w:r>
              <w:rPr>
                <w:noProof/>
                <w:webHidden/>
              </w:rPr>
              <w:fldChar w:fldCharType="end"/>
            </w:r>
          </w:hyperlink>
        </w:p>
        <w:p w14:paraId="7B51CC01" w14:textId="33BA610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3" w:history="1">
            <w:r w:rsidRPr="009B3556">
              <w:rPr>
                <w:rStyle w:val="Hyperlink"/>
                <w:noProof/>
              </w:rPr>
              <w:t>10. Profit of Parent Company</w:t>
            </w:r>
            <w:r>
              <w:rPr>
                <w:noProof/>
                <w:webHidden/>
              </w:rPr>
              <w:tab/>
            </w:r>
            <w:r>
              <w:rPr>
                <w:noProof/>
                <w:webHidden/>
              </w:rPr>
              <w:fldChar w:fldCharType="begin"/>
            </w:r>
            <w:r>
              <w:rPr>
                <w:noProof/>
                <w:webHidden/>
              </w:rPr>
              <w:instrText xml:space="preserve"> PAGEREF _Toc213058713 \h </w:instrText>
            </w:r>
            <w:r>
              <w:rPr>
                <w:noProof/>
                <w:webHidden/>
              </w:rPr>
            </w:r>
            <w:r>
              <w:rPr>
                <w:noProof/>
                <w:webHidden/>
              </w:rPr>
              <w:fldChar w:fldCharType="separate"/>
            </w:r>
            <w:r w:rsidR="000525D5">
              <w:rPr>
                <w:noProof/>
                <w:webHidden/>
              </w:rPr>
              <w:t>101</w:t>
            </w:r>
            <w:r>
              <w:rPr>
                <w:noProof/>
                <w:webHidden/>
              </w:rPr>
              <w:fldChar w:fldCharType="end"/>
            </w:r>
          </w:hyperlink>
        </w:p>
        <w:p w14:paraId="0C0C3AC7" w14:textId="28AC188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4" w:history="1">
            <w:r w:rsidRPr="009B3556">
              <w:rPr>
                <w:rStyle w:val="Hyperlink"/>
                <w:noProof/>
              </w:rPr>
              <w:t>11. Property, Plant and Equipment</w:t>
            </w:r>
            <w:r>
              <w:rPr>
                <w:noProof/>
                <w:webHidden/>
              </w:rPr>
              <w:tab/>
            </w:r>
            <w:r>
              <w:rPr>
                <w:noProof/>
                <w:webHidden/>
              </w:rPr>
              <w:fldChar w:fldCharType="begin"/>
            </w:r>
            <w:r>
              <w:rPr>
                <w:noProof/>
                <w:webHidden/>
              </w:rPr>
              <w:instrText xml:space="preserve"> PAGEREF _Toc213058714 \h </w:instrText>
            </w:r>
            <w:r>
              <w:rPr>
                <w:noProof/>
                <w:webHidden/>
              </w:rPr>
            </w:r>
            <w:r>
              <w:rPr>
                <w:noProof/>
                <w:webHidden/>
              </w:rPr>
              <w:fldChar w:fldCharType="separate"/>
            </w:r>
            <w:r w:rsidR="000525D5">
              <w:rPr>
                <w:noProof/>
                <w:webHidden/>
              </w:rPr>
              <w:t>101</w:t>
            </w:r>
            <w:r>
              <w:rPr>
                <w:noProof/>
                <w:webHidden/>
              </w:rPr>
              <w:fldChar w:fldCharType="end"/>
            </w:r>
          </w:hyperlink>
        </w:p>
        <w:p w14:paraId="6734A53C" w14:textId="561B7B4D"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7" w:history="1">
            <w:r w:rsidRPr="009B3556">
              <w:rPr>
                <w:rStyle w:val="Hyperlink"/>
                <w:noProof/>
              </w:rPr>
              <w:t>12. Investment Property</w:t>
            </w:r>
            <w:r>
              <w:rPr>
                <w:noProof/>
                <w:webHidden/>
              </w:rPr>
              <w:tab/>
            </w:r>
            <w:r>
              <w:rPr>
                <w:noProof/>
                <w:webHidden/>
              </w:rPr>
              <w:fldChar w:fldCharType="begin"/>
            </w:r>
            <w:r>
              <w:rPr>
                <w:noProof/>
                <w:webHidden/>
              </w:rPr>
              <w:instrText xml:space="preserve"> PAGEREF _Toc213058717 \h </w:instrText>
            </w:r>
            <w:r>
              <w:rPr>
                <w:noProof/>
                <w:webHidden/>
              </w:rPr>
            </w:r>
            <w:r>
              <w:rPr>
                <w:noProof/>
                <w:webHidden/>
              </w:rPr>
              <w:fldChar w:fldCharType="separate"/>
            </w:r>
            <w:r w:rsidR="000525D5">
              <w:rPr>
                <w:noProof/>
                <w:webHidden/>
              </w:rPr>
              <w:t>103</w:t>
            </w:r>
            <w:r>
              <w:rPr>
                <w:noProof/>
                <w:webHidden/>
              </w:rPr>
              <w:fldChar w:fldCharType="end"/>
            </w:r>
          </w:hyperlink>
        </w:p>
        <w:p w14:paraId="323BBA58" w14:textId="3B19D2E0"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19" w:history="1">
            <w:r w:rsidRPr="009B3556">
              <w:rPr>
                <w:rStyle w:val="Hyperlink"/>
                <w:noProof/>
              </w:rPr>
              <w:t>13. Investment in Subsidiaries</w:t>
            </w:r>
            <w:r>
              <w:rPr>
                <w:noProof/>
                <w:webHidden/>
              </w:rPr>
              <w:tab/>
            </w:r>
            <w:r>
              <w:rPr>
                <w:noProof/>
                <w:webHidden/>
              </w:rPr>
              <w:fldChar w:fldCharType="begin"/>
            </w:r>
            <w:r>
              <w:rPr>
                <w:noProof/>
                <w:webHidden/>
              </w:rPr>
              <w:instrText xml:space="preserve"> PAGEREF _Toc213058719 \h </w:instrText>
            </w:r>
            <w:r>
              <w:rPr>
                <w:noProof/>
                <w:webHidden/>
              </w:rPr>
            </w:r>
            <w:r>
              <w:rPr>
                <w:noProof/>
                <w:webHidden/>
              </w:rPr>
              <w:fldChar w:fldCharType="separate"/>
            </w:r>
            <w:r w:rsidR="000525D5">
              <w:rPr>
                <w:noProof/>
                <w:webHidden/>
              </w:rPr>
              <w:t>104</w:t>
            </w:r>
            <w:r>
              <w:rPr>
                <w:noProof/>
                <w:webHidden/>
              </w:rPr>
              <w:fldChar w:fldCharType="end"/>
            </w:r>
          </w:hyperlink>
        </w:p>
        <w:p w14:paraId="38688B40" w14:textId="0229E76B"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0" w:history="1">
            <w:r w:rsidRPr="009B3556">
              <w:rPr>
                <w:rStyle w:val="Hyperlink"/>
                <w:noProof/>
              </w:rPr>
              <w:t>14. Inventories</w:t>
            </w:r>
            <w:r>
              <w:rPr>
                <w:noProof/>
                <w:webHidden/>
              </w:rPr>
              <w:tab/>
            </w:r>
            <w:r>
              <w:rPr>
                <w:noProof/>
                <w:webHidden/>
              </w:rPr>
              <w:fldChar w:fldCharType="begin"/>
            </w:r>
            <w:r>
              <w:rPr>
                <w:noProof/>
                <w:webHidden/>
              </w:rPr>
              <w:instrText xml:space="preserve"> PAGEREF _Toc213058720 \h </w:instrText>
            </w:r>
            <w:r>
              <w:rPr>
                <w:noProof/>
                <w:webHidden/>
              </w:rPr>
            </w:r>
            <w:r>
              <w:rPr>
                <w:noProof/>
                <w:webHidden/>
              </w:rPr>
              <w:fldChar w:fldCharType="separate"/>
            </w:r>
            <w:r w:rsidR="000525D5">
              <w:rPr>
                <w:noProof/>
                <w:webHidden/>
              </w:rPr>
              <w:t>104</w:t>
            </w:r>
            <w:r>
              <w:rPr>
                <w:noProof/>
                <w:webHidden/>
              </w:rPr>
              <w:fldChar w:fldCharType="end"/>
            </w:r>
          </w:hyperlink>
        </w:p>
        <w:p w14:paraId="1DB2E274" w14:textId="334899FE"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1" w:history="1">
            <w:r w:rsidRPr="009B3556">
              <w:rPr>
                <w:rStyle w:val="Hyperlink"/>
                <w:noProof/>
              </w:rPr>
              <w:t>15. Trade and Other Receivables</w:t>
            </w:r>
            <w:r>
              <w:rPr>
                <w:noProof/>
                <w:webHidden/>
              </w:rPr>
              <w:tab/>
            </w:r>
            <w:r>
              <w:rPr>
                <w:noProof/>
                <w:webHidden/>
              </w:rPr>
              <w:fldChar w:fldCharType="begin"/>
            </w:r>
            <w:r>
              <w:rPr>
                <w:noProof/>
                <w:webHidden/>
              </w:rPr>
              <w:instrText xml:space="preserve"> PAGEREF _Toc213058721 \h </w:instrText>
            </w:r>
            <w:r>
              <w:rPr>
                <w:noProof/>
                <w:webHidden/>
              </w:rPr>
            </w:r>
            <w:r>
              <w:rPr>
                <w:noProof/>
                <w:webHidden/>
              </w:rPr>
              <w:fldChar w:fldCharType="separate"/>
            </w:r>
            <w:r w:rsidR="000525D5">
              <w:rPr>
                <w:noProof/>
                <w:webHidden/>
              </w:rPr>
              <w:t>105</w:t>
            </w:r>
            <w:r>
              <w:rPr>
                <w:noProof/>
                <w:webHidden/>
              </w:rPr>
              <w:fldChar w:fldCharType="end"/>
            </w:r>
          </w:hyperlink>
        </w:p>
        <w:p w14:paraId="54F1DF38" w14:textId="0BBD95B1"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4" w:history="1">
            <w:r w:rsidRPr="009B3556">
              <w:rPr>
                <w:rStyle w:val="Hyperlink"/>
                <w:noProof/>
              </w:rPr>
              <w:t>16. Trade and Other Payables</w:t>
            </w:r>
            <w:r>
              <w:rPr>
                <w:noProof/>
                <w:webHidden/>
              </w:rPr>
              <w:tab/>
            </w:r>
            <w:r>
              <w:rPr>
                <w:noProof/>
                <w:webHidden/>
              </w:rPr>
              <w:fldChar w:fldCharType="begin"/>
            </w:r>
            <w:r>
              <w:rPr>
                <w:noProof/>
                <w:webHidden/>
              </w:rPr>
              <w:instrText xml:space="preserve"> PAGEREF _Toc213058724 \h </w:instrText>
            </w:r>
            <w:r>
              <w:rPr>
                <w:noProof/>
                <w:webHidden/>
              </w:rPr>
            </w:r>
            <w:r>
              <w:rPr>
                <w:noProof/>
                <w:webHidden/>
              </w:rPr>
              <w:fldChar w:fldCharType="separate"/>
            </w:r>
            <w:r w:rsidR="000525D5">
              <w:rPr>
                <w:noProof/>
                <w:webHidden/>
              </w:rPr>
              <w:t>106</w:t>
            </w:r>
            <w:r>
              <w:rPr>
                <w:noProof/>
                <w:webHidden/>
              </w:rPr>
              <w:fldChar w:fldCharType="end"/>
            </w:r>
          </w:hyperlink>
        </w:p>
        <w:p w14:paraId="5E0D5543" w14:textId="227F66B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5" w:history="1">
            <w:r w:rsidRPr="009B3556">
              <w:rPr>
                <w:rStyle w:val="Hyperlink"/>
                <w:noProof/>
              </w:rPr>
              <w:t>17. Provisions</w:t>
            </w:r>
            <w:r>
              <w:rPr>
                <w:noProof/>
                <w:webHidden/>
              </w:rPr>
              <w:tab/>
            </w:r>
            <w:r>
              <w:rPr>
                <w:noProof/>
                <w:webHidden/>
              </w:rPr>
              <w:fldChar w:fldCharType="begin"/>
            </w:r>
            <w:r>
              <w:rPr>
                <w:noProof/>
                <w:webHidden/>
              </w:rPr>
              <w:instrText xml:space="preserve"> PAGEREF _Toc213058725 \h </w:instrText>
            </w:r>
            <w:r>
              <w:rPr>
                <w:noProof/>
                <w:webHidden/>
              </w:rPr>
            </w:r>
            <w:r>
              <w:rPr>
                <w:noProof/>
                <w:webHidden/>
              </w:rPr>
              <w:fldChar w:fldCharType="separate"/>
            </w:r>
            <w:r w:rsidR="000525D5">
              <w:rPr>
                <w:noProof/>
                <w:webHidden/>
              </w:rPr>
              <w:t>107</w:t>
            </w:r>
            <w:r>
              <w:rPr>
                <w:noProof/>
                <w:webHidden/>
              </w:rPr>
              <w:fldChar w:fldCharType="end"/>
            </w:r>
          </w:hyperlink>
        </w:p>
        <w:p w14:paraId="408CD716" w14:textId="13296759"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6" w:history="1">
            <w:r w:rsidRPr="009B3556">
              <w:rPr>
                <w:rStyle w:val="Hyperlink"/>
                <w:noProof/>
              </w:rPr>
              <w:t>18. Deferred Income</w:t>
            </w:r>
            <w:r>
              <w:rPr>
                <w:noProof/>
                <w:webHidden/>
              </w:rPr>
              <w:tab/>
            </w:r>
            <w:r>
              <w:rPr>
                <w:noProof/>
                <w:webHidden/>
              </w:rPr>
              <w:fldChar w:fldCharType="begin"/>
            </w:r>
            <w:r>
              <w:rPr>
                <w:noProof/>
                <w:webHidden/>
              </w:rPr>
              <w:instrText xml:space="preserve"> PAGEREF _Toc213058726 \h </w:instrText>
            </w:r>
            <w:r>
              <w:rPr>
                <w:noProof/>
                <w:webHidden/>
              </w:rPr>
            </w:r>
            <w:r>
              <w:rPr>
                <w:noProof/>
                <w:webHidden/>
              </w:rPr>
              <w:fldChar w:fldCharType="separate"/>
            </w:r>
            <w:r w:rsidR="000525D5">
              <w:rPr>
                <w:noProof/>
                <w:webHidden/>
              </w:rPr>
              <w:t>108</w:t>
            </w:r>
            <w:r>
              <w:rPr>
                <w:noProof/>
                <w:webHidden/>
              </w:rPr>
              <w:fldChar w:fldCharType="end"/>
            </w:r>
          </w:hyperlink>
        </w:p>
        <w:p w14:paraId="76244879" w14:textId="49BA15E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7" w:history="1">
            <w:r w:rsidRPr="009B3556">
              <w:rPr>
                <w:rStyle w:val="Hyperlink"/>
                <w:noProof/>
              </w:rPr>
              <w:t>19. Cash and Cash Equivalents</w:t>
            </w:r>
            <w:r>
              <w:rPr>
                <w:noProof/>
                <w:webHidden/>
              </w:rPr>
              <w:tab/>
            </w:r>
            <w:r>
              <w:rPr>
                <w:noProof/>
                <w:webHidden/>
              </w:rPr>
              <w:fldChar w:fldCharType="begin"/>
            </w:r>
            <w:r>
              <w:rPr>
                <w:noProof/>
                <w:webHidden/>
              </w:rPr>
              <w:instrText xml:space="preserve"> PAGEREF _Toc213058727 \h </w:instrText>
            </w:r>
            <w:r>
              <w:rPr>
                <w:noProof/>
                <w:webHidden/>
              </w:rPr>
            </w:r>
            <w:r>
              <w:rPr>
                <w:noProof/>
                <w:webHidden/>
              </w:rPr>
              <w:fldChar w:fldCharType="separate"/>
            </w:r>
            <w:r w:rsidR="000525D5">
              <w:rPr>
                <w:noProof/>
                <w:webHidden/>
              </w:rPr>
              <w:t>108</w:t>
            </w:r>
            <w:r>
              <w:rPr>
                <w:noProof/>
                <w:webHidden/>
              </w:rPr>
              <w:fldChar w:fldCharType="end"/>
            </w:r>
          </w:hyperlink>
        </w:p>
        <w:p w14:paraId="68FD2FDB" w14:textId="5B75D5A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28" w:history="1">
            <w:r w:rsidRPr="009B3556">
              <w:rPr>
                <w:rStyle w:val="Hyperlink"/>
                <w:noProof/>
              </w:rPr>
              <w:t>20. Employee Benefits</w:t>
            </w:r>
            <w:r>
              <w:rPr>
                <w:noProof/>
                <w:webHidden/>
              </w:rPr>
              <w:tab/>
            </w:r>
            <w:r>
              <w:rPr>
                <w:noProof/>
                <w:webHidden/>
              </w:rPr>
              <w:fldChar w:fldCharType="begin"/>
            </w:r>
            <w:r>
              <w:rPr>
                <w:noProof/>
                <w:webHidden/>
              </w:rPr>
              <w:instrText xml:space="preserve"> PAGEREF _Toc213058728 \h </w:instrText>
            </w:r>
            <w:r>
              <w:rPr>
                <w:noProof/>
                <w:webHidden/>
              </w:rPr>
            </w:r>
            <w:r>
              <w:rPr>
                <w:noProof/>
                <w:webHidden/>
              </w:rPr>
              <w:fldChar w:fldCharType="separate"/>
            </w:r>
            <w:r w:rsidR="000525D5">
              <w:rPr>
                <w:noProof/>
                <w:webHidden/>
              </w:rPr>
              <w:t>108</w:t>
            </w:r>
            <w:r>
              <w:rPr>
                <w:noProof/>
                <w:webHidden/>
              </w:rPr>
              <w:fldChar w:fldCharType="end"/>
            </w:r>
          </w:hyperlink>
        </w:p>
        <w:p w14:paraId="1AF987D4" w14:textId="3556F2E3"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37" w:history="1">
            <w:r w:rsidRPr="009B3556">
              <w:rPr>
                <w:rStyle w:val="Hyperlink"/>
                <w:noProof/>
              </w:rPr>
              <w:t>21. Directors’ and Employees’ Staff Costs</w:t>
            </w:r>
            <w:r>
              <w:rPr>
                <w:noProof/>
                <w:webHidden/>
              </w:rPr>
              <w:tab/>
            </w:r>
            <w:r>
              <w:rPr>
                <w:noProof/>
                <w:webHidden/>
              </w:rPr>
              <w:fldChar w:fldCharType="begin"/>
            </w:r>
            <w:r>
              <w:rPr>
                <w:noProof/>
                <w:webHidden/>
              </w:rPr>
              <w:instrText xml:space="preserve"> PAGEREF _Toc213058737 \h </w:instrText>
            </w:r>
            <w:r>
              <w:rPr>
                <w:noProof/>
                <w:webHidden/>
              </w:rPr>
            </w:r>
            <w:r>
              <w:rPr>
                <w:noProof/>
                <w:webHidden/>
              </w:rPr>
              <w:fldChar w:fldCharType="separate"/>
            </w:r>
            <w:r w:rsidR="000525D5">
              <w:rPr>
                <w:noProof/>
                <w:webHidden/>
              </w:rPr>
              <w:t>115</w:t>
            </w:r>
            <w:r>
              <w:rPr>
                <w:noProof/>
                <w:webHidden/>
              </w:rPr>
              <w:fldChar w:fldCharType="end"/>
            </w:r>
          </w:hyperlink>
        </w:p>
        <w:p w14:paraId="0FAAC313" w14:textId="0F7FCFD5"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41" w:history="1">
            <w:r w:rsidRPr="009B3556">
              <w:rPr>
                <w:rStyle w:val="Hyperlink"/>
                <w:noProof/>
              </w:rPr>
              <w:t>22. Financial Instruments</w:t>
            </w:r>
            <w:r>
              <w:rPr>
                <w:noProof/>
                <w:webHidden/>
              </w:rPr>
              <w:tab/>
            </w:r>
            <w:r>
              <w:rPr>
                <w:noProof/>
                <w:webHidden/>
              </w:rPr>
              <w:fldChar w:fldCharType="begin"/>
            </w:r>
            <w:r>
              <w:rPr>
                <w:noProof/>
                <w:webHidden/>
              </w:rPr>
              <w:instrText xml:space="preserve"> PAGEREF _Toc213058741 \h </w:instrText>
            </w:r>
            <w:r>
              <w:rPr>
                <w:noProof/>
                <w:webHidden/>
              </w:rPr>
            </w:r>
            <w:r>
              <w:rPr>
                <w:noProof/>
                <w:webHidden/>
              </w:rPr>
              <w:fldChar w:fldCharType="separate"/>
            </w:r>
            <w:r w:rsidR="000525D5">
              <w:rPr>
                <w:noProof/>
                <w:webHidden/>
              </w:rPr>
              <w:t>116</w:t>
            </w:r>
            <w:r>
              <w:rPr>
                <w:noProof/>
                <w:webHidden/>
              </w:rPr>
              <w:fldChar w:fldCharType="end"/>
            </w:r>
          </w:hyperlink>
        </w:p>
        <w:p w14:paraId="3915490F" w14:textId="10FDFC01"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47" w:history="1">
            <w:r w:rsidRPr="009B3556">
              <w:rPr>
                <w:rStyle w:val="Hyperlink"/>
                <w:noProof/>
              </w:rPr>
              <w:t>23. Related Party Transactions</w:t>
            </w:r>
            <w:r>
              <w:rPr>
                <w:noProof/>
                <w:webHidden/>
              </w:rPr>
              <w:tab/>
            </w:r>
            <w:r>
              <w:rPr>
                <w:noProof/>
                <w:webHidden/>
              </w:rPr>
              <w:fldChar w:fldCharType="begin"/>
            </w:r>
            <w:r>
              <w:rPr>
                <w:noProof/>
                <w:webHidden/>
              </w:rPr>
              <w:instrText xml:space="preserve"> PAGEREF _Toc213058747 \h </w:instrText>
            </w:r>
            <w:r>
              <w:rPr>
                <w:noProof/>
                <w:webHidden/>
              </w:rPr>
            </w:r>
            <w:r>
              <w:rPr>
                <w:noProof/>
                <w:webHidden/>
              </w:rPr>
              <w:fldChar w:fldCharType="separate"/>
            </w:r>
            <w:r w:rsidR="000525D5">
              <w:rPr>
                <w:noProof/>
                <w:webHidden/>
              </w:rPr>
              <w:t>125</w:t>
            </w:r>
            <w:r>
              <w:rPr>
                <w:noProof/>
                <w:webHidden/>
              </w:rPr>
              <w:fldChar w:fldCharType="end"/>
            </w:r>
          </w:hyperlink>
        </w:p>
        <w:p w14:paraId="00A08DF5" w14:textId="3428EA6D"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48" w:history="1">
            <w:r w:rsidRPr="009B3556">
              <w:rPr>
                <w:rStyle w:val="Hyperlink"/>
                <w:noProof/>
              </w:rPr>
              <w:t>24. Contingent Liabilities</w:t>
            </w:r>
            <w:r>
              <w:rPr>
                <w:noProof/>
                <w:webHidden/>
              </w:rPr>
              <w:tab/>
            </w:r>
            <w:r>
              <w:rPr>
                <w:noProof/>
                <w:webHidden/>
              </w:rPr>
              <w:fldChar w:fldCharType="begin"/>
            </w:r>
            <w:r>
              <w:rPr>
                <w:noProof/>
                <w:webHidden/>
              </w:rPr>
              <w:instrText xml:space="preserve"> PAGEREF _Toc213058748 \h </w:instrText>
            </w:r>
            <w:r>
              <w:rPr>
                <w:noProof/>
                <w:webHidden/>
              </w:rPr>
            </w:r>
            <w:r>
              <w:rPr>
                <w:noProof/>
                <w:webHidden/>
              </w:rPr>
              <w:fldChar w:fldCharType="separate"/>
            </w:r>
            <w:r w:rsidR="000525D5">
              <w:rPr>
                <w:noProof/>
                <w:webHidden/>
              </w:rPr>
              <w:t>126</w:t>
            </w:r>
            <w:r>
              <w:rPr>
                <w:noProof/>
                <w:webHidden/>
              </w:rPr>
              <w:fldChar w:fldCharType="end"/>
            </w:r>
          </w:hyperlink>
        </w:p>
        <w:p w14:paraId="2A72AAC0" w14:textId="08822824"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49" w:history="1">
            <w:r w:rsidRPr="009B3556">
              <w:rPr>
                <w:rStyle w:val="Hyperlink"/>
                <w:noProof/>
              </w:rPr>
              <w:t>25. Post Balance Sheet Events</w:t>
            </w:r>
            <w:r>
              <w:rPr>
                <w:noProof/>
                <w:webHidden/>
              </w:rPr>
              <w:tab/>
            </w:r>
            <w:r>
              <w:rPr>
                <w:noProof/>
                <w:webHidden/>
              </w:rPr>
              <w:fldChar w:fldCharType="begin"/>
            </w:r>
            <w:r>
              <w:rPr>
                <w:noProof/>
                <w:webHidden/>
              </w:rPr>
              <w:instrText xml:space="preserve"> PAGEREF _Toc213058749 \h </w:instrText>
            </w:r>
            <w:r>
              <w:rPr>
                <w:noProof/>
                <w:webHidden/>
              </w:rPr>
            </w:r>
            <w:r>
              <w:rPr>
                <w:noProof/>
                <w:webHidden/>
              </w:rPr>
              <w:fldChar w:fldCharType="separate"/>
            </w:r>
            <w:r w:rsidR="000525D5">
              <w:rPr>
                <w:noProof/>
                <w:webHidden/>
              </w:rPr>
              <w:t>126</w:t>
            </w:r>
            <w:r>
              <w:rPr>
                <w:noProof/>
                <w:webHidden/>
              </w:rPr>
              <w:fldChar w:fldCharType="end"/>
            </w:r>
          </w:hyperlink>
        </w:p>
        <w:p w14:paraId="0C0D4AD1" w14:textId="3BE1D192" w:rsidR="00822505" w:rsidRDefault="00822505">
          <w:pPr>
            <w:pStyle w:val="TOC2"/>
            <w:tabs>
              <w:tab w:val="right" w:leader="dot" w:pos="10450"/>
            </w:tabs>
            <w:rPr>
              <w:rFonts w:eastAsiaTheme="minorEastAsia" w:cstheme="minorBidi"/>
              <w:b w:val="0"/>
              <w:bCs w:val="0"/>
              <w:noProof/>
              <w:kern w:val="2"/>
              <w:sz w:val="24"/>
              <w:szCs w:val="24"/>
              <w:lang w:eastAsia="en-GB"/>
              <w14:ligatures w14:val="standardContextual"/>
            </w:rPr>
          </w:pPr>
          <w:hyperlink w:anchor="_Toc213058750" w:history="1">
            <w:r w:rsidRPr="009B3556">
              <w:rPr>
                <w:rStyle w:val="Hyperlink"/>
                <w:noProof/>
              </w:rPr>
              <w:t>26. Comparative Information</w:t>
            </w:r>
            <w:r>
              <w:rPr>
                <w:noProof/>
                <w:webHidden/>
              </w:rPr>
              <w:tab/>
            </w:r>
            <w:r>
              <w:rPr>
                <w:noProof/>
                <w:webHidden/>
              </w:rPr>
              <w:fldChar w:fldCharType="begin"/>
            </w:r>
            <w:r>
              <w:rPr>
                <w:noProof/>
                <w:webHidden/>
              </w:rPr>
              <w:instrText xml:space="preserve"> PAGEREF _Toc213058750 \h </w:instrText>
            </w:r>
            <w:r>
              <w:rPr>
                <w:noProof/>
                <w:webHidden/>
              </w:rPr>
            </w:r>
            <w:r>
              <w:rPr>
                <w:noProof/>
                <w:webHidden/>
              </w:rPr>
              <w:fldChar w:fldCharType="separate"/>
            </w:r>
            <w:r w:rsidR="000525D5">
              <w:rPr>
                <w:noProof/>
                <w:webHidden/>
              </w:rPr>
              <w:t>126</w:t>
            </w:r>
            <w:r>
              <w:rPr>
                <w:noProof/>
                <w:webHidden/>
              </w:rPr>
              <w:fldChar w:fldCharType="end"/>
            </w:r>
          </w:hyperlink>
        </w:p>
        <w:p w14:paraId="22A163D1" w14:textId="74FBE257" w:rsidR="00340DE5" w:rsidRDefault="00340DE5">
          <w:r>
            <w:rPr>
              <w:b/>
              <w:bCs/>
              <w:noProof/>
            </w:rPr>
            <w:fldChar w:fldCharType="end"/>
          </w:r>
        </w:p>
      </w:sdtContent>
    </w:sdt>
    <w:p w14:paraId="40FFA574" w14:textId="77777777" w:rsidR="00801BDE" w:rsidRDefault="00801BDE" w:rsidP="00506AC2"/>
    <w:p w14:paraId="6B98F3B1" w14:textId="77777777" w:rsidR="00340DE5" w:rsidRDefault="00340DE5" w:rsidP="00506AC2"/>
    <w:p w14:paraId="067C6677" w14:textId="77777777" w:rsidR="00340DE5" w:rsidRDefault="00340DE5" w:rsidP="00506AC2"/>
    <w:p w14:paraId="0843BA17" w14:textId="77777777" w:rsidR="00340DE5" w:rsidRDefault="00340DE5" w:rsidP="00506AC2"/>
    <w:p w14:paraId="5D97B211" w14:textId="0595E7F4" w:rsidR="00405981" w:rsidRPr="00506AC2" w:rsidRDefault="00801BDE" w:rsidP="00506AC2">
      <w:pPr>
        <w:pStyle w:val="Heading1"/>
      </w:pPr>
      <w:r w:rsidRPr="00506AC2">
        <w:br w:type="page"/>
      </w:r>
      <w:bookmarkStart w:id="15" w:name="_Toc143670748"/>
      <w:bookmarkStart w:id="16" w:name="_Toc213058496"/>
      <w:r w:rsidR="00405981" w:rsidRPr="00506AC2">
        <w:lastRenderedPageBreak/>
        <w:t>Officers and Advisers</w:t>
      </w:r>
      <w:bookmarkEnd w:id="15"/>
      <w:bookmarkEnd w:id="16"/>
    </w:p>
    <w:p w14:paraId="2FDFA946" w14:textId="77777777" w:rsidR="0041571F" w:rsidRPr="0041571F" w:rsidRDefault="0041571F" w:rsidP="00506AC2"/>
    <w:p w14:paraId="7681CF17" w14:textId="77777777" w:rsidR="00405981" w:rsidRPr="00083499" w:rsidRDefault="00405981" w:rsidP="00506AC2">
      <w:r w:rsidRPr="00083499">
        <w:t>Directors</w:t>
      </w:r>
    </w:p>
    <w:p w14:paraId="22C24336" w14:textId="77777777" w:rsidR="009F267D" w:rsidRPr="009F267D" w:rsidRDefault="009F267D" w:rsidP="009F267D">
      <w:r w:rsidRPr="009F267D">
        <w:t>Mr Frank Allen (Chair) (appointed 1st March 2025)</w:t>
      </w:r>
      <w:r w:rsidRPr="009F267D">
        <w:br/>
        <w:t>Mr Chris Conway (Group Chief Executive)</w:t>
      </w:r>
      <w:r w:rsidRPr="009F267D">
        <w:br/>
        <w:t>Mr Michael Brown</w:t>
      </w:r>
      <w:r w:rsidRPr="009F267D">
        <w:br/>
        <w:t xml:space="preserve">Mr Edward Wills  </w:t>
      </w:r>
      <w:r w:rsidRPr="009F267D">
        <w:br/>
        <w:t>Mr Donald Leeson (appointed 1st October 2024)</w:t>
      </w:r>
      <w:r w:rsidRPr="009F267D">
        <w:br/>
        <w:t>Mr Manish Gupta (appointed 1st October 2024)</w:t>
      </w:r>
      <w:r w:rsidRPr="009F267D">
        <w:br/>
        <w:t>Ms Grainne McVeigh (appointed 1st October 2024)</w:t>
      </w:r>
      <w:r w:rsidRPr="009F267D">
        <w:br/>
        <w:t>Mr Ian Campbell (appointed 4th June 2025)</w:t>
      </w:r>
      <w:r w:rsidRPr="009F267D">
        <w:br/>
        <w:t>Mr John Glass (appointed 4th June 2025)</w:t>
      </w:r>
    </w:p>
    <w:p w14:paraId="7B8F936D" w14:textId="77777777" w:rsidR="00E55AD1" w:rsidRPr="00405981" w:rsidRDefault="00E55AD1" w:rsidP="00506AC2"/>
    <w:p w14:paraId="48981827" w14:textId="77777777" w:rsidR="00405981" w:rsidRPr="00083499" w:rsidRDefault="00405981" w:rsidP="00506AC2">
      <w:r w:rsidRPr="00083499">
        <w:t>Company Secretary</w:t>
      </w:r>
    </w:p>
    <w:p w14:paraId="0DE37852" w14:textId="77777777" w:rsidR="00405981" w:rsidRDefault="00405981" w:rsidP="00506AC2">
      <w:r w:rsidRPr="00405981">
        <w:t xml:space="preserve">Mrs Priscilla Rooney </w:t>
      </w:r>
    </w:p>
    <w:p w14:paraId="15D4ED99" w14:textId="77777777" w:rsidR="00405981" w:rsidRPr="00405981" w:rsidRDefault="00405981" w:rsidP="00506AC2"/>
    <w:p w14:paraId="6A8BA7B2" w14:textId="77777777" w:rsidR="00405981" w:rsidRPr="00083499" w:rsidRDefault="00405981" w:rsidP="00506AC2">
      <w:r w:rsidRPr="00083499">
        <w:t>Independent Auditor</w:t>
      </w:r>
    </w:p>
    <w:p w14:paraId="0B8581B0" w14:textId="77777777" w:rsidR="00E55AD1" w:rsidRPr="00E55AD1" w:rsidRDefault="00E55AD1" w:rsidP="00E55AD1">
      <w:pPr>
        <w:pStyle w:val="NoSpacing"/>
        <w:spacing w:line="360" w:lineRule="auto"/>
        <w:rPr>
          <w:rFonts w:ascii="Arial" w:hAnsi="Arial" w:cs="Arial"/>
        </w:rPr>
      </w:pPr>
      <w:r w:rsidRPr="00E55AD1">
        <w:rPr>
          <w:rFonts w:ascii="Arial" w:hAnsi="Arial" w:cs="Arial"/>
        </w:rPr>
        <w:t>Grant Thornton (NI) LLP</w:t>
      </w:r>
    </w:p>
    <w:p w14:paraId="1BCCE567" w14:textId="77777777" w:rsidR="00E55AD1" w:rsidRPr="00E55AD1" w:rsidRDefault="00E55AD1" w:rsidP="00E55AD1">
      <w:pPr>
        <w:pStyle w:val="NoSpacing"/>
        <w:spacing w:line="360" w:lineRule="auto"/>
        <w:rPr>
          <w:rFonts w:ascii="Arial" w:hAnsi="Arial" w:cs="Arial"/>
        </w:rPr>
      </w:pPr>
      <w:r w:rsidRPr="00E55AD1">
        <w:rPr>
          <w:rFonts w:ascii="Arial" w:hAnsi="Arial" w:cs="Arial"/>
        </w:rPr>
        <w:t>12-15 Donegall Square West</w:t>
      </w:r>
    </w:p>
    <w:p w14:paraId="1E895731" w14:textId="77777777" w:rsidR="00E55AD1" w:rsidRPr="00E55AD1" w:rsidRDefault="00E55AD1" w:rsidP="00E55AD1">
      <w:pPr>
        <w:pStyle w:val="NoSpacing"/>
        <w:spacing w:line="360" w:lineRule="auto"/>
        <w:rPr>
          <w:rFonts w:ascii="Arial" w:hAnsi="Arial" w:cs="Arial"/>
        </w:rPr>
      </w:pPr>
      <w:r w:rsidRPr="00E55AD1">
        <w:rPr>
          <w:rFonts w:ascii="Arial" w:hAnsi="Arial" w:cs="Arial"/>
        </w:rPr>
        <w:t>Belfast</w:t>
      </w:r>
    </w:p>
    <w:p w14:paraId="15E2C42D" w14:textId="77777777" w:rsidR="00E55AD1" w:rsidRPr="00E55AD1" w:rsidRDefault="00E55AD1" w:rsidP="00E55AD1">
      <w:pPr>
        <w:pStyle w:val="NoSpacing"/>
        <w:spacing w:line="360" w:lineRule="auto"/>
        <w:rPr>
          <w:rFonts w:ascii="Arial" w:hAnsi="Arial" w:cs="Arial"/>
        </w:rPr>
      </w:pPr>
      <w:r w:rsidRPr="00E55AD1">
        <w:rPr>
          <w:rFonts w:ascii="Arial" w:hAnsi="Arial" w:cs="Arial"/>
        </w:rPr>
        <w:t>Northern Ireland</w:t>
      </w:r>
    </w:p>
    <w:p w14:paraId="24BA731D" w14:textId="2B438FFF" w:rsidR="00405981" w:rsidRPr="00E55AD1" w:rsidRDefault="00E55AD1" w:rsidP="00E55AD1">
      <w:pPr>
        <w:pStyle w:val="NoSpacing"/>
        <w:spacing w:line="360" w:lineRule="auto"/>
        <w:rPr>
          <w:rFonts w:ascii="Arial" w:hAnsi="Arial" w:cs="Arial"/>
        </w:rPr>
      </w:pPr>
      <w:r w:rsidRPr="00E55AD1">
        <w:rPr>
          <w:rFonts w:ascii="Arial" w:hAnsi="Arial" w:cs="Arial"/>
        </w:rPr>
        <w:t>BT1 6JH</w:t>
      </w:r>
    </w:p>
    <w:p w14:paraId="59F7F3E4" w14:textId="77777777" w:rsidR="00E55AD1" w:rsidRPr="00E55AD1" w:rsidRDefault="00E55AD1" w:rsidP="00E55AD1">
      <w:pPr>
        <w:pStyle w:val="NoSpacing"/>
      </w:pPr>
    </w:p>
    <w:p w14:paraId="0CB21C54" w14:textId="77777777" w:rsidR="00405981" w:rsidRPr="00083499" w:rsidRDefault="00405981" w:rsidP="00506AC2">
      <w:r w:rsidRPr="00083499">
        <w:t>Head Office</w:t>
      </w:r>
    </w:p>
    <w:p w14:paraId="59E557CF" w14:textId="77777777" w:rsidR="00405981" w:rsidRPr="00405981" w:rsidRDefault="00405981" w:rsidP="00506AC2">
      <w:r w:rsidRPr="00405981">
        <w:t>22 Great Victoria Street</w:t>
      </w:r>
    </w:p>
    <w:p w14:paraId="4E667BFC" w14:textId="77777777" w:rsidR="00405981" w:rsidRPr="00405981" w:rsidRDefault="00405981" w:rsidP="00506AC2">
      <w:r w:rsidRPr="00405981">
        <w:t>Belfast</w:t>
      </w:r>
    </w:p>
    <w:p w14:paraId="27F5873A" w14:textId="77777777" w:rsidR="00405981" w:rsidRDefault="00405981" w:rsidP="00506AC2">
      <w:r w:rsidRPr="00405981">
        <w:t>BT2 7LX</w:t>
      </w:r>
    </w:p>
    <w:p w14:paraId="43408107" w14:textId="77777777" w:rsidR="00405981" w:rsidRPr="00405981" w:rsidRDefault="00405981" w:rsidP="00506AC2"/>
    <w:p w14:paraId="22A5574C" w14:textId="77777777" w:rsidR="00AB57D2" w:rsidRDefault="00AB57D2" w:rsidP="00506AC2">
      <w:r>
        <w:br w:type="page"/>
      </w:r>
    </w:p>
    <w:p w14:paraId="11518534" w14:textId="654BA928" w:rsidR="00405981" w:rsidRPr="00083499" w:rsidRDefault="00405981" w:rsidP="00506AC2">
      <w:r w:rsidRPr="00083499">
        <w:lastRenderedPageBreak/>
        <w:t>Bankers</w:t>
      </w:r>
    </w:p>
    <w:p w14:paraId="4CAF5FF1" w14:textId="77777777" w:rsidR="00405981" w:rsidRPr="00405981" w:rsidRDefault="00405981" w:rsidP="00506AC2">
      <w:r w:rsidRPr="00405981">
        <w:t>Barclays</w:t>
      </w:r>
    </w:p>
    <w:p w14:paraId="7F0081E1" w14:textId="77777777" w:rsidR="00405981" w:rsidRPr="00405981" w:rsidRDefault="00405981" w:rsidP="00506AC2">
      <w:r w:rsidRPr="00405981">
        <w:t>17 Castle Place</w:t>
      </w:r>
    </w:p>
    <w:p w14:paraId="7F6FDA27" w14:textId="77777777" w:rsidR="00405981" w:rsidRPr="00405981" w:rsidRDefault="00405981" w:rsidP="00506AC2">
      <w:r w:rsidRPr="00405981">
        <w:t>Belfast</w:t>
      </w:r>
    </w:p>
    <w:p w14:paraId="01110834" w14:textId="77777777" w:rsidR="00405981" w:rsidRDefault="00405981" w:rsidP="00506AC2">
      <w:r w:rsidRPr="00405981">
        <w:t>BT1 1EL</w:t>
      </w:r>
    </w:p>
    <w:p w14:paraId="2B98B37D" w14:textId="77777777" w:rsidR="00405981" w:rsidRPr="00405981" w:rsidRDefault="00405981" w:rsidP="00506AC2"/>
    <w:p w14:paraId="05745416" w14:textId="77777777" w:rsidR="00405981" w:rsidRPr="00083499" w:rsidRDefault="00405981" w:rsidP="00506AC2">
      <w:r w:rsidRPr="00083499">
        <w:t>Trading Subsidiaries</w:t>
      </w:r>
    </w:p>
    <w:p w14:paraId="5ACA9560" w14:textId="77777777" w:rsidR="00405981" w:rsidRPr="00405981" w:rsidRDefault="00405981" w:rsidP="00506AC2">
      <w:proofErr w:type="spellStart"/>
      <w:r w:rsidRPr="00405981">
        <w:t>Ulsterbus</w:t>
      </w:r>
      <w:proofErr w:type="spellEnd"/>
      <w:r w:rsidRPr="00405981">
        <w:t xml:space="preserve"> Limited</w:t>
      </w:r>
    </w:p>
    <w:p w14:paraId="28D170DB" w14:textId="77777777" w:rsidR="00405981" w:rsidRPr="00405981" w:rsidRDefault="00405981" w:rsidP="00506AC2">
      <w:r w:rsidRPr="00405981">
        <w:t>Citybus Limited</w:t>
      </w:r>
    </w:p>
    <w:p w14:paraId="05E34825" w14:textId="77777777" w:rsidR="00405981" w:rsidRPr="00405981" w:rsidRDefault="00405981" w:rsidP="00506AC2">
      <w:r w:rsidRPr="00405981">
        <w:t>Northern Ireland Railways Company Limited</w:t>
      </w:r>
    </w:p>
    <w:p w14:paraId="7B536AF6" w14:textId="77777777" w:rsidR="00405981" w:rsidRDefault="00405981" w:rsidP="00506AC2">
      <w:r w:rsidRPr="00405981">
        <w:t>NIR Operations Limited</w:t>
      </w:r>
    </w:p>
    <w:p w14:paraId="5D753741" w14:textId="77777777" w:rsidR="00405981" w:rsidRPr="00405981" w:rsidRDefault="00405981" w:rsidP="00506AC2"/>
    <w:p w14:paraId="4A3B500F" w14:textId="77777777" w:rsidR="00405981" w:rsidRPr="00083499" w:rsidRDefault="00405981" w:rsidP="00506AC2">
      <w:r w:rsidRPr="00083499">
        <w:t>Non-trading Subsidiaries</w:t>
      </w:r>
    </w:p>
    <w:p w14:paraId="607B307B" w14:textId="77777777" w:rsidR="00405981" w:rsidRPr="00405981" w:rsidRDefault="00405981" w:rsidP="00506AC2">
      <w:proofErr w:type="spellStart"/>
      <w:r w:rsidRPr="00405981">
        <w:t>Flexibus</w:t>
      </w:r>
      <w:proofErr w:type="spellEnd"/>
      <w:r w:rsidRPr="00405981">
        <w:t xml:space="preserve"> Limited</w:t>
      </w:r>
    </w:p>
    <w:p w14:paraId="70FFC123" w14:textId="77777777" w:rsidR="00405981" w:rsidRPr="00405981" w:rsidRDefault="00405981" w:rsidP="00506AC2">
      <w:r w:rsidRPr="00405981">
        <w:t>Translink (NI) Limited</w:t>
      </w:r>
    </w:p>
    <w:p w14:paraId="6881C546" w14:textId="6CA95B6A" w:rsidR="00405981" w:rsidRDefault="00405981" w:rsidP="00506AC2">
      <w:r w:rsidRPr="00405981">
        <w:t>NIR Networks Ltd</w:t>
      </w:r>
    </w:p>
    <w:p w14:paraId="3824E174" w14:textId="77777777" w:rsidR="00405981" w:rsidRDefault="00405981" w:rsidP="00506AC2">
      <w:r>
        <w:br w:type="page"/>
      </w:r>
    </w:p>
    <w:p w14:paraId="440AFDE7" w14:textId="33B8D2B1" w:rsidR="00405981" w:rsidRPr="00E55AD1" w:rsidRDefault="0041571F" w:rsidP="00506AC2">
      <w:pPr>
        <w:pStyle w:val="Heading1"/>
      </w:pPr>
      <w:bookmarkStart w:id="17" w:name="_Toc143670749"/>
      <w:bookmarkStart w:id="18" w:name="_Toc213058497"/>
      <w:r w:rsidRPr="00E55AD1">
        <w:lastRenderedPageBreak/>
        <w:t>Chair’s Foreword</w:t>
      </w:r>
      <w:bookmarkEnd w:id="17"/>
      <w:bookmarkEnd w:id="18"/>
    </w:p>
    <w:p w14:paraId="554A6D5E" w14:textId="77777777" w:rsidR="0041571F" w:rsidRPr="0041571F" w:rsidRDefault="0041571F" w:rsidP="009F267D"/>
    <w:p w14:paraId="5A98F918" w14:textId="77777777" w:rsidR="009F267D" w:rsidRDefault="009F267D" w:rsidP="009F267D">
      <w:r>
        <w:t xml:space="preserve">I am very pleased to present the Annual Report and Accounts for the </w:t>
      </w:r>
      <w:r>
        <w:br/>
        <w:t xml:space="preserve">Northern Ireland Transport Holding Company (Translink) for the year </w:t>
      </w:r>
      <w:r>
        <w:br/>
        <w:t>ended 30 March 2025.  The year under review has seen continued recovery in passenger numbers after the end of Covid, and delivery of enhanced infrastructure for future generations.</w:t>
      </w:r>
    </w:p>
    <w:p w14:paraId="6CBBC69E" w14:textId="77777777" w:rsidR="00E55AD1" w:rsidRDefault="00E55AD1" w:rsidP="009F267D"/>
    <w:p w14:paraId="08082A1A" w14:textId="77777777" w:rsidR="009F267D" w:rsidRPr="009F267D" w:rsidRDefault="009F267D" w:rsidP="009F267D">
      <w:pPr>
        <w:rPr>
          <w:rFonts w:cs="Arial"/>
        </w:rPr>
      </w:pPr>
      <w:r w:rsidRPr="009F267D">
        <w:rPr>
          <w:rFonts w:cs="Arial"/>
        </w:rPr>
        <w:t xml:space="preserve">Translink continued its strong passenger journey recovery, with a total of 81.2m passenger journeys for the 52 weeks (2024: 76.7m passenger journeys for the 52-week equivalent).  This represents a 5.9% growth in public transport usage, year-on-year. The introduction of the hourly Belfast to Dublin Enterprise service this year has also led to a 50% increase in passenger journeys on this route. This continued growth indicates the vital role that public transport plays in supporting the economic, social, and environmental wellbeing of communities across Northern Ireland. </w:t>
      </w:r>
    </w:p>
    <w:p w14:paraId="5EA7F8D6" w14:textId="77777777" w:rsidR="009F267D" w:rsidRDefault="009F267D" w:rsidP="009F267D">
      <w:pPr>
        <w:rPr>
          <w:rFonts w:cs="Arial"/>
        </w:rPr>
      </w:pPr>
    </w:p>
    <w:p w14:paraId="3C43E2B7" w14:textId="715ED896" w:rsidR="009F267D" w:rsidRPr="009F267D" w:rsidRDefault="009F267D" w:rsidP="009F267D">
      <w:pPr>
        <w:rPr>
          <w:rFonts w:cs="Arial"/>
        </w:rPr>
      </w:pPr>
      <w:r w:rsidRPr="009F267D">
        <w:rPr>
          <w:rFonts w:cs="Arial"/>
        </w:rPr>
        <w:t xml:space="preserve">While we are pleased with current performance, the Board and Management of Translink also need to be attentive to the mobility needs of future generations, with changing travel patterns and increased climate change impacts. If bus and rail are to continue to offer a credible alternative to private cars, we need to invest in renewal of fleet and fixed infrastructure. That infrastructure also needs to be resilient to the impacts of extreme weather events, which are occurring with increased frequency. Translink needs to agree a sustainable funding model, with the Northern Ireland Executive and the Department for Infrastructure, that takes account of the critical role of public transport in achieving Net Zero by 2050, the multi-year nature of infrastructure investment, and the importance of safe and reliable services for all generations of users. </w:t>
      </w:r>
    </w:p>
    <w:p w14:paraId="053E4F8A" w14:textId="77777777" w:rsidR="009F267D" w:rsidRDefault="009F267D" w:rsidP="009F267D">
      <w:pPr>
        <w:rPr>
          <w:rFonts w:cs="Arial"/>
        </w:rPr>
      </w:pPr>
    </w:p>
    <w:p w14:paraId="135D53F6" w14:textId="6D021DCE" w:rsidR="009F267D" w:rsidRPr="009F267D" w:rsidRDefault="009F267D" w:rsidP="009F267D">
      <w:pPr>
        <w:rPr>
          <w:rFonts w:cs="Arial"/>
        </w:rPr>
      </w:pPr>
      <w:r w:rsidRPr="009F267D">
        <w:rPr>
          <w:rFonts w:cs="Arial"/>
        </w:rPr>
        <w:t>The Group’s loss for the financial year, before tax and accounting adjustments relating to pensions, impairment and derivatives, was £11.9m (see Review of the Business on page 9) against a budgeted loss of £17.6m, due to a range of efficiency and revenue raising measures, along with additional bus and rail Public Service Obligation funding granted during the year. This better-than-budgeted financial performance also needs to be considered in the context of strong inflationary pressures.</w:t>
      </w:r>
    </w:p>
    <w:p w14:paraId="02F02B47" w14:textId="77777777" w:rsidR="009F267D" w:rsidRDefault="009F267D" w:rsidP="009F267D">
      <w:pPr>
        <w:rPr>
          <w:rFonts w:cs="Arial"/>
        </w:rPr>
      </w:pPr>
    </w:p>
    <w:p w14:paraId="24F0013C" w14:textId="77777777" w:rsidR="00E8313B" w:rsidRDefault="00E8313B" w:rsidP="009F267D">
      <w:pPr>
        <w:rPr>
          <w:rFonts w:cs="Arial"/>
        </w:rPr>
        <w:sectPr w:rsidR="00E8313B" w:rsidSect="00E253EE">
          <w:footerReference w:type="even" r:id="rId9"/>
          <w:footerReference w:type="default" r:id="rId10"/>
          <w:pgSz w:w="11900" w:h="16840"/>
          <w:pgMar w:top="720" w:right="720" w:bottom="720" w:left="720" w:header="709" w:footer="709" w:gutter="0"/>
          <w:cols w:space="708"/>
          <w:docGrid w:linePitch="360"/>
        </w:sectPr>
      </w:pPr>
    </w:p>
    <w:p w14:paraId="7E6AB0CC" w14:textId="3370A17E" w:rsidR="009F267D" w:rsidRPr="009F267D" w:rsidRDefault="009F267D" w:rsidP="009F267D">
      <w:pPr>
        <w:rPr>
          <w:rFonts w:cs="Arial"/>
        </w:rPr>
      </w:pPr>
      <w:r w:rsidRPr="009F267D">
        <w:rPr>
          <w:rFonts w:cs="Arial"/>
        </w:rPr>
        <w:lastRenderedPageBreak/>
        <w:t>I am pleased to report on several significant capital infrastructure milestones achieved in the year. The opening of Belfast Grand Central Station and the opening of York Street rail station are incredible achievements, along with various enhancements to our rail infrastructure that significantly enhance the safety and reliability of our network. Furthermore, the rollout of contactless ticketing is a game-changing initiative, making public transport much more convenient for our valued customers.</w:t>
      </w:r>
    </w:p>
    <w:p w14:paraId="1F6A489C" w14:textId="77777777" w:rsidR="009F267D" w:rsidRDefault="009F267D" w:rsidP="009F267D">
      <w:pPr>
        <w:rPr>
          <w:rFonts w:cs="Arial"/>
        </w:rPr>
      </w:pPr>
    </w:p>
    <w:p w14:paraId="5E0D774C" w14:textId="52B907BA" w:rsidR="009F267D" w:rsidRDefault="009F267D" w:rsidP="009F267D">
      <w:pPr>
        <w:rPr>
          <w:rFonts w:cs="Arial"/>
        </w:rPr>
      </w:pPr>
      <w:r w:rsidRPr="009F267D">
        <w:rPr>
          <w:rFonts w:cs="Arial"/>
        </w:rPr>
        <w:t xml:space="preserve">Translink also continued to implement its decarbonization strategy, with investment in low/zero carbon emission technologies. Spending on new buses/coaches during the year is a notable example of how public transport can be pivotal in the Northern Ireland Executive’s response to the Climate Emergency. </w:t>
      </w:r>
    </w:p>
    <w:p w14:paraId="2EF66A7E" w14:textId="77777777" w:rsidR="009F267D" w:rsidRPr="009F267D" w:rsidRDefault="009F267D" w:rsidP="009F267D">
      <w:pPr>
        <w:rPr>
          <w:rFonts w:cs="Arial"/>
        </w:rPr>
      </w:pPr>
    </w:p>
    <w:p w14:paraId="7299C2C9" w14:textId="45A67BBF" w:rsidR="00E55AD1" w:rsidRPr="009F267D" w:rsidRDefault="009F267D" w:rsidP="009F267D">
      <w:pPr>
        <w:rPr>
          <w:rFonts w:cs="Arial"/>
        </w:rPr>
      </w:pPr>
      <w:r w:rsidRPr="009F267D">
        <w:rPr>
          <w:rFonts w:cs="Arial"/>
        </w:rPr>
        <w:t>I would like to take this opportunity to pay tribute to the former Chair Michael Wardlow, and non-executive directors Sharon O’Connor and Marie Mallon, whose terms of appointment came to an end during the year. I would also like to thank Chris Conway, Group Chief Executive, his senior team as well as all staff colleagues, for their continuing dedication to excellence in public service.</w:t>
      </w:r>
    </w:p>
    <w:p w14:paraId="08EFB256" w14:textId="77777777" w:rsidR="009F267D" w:rsidRPr="009F267D" w:rsidRDefault="009F267D" w:rsidP="009F267D">
      <w:pPr>
        <w:rPr>
          <w:rFonts w:cs="Arial"/>
        </w:rPr>
      </w:pPr>
    </w:p>
    <w:p w14:paraId="43947422" w14:textId="77777777" w:rsidR="009F267D" w:rsidRPr="009F267D" w:rsidRDefault="009F267D" w:rsidP="009F267D">
      <w:pPr>
        <w:rPr>
          <w:rFonts w:cs="Arial"/>
        </w:rPr>
      </w:pPr>
      <w:r w:rsidRPr="009F267D">
        <w:rPr>
          <w:rFonts w:cs="Arial"/>
          <w:b/>
          <w:bCs/>
        </w:rPr>
        <w:t>Mr Frank Allen</w:t>
      </w:r>
      <w:r w:rsidRPr="009F267D">
        <w:rPr>
          <w:rFonts w:cs="Arial"/>
        </w:rPr>
        <w:br/>
        <w:t>Chair</w:t>
      </w:r>
    </w:p>
    <w:p w14:paraId="57B855E3" w14:textId="31380688" w:rsidR="002C56F6" w:rsidRDefault="009F267D" w:rsidP="009F267D">
      <w:r w:rsidRPr="009F267D">
        <w:rPr>
          <w:rFonts w:cs="Arial"/>
        </w:rPr>
        <w:t>18 June 2025</w:t>
      </w:r>
      <w:r w:rsidR="002C56F6">
        <w:br w:type="page"/>
      </w:r>
    </w:p>
    <w:p w14:paraId="546EC3E6" w14:textId="77777777" w:rsidR="002C56F6" w:rsidRPr="002C56F6" w:rsidRDefault="002C56F6" w:rsidP="00506AC2">
      <w:pPr>
        <w:pStyle w:val="Heading1"/>
      </w:pPr>
      <w:bookmarkStart w:id="19" w:name="_Toc213058498"/>
      <w:r w:rsidRPr="002C56F6">
        <w:lastRenderedPageBreak/>
        <w:t xml:space="preserve">Northern Ireland Transport </w:t>
      </w:r>
      <w:r w:rsidRPr="002C56F6">
        <w:br/>
        <w:t xml:space="preserve">Holding Company (NITHC) </w:t>
      </w:r>
      <w:r w:rsidRPr="002C56F6">
        <w:br/>
        <w:t>Non-Executive Directors</w:t>
      </w:r>
      <w:bookmarkEnd w:id="19"/>
    </w:p>
    <w:p w14:paraId="6D46272C" w14:textId="77777777" w:rsidR="002C56F6" w:rsidRDefault="002C56F6" w:rsidP="00506AC2"/>
    <w:p w14:paraId="4F361E04" w14:textId="52339249" w:rsidR="00102D57" w:rsidRPr="00102D57" w:rsidRDefault="008F75D4" w:rsidP="00102D57">
      <w:pPr>
        <w:rPr>
          <w:rFonts w:cs="Arial"/>
          <w:color w:val="000000" w:themeColor="text1"/>
        </w:rPr>
      </w:pPr>
      <w:r w:rsidRPr="00102D57">
        <w:rPr>
          <w:rFonts w:cs="Arial"/>
          <w:color w:val="000000" w:themeColor="text1"/>
        </w:rPr>
        <w:t xml:space="preserve">1. </w:t>
      </w:r>
      <w:r w:rsidR="00102D57" w:rsidRPr="00102D57">
        <w:rPr>
          <w:rFonts w:cs="Arial"/>
          <w:color w:val="000000" w:themeColor="text1"/>
        </w:rPr>
        <w:t>Frank Allen, Chairman</w:t>
      </w:r>
    </w:p>
    <w:p w14:paraId="422659C3" w14:textId="77777777" w:rsidR="00102D57" w:rsidRPr="00102D57" w:rsidRDefault="00102D57" w:rsidP="00102D57">
      <w:pPr>
        <w:rPr>
          <w:rFonts w:cs="Arial"/>
          <w:color w:val="000000" w:themeColor="text1"/>
        </w:rPr>
      </w:pPr>
      <w:r w:rsidRPr="00102D57">
        <w:rPr>
          <w:rFonts w:cs="Arial"/>
          <w:color w:val="000000" w:themeColor="text1"/>
        </w:rPr>
        <w:t xml:space="preserve">Frank Allen has worked in infrastructure finance and operations over many years. He was Chief Executive of the Railway Procurement Agency during the implementation of Luas in Dublin and later chaired the Board of Iarnród Éireann/Irish Rail. He advises the World Bank and national and municipal governments on urban transport investment in developing and transition economies. He chairs the Board of the Housing Finance Agency, a Government of Ireland agency that finances social and affordable housing. Having graduated from University College Cork and the Massachusetts Institute of Technology, he spent the early part of his career as a Senior Investment Officer with the International Finance Corporation, part of the World </w:t>
      </w:r>
      <w:r w:rsidRPr="00102D57">
        <w:rPr>
          <w:rFonts w:cs="Arial"/>
          <w:color w:val="000000" w:themeColor="text1"/>
        </w:rPr>
        <w:br/>
        <w:t xml:space="preserve">Bank Group. </w:t>
      </w:r>
    </w:p>
    <w:p w14:paraId="05DF727B" w14:textId="77777777" w:rsidR="002C56F6" w:rsidRDefault="002C56F6" w:rsidP="00506AC2"/>
    <w:p w14:paraId="5C4557B4" w14:textId="1C9D33AF" w:rsidR="00102D57" w:rsidRPr="00102D57" w:rsidRDefault="008F75D4" w:rsidP="00102D57">
      <w:pPr>
        <w:rPr>
          <w:rFonts w:cs="Arial"/>
          <w:color w:val="000000" w:themeColor="text1"/>
        </w:rPr>
      </w:pPr>
      <w:r w:rsidRPr="00102D57">
        <w:rPr>
          <w:rFonts w:cs="Arial"/>
          <w:color w:val="000000" w:themeColor="text1"/>
        </w:rPr>
        <w:t xml:space="preserve">2. </w:t>
      </w:r>
      <w:r w:rsidR="00102D57" w:rsidRPr="00102D57">
        <w:rPr>
          <w:rFonts w:cs="Arial"/>
          <w:color w:val="000000" w:themeColor="text1"/>
        </w:rPr>
        <w:t>Chris Conway, Group Chief Executive</w:t>
      </w:r>
    </w:p>
    <w:p w14:paraId="5346BEF4" w14:textId="77777777" w:rsidR="00102D57" w:rsidRPr="00102D57" w:rsidRDefault="00102D57" w:rsidP="00102D57">
      <w:pPr>
        <w:rPr>
          <w:rFonts w:cs="Arial"/>
          <w:color w:val="000000" w:themeColor="text1"/>
        </w:rPr>
      </w:pPr>
      <w:r w:rsidRPr="00102D57">
        <w:rPr>
          <w:rFonts w:cs="Arial"/>
          <w:color w:val="000000" w:themeColor="text1"/>
        </w:rPr>
        <w:t>Chris Conway is Group Chief Executive of the Northern Ireland Transport Holding Company and its operating subsidiaries (Translink). Chris is also a member of Business in the Community Northern Ireland advisory board, the CBI NI council and a member of the council of Ulster University. He is a Chartered Company Director and a Fellow of the Institute of Directors and a Fellow of ICE (Institution of Civil Engineers).</w:t>
      </w:r>
    </w:p>
    <w:p w14:paraId="4E640D68" w14:textId="6F6329BE" w:rsidR="002C56F6" w:rsidRPr="00102D57" w:rsidRDefault="002C56F6" w:rsidP="00102D57">
      <w:pPr>
        <w:rPr>
          <w:color w:val="000000" w:themeColor="text1"/>
        </w:rPr>
      </w:pPr>
    </w:p>
    <w:p w14:paraId="57B38F17" w14:textId="4AAD7AA5" w:rsidR="00102D57" w:rsidRPr="00102D57" w:rsidRDefault="008F75D4" w:rsidP="00102D57">
      <w:pPr>
        <w:rPr>
          <w:color w:val="000000" w:themeColor="text1"/>
        </w:rPr>
      </w:pPr>
      <w:r w:rsidRPr="00102D57">
        <w:rPr>
          <w:color w:val="000000" w:themeColor="text1"/>
        </w:rPr>
        <w:t xml:space="preserve">3. </w:t>
      </w:r>
      <w:r w:rsidR="00102D57" w:rsidRPr="00102D57">
        <w:rPr>
          <w:color w:val="000000" w:themeColor="text1"/>
        </w:rPr>
        <w:t>Ian Campbell, Executive Director</w:t>
      </w:r>
    </w:p>
    <w:p w14:paraId="20A4D234" w14:textId="08B3FAFE" w:rsidR="00E8313B" w:rsidRPr="00822505" w:rsidRDefault="00102D57" w:rsidP="00102D57">
      <w:pPr>
        <w:rPr>
          <w:color w:val="000000" w:themeColor="text1"/>
        </w:rPr>
        <w:sectPr w:rsidR="00E8313B" w:rsidRPr="00822505" w:rsidSect="00E253EE">
          <w:pgSz w:w="11900" w:h="16840"/>
          <w:pgMar w:top="720" w:right="720" w:bottom="720" w:left="720" w:header="709" w:footer="709" w:gutter="0"/>
          <w:cols w:space="708"/>
          <w:docGrid w:linePitch="360"/>
        </w:sectPr>
      </w:pPr>
      <w:r w:rsidRPr="00102D57">
        <w:rPr>
          <w:color w:val="000000" w:themeColor="text1"/>
        </w:rPr>
        <w:t>Ian Campbell is the Director of Service Operations for Translink. Ian is also a member of the Northern Ireland Chamber Council and the Centre for Competitiveness Board. He is a Chartered Engineer, a Fellow of the Institution of Mechanical Engineers, a Fellow of the Institution of Rail Operators and a Member of the Institute of Directors</w:t>
      </w:r>
    </w:p>
    <w:p w14:paraId="1C1B3048" w14:textId="77777777" w:rsidR="00102D57" w:rsidRPr="00102D57" w:rsidRDefault="008F75D4" w:rsidP="00102D57">
      <w:pPr>
        <w:rPr>
          <w:rFonts w:cs="Arial"/>
          <w:color w:val="000000" w:themeColor="text1"/>
        </w:rPr>
      </w:pPr>
      <w:r w:rsidRPr="00102D57">
        <w:rPr>
          <w:rFonts w:cs="Arial"/>
          <w:color w:val="000000" w:themeColor="text1"/>
        </w:rPr>
        <w:lastRenderedPageBreak/>
        <w:t xml:space="preserve">4. </w:t>
      </w:r>
      <w:r w:rsidR="00102D57" w:rsidRPr="00102D57">
        <w:rPr>
          <w:rFonts w:cs="Arial"/>
          <w:color w:val="000000" w:themeColor="text1"/>
        </w:rPr>
        <w:t>John Glass</w:t>
      </w:r>
      <w:r w:rsidR="00102D57" w:rsidRPr="00102D57">
        <w:rPr>
          <w:rFonts w:cs="Arial"/>
          <w:color w:val="000000" w:themeColor="text1"/>
        </w:rPr>
        <w:br/>
        <w:t>Executive Director</w:t>
      </w:r>
    </w:p>
    <w:p w14:paraId="329E0A15" w14:textId="5A17F4AD" w:rsidR="002C56F6" w:rsidRPr="00102D57" w:rsidRDefault="002C56F6" w:rsidP="00102D57">
      <w:pPr>
        <w:rPr>
          <w:rFonts w:cs="Arial"/>
          <w:color w:val="000000" w:themeColor="text1"/>
        </w:rPr>
      </w:pPr>
    </w:p>
    <w:p w14:paraId="4FD319C9" w14:textId="77777777" w:rsidR="00102D57" w:rsidRPr="00102D57" w:rsidRDefault="00102D57" w:rsidP="00102D57">
      <w:pPr>
        <w:rPr>
          <w:rFonts w:cs="Arial"/>
          <w:color w:val="000000" w:themeColor="text1"/>
        </w:rPr>
      </w:pPr>
      <w:r w:rsidRPr="00102D57">
        <w:rPr>
          <w:rFonts w:cs="Arial"/>
          <w:color w:val="000000" w:themeColor="text1"/>
        </w:rPr>
        <w:t>John Glass is Director of Infrastructure &amp; Projects for Translink, prior to joining Translink John was a Board Director of a major Building and Civil Engineering Company. He is a fellow of the Institution of Civil Engineers and a Past Chair of the Institution of Civil Engineers in Northern Ireland. John is currently the Chair of the Board of Alpha Housing of Northern Ireland.</w:t>
      </w:r>
    </w:p>
    <w:p w14:paraId="1F6F19DE" w14:textId="77777777" w:rsidR="008F75D4" w:rsidRPr="00102D57" w:rsidRDefault="008F75D4" w:rsidP="00102D57">
      <w:pPr>
        <w:rPr>
          <w:rFonts w:cs="Arial"/>
          <w:color w:val="000000" w:themeColor="text1"/>
        </w:rPr>
      </w:pPr>
    </w:p>
    <w:p w14:paraId="36F0E29C" w14:textId="29E89867" w:rsidR="002C56F6" w:rsidRPr="00102D57" w:rsidRDefault="008F75D4" w:rsidP="00102D57">
      <w:pPr>
        <w:rPr>
          <w:rFonts w:cs="Arial"/>
          <w:color w:val="000000" w:themeColor="text1"/>
        </w:rPr>
      </w:pPr>
      <w:r w:rsidRPr="00102D57">
        <w:rPr>
          <w:rFonts w:cs="Arial"/>
          <w:color w:val="000000" w:themeColor="text1"/>
        </w:rPr>
        <w:t xml:space="preserve">5. </w:t>
      </w:r>
      <w:r w:rsidR="00102D57" w:rsidRPr="00102D57">
        <w:rPr>
          <w:rFonts w:cs="Arial"/>
          <w:color w:val="000000" w:themeColor="text1"/>
        </w:rPr>
        <w:t>Edward Wills, Senior Independent Director</w:t>
      </w:r>
    </w:p>
    <w:p w14:paraId="5DA80ECB" w14:textId="77777777" w:rsidR="00102D57" w:rsidRDefault="00102D57" w:rsidP="00102D57">
      <w:pPr>
        <w:rPr>
          <w:rFonts w:cs="Arial"/>
          <w:color w:val="000000" w:themeColor="text1"/>
        </w:rPr>
      </w:pPr>
      <w:r w:rsidRPr="00102D57">
        <w:rPr>
          <w:rFonts w:cs="Arial"/>
          <w:color w:val="000000" w:themeColor="text1"/>
        </w:rPr>
        <w:t xml:space="preserve">Appointed as a Non-Executive Director in October 2021, Edward has a background in Transport, including experience of bus operations.  He is currently employed by the UK based transport company the Go-Ahead Group which has </w:t>
      </w:r>
      <w:proofErr w:type="gramStart"/>
      <w:r w:rsidRPr="00102D57">
        <w:rPr>
          <w:rFonts w:cs="Arial"/>
          <w:color w:val="000000" w:themeColor="text1"/>
        </w:rPr>
        <w:t>a number of</w:t>
      </w:r>
      <w:proofErr w:type="gramEnd"/>
      <w:r w:rsidRPr="00102D57">
        <w:rPr>
          <w:rFonts w:cs="Arial"/>
          <w:color w:val="000000" w:themeColor="text1"/>
        </w:rPr>
        <w:t xml:space="preserve"> international operations. He has held senior roles within the UK and Ireland and has commercial experience. </w:t>
      </w:r>
    </w:p>
    <w:p w14:paraId="18DE917A" w14:textId="279E072B" w:rsidR="00102D57" w:rsidRPr="003C433D" w:rsidRDefault="00102D57" w:rsidP="003C433D">
      <w:pPr>
        <w:rPr>
          <w:rFonts w:cs="Arial"/>
          <w:color w:val="000000" w:themeColor="text1"/>
        </w:rPr>
      </w:pPr>
      <w:r>
        <w:rPr>
          <w:rFonts w:ascii="Axiforma SemiBold" w:hAnsi="Axiforma SemiBold" w:cs="Axiforma SemiBold"/>
          <w:b/>
          <w:bCs/>
        </w:rPr>
        <w:br/>
      </w:r>
      <w:r w:rsidRPr="003C433D">
        <w:rPr>
          <w:rFonts w:cs="Arial"/>
          <w:color w:val="000000" w:themeColor="text1"/>
        </w:rPr>
        <w:t>6. Donald Leeson, Non-Executive Director</w:t>
      </w:r>
    </w:p>
    <w:p w14:paraId="1C152947" w14:textId="77777777" w:rsidR="003C433D" w:rsidRDefault="003C433D" w:rsidP="003C433D">
      <w:pPr>
        <w:rPr>
          <w:rFonts w:cs="Arial"/>
          <w:color w:val="000000" w:themeColor="text1"/>
        </w:rPr>
      </w:pPr>
      <w:r w:rsidRPr="003C433D">
        <w:rPr>
          <w:rFonts w:cs="Arial"/>
          <w:color w:val="000000" w:themeColor="text1"/>
        </w:rPr>
        <w:t xml:space="preserve">Appointed as a Non-Executive Director in October 2024, Don Leeson has extensive experience in senior leadership roles in the public sector. Until retirement in Autumn 2024, he was Chief Executive of the Labour Relations Agency, having previously been Director of Corporate Services. Prior to this, Don held key roles within the Consumer Council, NI Human Rights Commission and Equality Commission.  He has also worked for Investors in People UK and in the UK Civil Service in Westminster. Don is a Chartered Fellow of CIPD and was recognised by CIPD in March 2025 for his outstanding contribution in the field of people development in Northern Ireland. He is an Assessor for Diversity Mark and chairs the board of the charity ESC films. </w:t>
      </w:r>
    </w:p>
    <w:p w14:paraId="6BAA273A" w14:textId="77777777" w:rsidR="003C433D" w:rsidRPr="003C433D" w:rsidRDefault="003C433D" w:rsidP="003C433D">
      <w:pPr>
        <w:rPr>
          <w:rFonts w:cs="Arial"/>
          <w:color w:val="000000" w:themeColor="text1"/>
        </w:rPr>
      </w:pPr>
    </w:p>
    <w:p w14:paraId="4B53E9E6" w14:textId="6FBC73E3" w:rsidR="003C433D" w:rsidRPr="003C433D" w:rsidRDefault="003C433D" w:rsidP="003C433D">
      <w:pPr>
        <w:rPr>
          <w:rFonts w:cs="Arial"/>
          <w:color w:val="000000" w:themeColor="text1"/>
        </w:rPr>
      </w:pPr>
      <w:r w:rsidRPr="003C433D">
        <w:rPr>
          <w:rFonts w:cs="Arial"/>
          <w:color w:val="000000" w:themeColor="text1"/>
        </w:rPr>
        <w:t>7.   Grainne McVeigh, Non-Executive Director</w:t>
      </w:r>
    </w:p>
    <w:p w14:paraId="1DCBA980" w14:textId="77777777" w:rsidR="003C433D" w:rsidRDefault="003C433D" w:rsidP="003C433D">
      <w:pPr>
        <w:rPr>
          <w:rFonts w:cs="Arial"/>
          <w:color w:val="000000" w:themeColor="text1"/>
        </w:rPr>
      </w:pPr>
      <w:r w:rsidRPr="003C433D">
        <w:rPr>
          <w:rFonts w:cs="Arial"/>
          <w:color w:val="000000" w:themeColor="text1"/>
        </w:rPr>
        <w:t xml:space="preserve">Grainne McVeigh is a former Director of Advanced Manufacturing and Engineering and Life Sciences at Invest Northern Ireland, she currently serves as Non-Executive Director on the Boards of the Consumer Council NI, NI Alternatives and the Armagh Observatory and Planetarium Management Committee. As a Chartered Director of the Institute of Directors, Grainne has experience in international sales and marketing, investment attraction, governance, and economic development.  She has a degree in French from Lancaster University and an MBA in International Business from Ulster University. </w:t>
      </w:r>
    </w:p>
    <w:p w14:paraId="67CAFBD2" w14:textId="77777777" w:rsidR="003C433D" w:rsidRPr="003C433D" w:rsidRDefault="003C433D" w:rsidP="003C433D">
      <w:pPr>
        <w:rPr>
          <w:rFonts w:cs="Arial"/>
          <w:color w:val="000000" w:themeColor="text1"/>
        </w:rPr>
      </w:pPr>
    </w:p>
    <w:p w14:paraId="42D4BE97" w14:textId="77777777" w:rsidR="00340DE5" w:rsidRDefault="00340DE5">
      <w:pPr>
        <w:spacing w:line="240" w:lineRule="auto"/>
        <w:rPr>
          <w:rFonts w:cs="Arial"/>
          <w:color w:val="000000" w:themeColor="text1"/>
        </w:rPr>
      </w:pPr>
      <w:r>
        <w:rPr>
          <w:rFonts w:cs="Arial"/>
          <w:color w:val="000000" w:themeColor="text1"/>
        </w:rPr>
        <w:br w:type="page"/>
      </w:r>
    </w:p>
    <w:p w14:paraId="7D3DE97C" w14:textId="51E1144D" w:rsidR="003C433D" w:rsidRPr="003C433D" w:rsidRDefault="003C433D" w:rsidP="003C433D">
      <w:pPr>
        <w:rPr>
          <w:rFonts w:cs="Arial"/>
          <w:color w:val="000000" w:themeColor="text1"/>
        </w:rPr>
      </w:pPr>
      <w:r w:rsidRPr="003C433D">
        <w:rPr>
          <w:rFonts w:cs="Arial"/>
          <w:color w:val="000000" w:themeColor="text1"/>
        </w:rPr>
        <w:lastRenderedPageBreak/>
        <w:t>8. Manish Gupta, Non-Executive Director</w:t>
      </w:r>
    </w:p>
    <w:p w14:paraId="7AC7CC15" w14:textId="77777777" w:rsidR="003C433D" w:rsidRDefault="003C433D" w:rsidP="003C433D">
      <w:pPr>
        <w:rPr>
          <w:rFonts w:cs="Arial"/>
          <w:color w:val="000000" w:themeColor="text1"/>
        </w:rPr>
      </w:pPr>
      <w:r w:rsidRPr="003C433D">
        <w:rPr>
          <w:rFonts w:cs="Arial"/>
          <w:color w:val="000000" w:themeColor="text1"/>
        </w:rPr>
        <w:t>Appointed as a Non-Executive Director in October 2024, Manish Gupta is the Director of Corporate Finance at Transport for London. Previously, Manish was a Partner at Ernst and Young in London. He has more than 30 years of global experience of working with public and private sector clients in the Transport and Infrastructure sector. Manish acts as the Treasurer and Board Member/Trustee for the UK arm of Pratham, a reputed Indian charity focussed entirely on improving the quality of education in India. Manish graduated as an Electronics &amp; Telecommunications Engineer from IIT Kanpur (India) and did an MBA in Strategy and Finance from IIM Calcutta (India).</w:t>
      </w:r>
    </w:p>
    <w:p w14:paraId="2DFCD58A" w14:textId="77777777" w:rsidR="003C433D" w:rsidRPr="003C433D" w:rsidRDefault="003C433D" w:rsidP="003C433D">
      <w:pPr>
        <w:rPr>
          <w:rFonts w:cs="Arial"/>
          <w:color w:val="000000" w:themeColor="text1"/>
        </w:rPr>
      </w:pPr>
    </w:p>
    <w:p w14:paraId="747493F4" w14:textId="5D884542" w:rsidR="003C433D" w:rsidRPr="003C433D" w:rsidRDefault="003C433D" w:rsidP="003C433D">
      <w:pPr>
        <w:rPr>
          <w:rFonts w:cs="Arial"/>
          <w:color w:val="000000" w:themeColor="text1"/>
        </w:rPr>
      </w:pPr>
      <w:r w:rsidRPr="003C433D">
        <w:rPr>
          <w:rFonts w:cs="Arial"/>
          <w:color w:val="000000" w:themeColor="text1"/>
        </w:rPr>
        <w:t>9. Michael Brown CBE MVO, Non-Executive Director</w:t>
      </w:r>
    </w:p>
    <w:p w14:paraId="03A462C1" w14:textId="77777777" w:rsidR="003C433D" w:rsidRPr="003C433D" w:rsidRDefault="003C433D" w:rsidP="003C433D">
      <w:pPr>
        <w:rPr>
          <w:rFonts w:cs="Arial"/>
          <w:color w:val="000000" w:themeColor="text1"/>
        </w:rPr>
      </w:pPr>
      <w:r w:rsidRPr="003C433D">
        <w:rPr>
          <w:rFonts w:cs="Arial"/>
          <w:color w:val="000000" w:themeColor="text1"/>
        </w:rPr>
        <w:t xml:space="preserve">Appointed as a Non-Executive Director in October 2021 Mike has many years executive experience in Transport in London where most recently, he was the Commissioner for Transport for London, responsible for the safe operation and capital programmes for all public transport across the city.  He previously was the Managing Director of London Underground and London Rail, </w:t>
      </w:r>
      <w:proofErr w:type="gramStart"/>
      <w:r w:rsidRPr="003C433D">
        <w:rPr>
          <w:rFonts w:cs="Arial"/>
          <w:color w:val="000000" w:themeColor="text1"/>
        </w:rPr>
        <w:t>and also</w:t>
      </w:r>
      <w:proofErr w:type="gramEnd"/>
      <w:r w:rsidRPr="003C433D">
        <w:rPr>
          <w:rFonts w:cs="Arial"/>
          <w:color w:val="000000" w:themeColor="text1"/>
        </w:rPr>
        <w:t xml:space="preserve"> was the Managing Director of Heathrow Airport.  </w:t>
      </w:r>
    </w:p>
    <w:p w14:paraId="1EBE7AAF" w14:textId="77777777" w:rsidR="003C433D" w:rsidRDefault="003C433D" w:rsidP="003C433D">
      <w:pPr>
        <w:rPr>
          <w:rFonts w:cs="Arial"/>
          <w:color w:val="000000" w:themeColor="text1"/>
        </w:rPr>
      </w:pPr>
    </w:p>
    <w:p w14:paraId="58B3D65D" w14:textId="5798DF61" w:rsidR="003C433D" w:rsidRPr="003C433D" w:rsidRDefault="003C433D" w:rsidP="003C433D">
      <w:pPr>
        <w:rPr>
          <w:rFonts w:cs="Arial"/>
          <w:color w:val="000000" w:themeColor="text1"/>
        </w:rPr>
      </w:pPr>
      <w:r w:rsidRPr="003C433D">
        <w:rPr>
          <w:rFonts w:cs="Arial"/>
          <w:color w:val="000000" w:themeColor="text1"/>
        </w:rPr>
        <w:t xml:space="preserve">He is the current Chair of the Delivery Authority responsible for the Restoration and Renewal of the Houses of Parliament / Palace of </w:t>
      </w:r>
      <w:proofErr w:type="gramStart"/>
      <w:r w:rsidRPr="003C433D">
        <w:rPr>
          <w:rFonts w:cs="Arial"/>
          <w:color w:val="000000" w:themeColor="text1"/>
        </w:rPr>
        <w:t>Westminster</w:t>
      </w:r>
      <w:proofErr w:type="gramEnd"/>
      <w:r w:rsidRPr="003C433D">
        <w:rPr>
          <w:rFonts w:cs="Arial"/>
          <w:color w:val="000000" w:themeColor="text1"/>
        </w:rPr>
        <w:t xml:space="preserve"> and he is the Chair of the RSSB (Railways Safety &amp; Standards Board) in Great Britain.</w:t>
      </w:r>
    </w:p>
    <w:p w14:paraId="46F2F70C" w14:textId="77777777" w:rsidR="003C433D" w:rsidRDefault="003C433D" w:rsidP="003C433D">
      <w:pPr>
        <w:pStyle w:val="BasicParagraph"/>
        <w:rPr>
          <w:rFonts w:ascii="Axiforma" w:hAnsi="Axiforma" w:cs="Axiforma"/>
          <w:color w:val="054E5C"/>
          <w:sz w:val="22"/>
          <w:szCs w:val="22"/>
        </w:rPr>
      </w:pPr>
    </w:p>
    <w:p w14:paraId="1F54096C" w14:textId="77777777" w:rsidR="003C433D" w:rsidRDefault="003C433D" w:rsidP="003C433D">
      <w:pPr>
        <w:pStyle w:val="BasicParagraph"/>
        <w:rPr>
          <w:rFonts w:ascii="Axiforma" w:hAnsi="Axiforma" w:cs="Axiforma"/>
          <w:color w:val="054E5C"/>
          <w:sz w:val="22"/>
          <w:szCs w:val="22"/>
        </w:rPr>
      </w:pPr>
    </w:p>
    <w:p w14:paraId="1DF05A20" w14:textId="77777777" w:rsidR="003C433D" w:rsidRDefault="003C433D" w:rsidP="00102D57">
      <w:pPr>
        <w:pStyle w:val="BasicParagraph"/>
        <w:rPr>
          <w:rFonts w:ascii="Axiforma" w:hAnsi="Axiforma" w:cs="Axiforma"/>
          <w:color w:val="054E5C"/>
          <w:sz w:val="22"/>
          <w:szCs w:val="22"/>
        </w:rPr>
      </w:pPr>
    </w:p>
    <w:p w14:paraId="2AC93AAB" w14:textId="77777777" w:rsidR="00102D57" w:rsidRPr="00102D57" w:rsidRDefault="00102D57" w:rsidP="00102D57">
      <w:pPr>
        <w:rPr>
          <w:rFonts w:cs="Arial"/>
          <w:color w:val="000000" w:themeColor="text1"/>
        </w:rPr>
      </w:pPr>
    </w:p>
    <w:p w14:paraId="7F534312" w14:textId="72171416" w:rsidR="00113AA4" w:rsidRPr="00102D57" w:rsidRDefault="00113AA4" w:rsidP="00102D57">
      <w:pPr>
        <w:rPr>
          <w:rFonts w:cs="Arial"/>
          <w:color w:val="000000" w:themeColor="text1"/>
        </w:rPr>
      </w:pPr>
      <w:r w:rsidRPr="00102D57">
        <w:rPr>
          <w:rFonts w:cs="Arial"/>
          <w:color w:val="000000" w:themeColor="text1"/>
        </w:rPr>
        <w:br w:type="page"/>
      </w:r>
    </w:p>
    <w:p w14:paraId="2598770A" w14:textId="2C25DA99" w:rsidR="007028AA" w:rsidRPr="007028AA" w:rsidRDefault="007028AA" w:rsidP="00506AC2">
      <w:pPr>
        <w:pStyle w:val="Heading1"/>
      </w:pPr>
      <w:bookmarkStart w:id="20" w:name="_Toc213058499"/>
      <w:r w:rsidRPr="007028AA">
        <w:lastRenderedPageBreak/>
        <w:t>Strategic Report</w:t>
      </w:r>
      <w:bookmarkEnd w:id="20"/>
    </w:p>
    <w:p w14:paraId="35668C9F" w14:textId="77777777" w:rsidR="00E8313B" w:rsidRPr="00E8313B" w:rsidRDefault="00E8313B" w:rsidP="00E8313B">
      <w:r w:rsidRPr="00E8313B">
        <w:t xml:space="preserve">NITHC is a public corporation constituted under the Transport Act (Northern Ireland) 1967. Under that Act, </w:t>
      </w:r>
      <w:proofErr w:type="gramStart"/>
      <w:r w:rsidRPr="00E8313B">
        <w:t>with regard to</w:t>
      </w:r>
      <w:proofErr w:type="gramEnd"/>
      <w:r w:rsidRPr="00E8313B">
        <w:t xml:space="preserve"> keeping and audit of accounts, the making of returns and the publication of statements of accounts or other information, NITHC is to be deemed a limited liability company. It therefore presents a Strategic report, as required by the Companies Act 2006.</w:t>
      </w:r>
    </w:p>
    <w:p w14:paraId="37815344" w14:textId="77777777" w:rsidR="007028AA" w:rsidRDefault="007028AA" w:rsidP="00E8313B"/>
    <w:p w14:paraId="46DECC64" w14:textId="5AB6F27C" w:rsidR="007028AA" w:rsidRPr="007028AA" w:rsidRDefault="007028AA" w:rsidP="00506AC2">
      <w:pPr>
        <w:pStyle w:val="Heading2"/>
      </w:pPr>
      <w:bookmarkStart w:id="21" w:name="_Toc176774928"/>
      <w:bookmarkStart w:id="22" w:name="_Toc176775311"/>
      <w:bookmarkStart w:id="23" w:name="_Toc212738606"/>
      <w:bookmarkStart w:id="24" w:name="_Toc213058500"/>
      <w:r w:rsidRPr="007028AA">
        <w:t>Our Business</w:t>
      </w:r>
      <w:bookmarkEnd w:id="21"/>
      <w:bookmarkEnd w:id="22"/>
      <w:bookmarkEnd w:id="23"/>
      <w:bookmarkEnd w:id="24"/>
      <w:r w:rsidRPr="007028AA">
        <w:t xml:space="preserve"> </w:t>
      </w:r>
    </w:p>
    <w:p w14:paraId="6B457424" w14:textId="77777777" w:rsidR="00E8313B" w:rsidRPr="00E8313B" w:rsidRDefault="00E8313B" w:rsidP="00E8313B">
      <w:r w:rsidRPr="00E8313B">
        <w:t>The Translink Group consists of a Public Corporation, the Northern Ireland Transport Holding Company (NITHC) which owns and controls seven private limited subsidiary companies (together referred to as the Group or Translink). We are Northern Ireland’s main public transport provider. Translink is classified by the Office for National Statistics as a Public Non-Financial Corporation. This effectively means we are a market body with a degree of commercial independence that is governed in policy terms by the Department for Infrastructure (‘</w:t>
      </w:r>
      <w:proofErr w:type="spellStart"/>
      <w:r w:rsidRPr="00E8313B">
        <w:t>DfI</w:t>
      </w:r>
      <w:proofErr w:type="spellEnd"/>
      <w:r w:rsidRPr="00E8313B">
        <w:t xml:space="preserve">’ or the ‘Department’). </w:t>
      </w:r>
    </w:p>
    <w:p w14:paraId="1A109E13" w14:textId="77777777" w:rsidR="007028AA" w:rsidRPr="007028AA" w:rsidRDefault="007028AA" w:rsidP="00506AC2"/>
    <w:p w14:paraId="0A8CF707" w14:textId="77777777" w:rsidR="007028AA" w:rsidRPr="007028AA" w:rsidRDefault="007028AA" w:rsidP="00506AC2">
      <w:pPr>
        <w:pStyle w:val="Heading2"/>
      </w:pPr>
      <w:bookmarkStart w:id="25" w:name="_Toc176774929"/>
      <w:bookmarkStart w:id="26" w:name="_Toc176775312"/>
      <w:bookmarkStart w:id="27" w:name="_Toc212738607"/>
      <w:bookmarkStart w:id="28" w:name="_Toc213058501"/>
      <w:r w:rsidRPr="007028AA">
        <w:t>Performance 2023/24</w:t>
      </w:r>
      <w:bookmarkEnd w:id="25"/>
      <w:bookmarkEnd w:id="26"/>
      <w:bookmarkEnd w:id="27"/>
      <w:bookmarkEnd w:id="28"/>
    </w:p>
    <w:p w14:paraId="63F82582" w14:textId="77777777" w:rsidR="00E8313B" w:rsidRPr="00E8313B" w:rsidRDefault="00E8313B" w:rsidP="00E8313B">
      <w:r w:rsidRPr="00E8313B">
        <w:t>Translink’s performance in 2024/25 has been one of continued passenger journey growth combined with cost reduction and efficiency measures against a backdrop of the challenge of ongoing inflationary and budgetary cost pressures. Consolidated Loss for the year (before tax and accounting adjustments relating to pension, impairment and derivatives) was £11.9m, compared to a £0.9m loss for the prior year. (See Review of the Business on page 9).</w:t>
      </w:r>
    </w:p>
    <w:p w14:paraId="7D8A2DEA" w14:textId="77777777" w:rsidR="007028AA" w:rsidRPr="007028AA" w:rsidRDefault="007028AA" w:rsidP="00506AC2"/>
    <w:p w14:paraId="54B9F2A9" w14:textId="5C528D27" w:rsidR="00E8313B" w:rsidRPr="00E8313B" w:rsidRDefault="00E8313B" w:rsidP="00E8313B">
      <w:pPr>
        <w:rPr>
          <w:rFonts w:cs="Arial"/>
        </w:rPr>
      </w:pPr>
      <w:r w:rsidRPr="00E8313B">
        <w:rPr>
          <w:rFonts w:cs="Arial"/>
        </w:rPr>
        <w:t xml:space="preserve">The organisation is committed to continuing the transformation of public transport and has recently released its 2030 Strategy “Better. Connected”. </w:t>
      </w:r>
      <w:r w:rsidRPr="00E8313B">
        <w:rPr>
          <w:rFonts w:cs="Arial"/>
        </w:rPr>
        <w:br/>
        <w:t>This strategy has four key objectives:</w:t>
      </w:r>
    </w:p>
    <w:p w14:paraId="7C9F2577" w14:textId="77777777" w:rsidR="00E8313B" w:rsidRPr="00E8313B" w:rsidRDefault="00E8313B" w:rsidP="00E8313B">
      <w:pPr>
        <w:rPr>
          <w:rFonts w:cs="Arial"/>
        </w:rPr>
      </w:pPr>
      <w:r w:rsidRPr="00E8313B">
        <w:rPr>
          <w:rFonts w:cs="Arial"/>
        </w:rPr>
        <w:t xml:space="preserve">•  Continuous </w:t>
      </w:r>
      <w:proofErr w:type="gramStart"/>
      <w:r w:rsidRPr="00E8313B">
        <w:rPr>
          <w:rFonts w:cs="Arial"/>
        </w:rPr>
        <w:t>improvement;</w:t>
      </w:r>
      <w:proofErr w:type="gramEnd"/>
    </w:p>
    <w:p w14:paraId="006D51E7" w14:textId="77777777" w:rsidR="00E8313B" w:rsidRPr="00E8313B" w:rsidRDefault="00E8313B" w:rsidP="00E8313B">
      <w:pPr>
        <w:rPr>
          <w:rFonts w:cs="Arial"/>
        </w:rPr>
      </w:pPr>
      <w:r w:rsidRPr="00E8313B">
        <w:rPr>
          <w:rFonts w:cs="Arial"/>
        </w:rPr>
        <w:t xml:space="preserve">•  Customer </w:t>
      </w:r>
      <w:proofErr w:type="gramStart"/>
      <w:r w:rsidRPr="00E8313B">
        <w:rPr>
          <w:rFonts w:cs="Arial"/>
        </w:rPr>
        <w:t>focus;</w:t>
      </w:r>
      <w:proofErr w:type="gramEnd"/>
    </w:p>
    <w:p w14:paraId="7CEBAE35" w14:textId="77777777" w:rsidR="00E8313B" w:rsidRPr="00E8313B" w:rsidRDefault="00E8313B" w:rsidP="00E8313B">
      <w:pPr>
        <w:rPr>
          <w:rFonts w:cs="Arial"/>
        </w:rPr>
      </w:pPr>
      <w:r w:rsidRPr="00E8313B">
        <w:rPr>
          <w:rFonts w:cs="Arial"/>
        </w:rPr>
        <w:t>•  Climate action; and</w:t>
      </w:r>
    </w:p>
    <w:p w14:paraId="0DEC7F55" w14:textId="7887164C" w:rsidR="007028AA" w:rsidRDefault="00E8313B" w:rsidP="00E8313B">
      <w:r w:rsidRPr="00E8313B">
        <w:t>•  Connecting communities.</w:t>
      </w:r>
    </w:p>
    <w:p w14:paraId="0AF396C4" w14:textId="77777777" w:rsidR="00E8313B" w:rsidRPr="00E8313B" w:rsidRDefault="00E8313B" w:rsidP="00E8313B">
      <w:pPr>
        <w:rPr>
          <w:rFonts w:cs="Arial"/>
        </w:rPr>
      </w:pPr>
    </w:p>
    <w:p w14:paraId="7E0D164A" w14:textId="77777777" w:rsidR="00E8313B" w:rsidRPr="00E8313B" w:rsidRDefault="00E8313B" w:rsidP="00E8313B">
      <w:pPr>
        <w:rPr>
          <w:rFonts w:cs="Arial"/>
        </w:rPr>
      </w:pPr>
      <w:bookmarkStart w:id="29" w:name="_Toc176774930"/>
      <w:bookmarkStart w:id="30" w:name="_Toc176775313"/>
      <w:r w:rsidRPr="00E8313B">
        <w:rPr>
          <w:rFonts w:cs="Arial"/>
        </w:rPr>
        <w:t xml:space="preserve">A total of 81.2m passenger journeys was achieved for the year (2023/24: 76.7m passenger journeys for the 52-week equivalent). This represents 5.9% growth in public transport usage and indicates the vital role that public transport is playing in supporting the social, economic, and environmental wellbeing of Northern Ireland. There was a steady improvement in bus passengers </w:t>
      </w:r>
      <w:r w:rsidRPr="00E8313B">
        <w:rPr>
          <w:rFonts w:cs="Arial"/>
        </w:rPr>
        <w:lastRenderedPageBreak/>
        <w:t xml:space="preserve">travelling during 2024/25 whilst noting railway passenger journeys dipped temporarily on 2023/24 due to the partial railway blockade in advance of opening Belfast Grand Central Station. </w:t>
      </w:r>
    </w:p>
    <w:p w14:paraId="571D087F" w14:textId="77777777" w:rsidR="00E8313B" w:rsidRPr="00E8313B" w:rsidRDefault="00E8313B" w:rsidP="00E8313B">
      <w:pPr>
        <w:rPr>
          <w:rFonts w:cs="Arial"/>
        </w:rPr>
      </w:pPr>
      <w:r w:rsidRPr="00E8313B">
        <w:rPr>
          <w:rFonts w:cs="Arial"/>
        </w:rPr>
        <w:t xml:space="preserve"> </w:t>
      </w:r>
    </w:p>
    <w:p w14:paraId="0FDBD478" w14:textId="77777777" w:rsidR="00E8313B" w:rsidRPr="00E8313B" w:rsidRDefault="00E8313B" w:rsidP="00E8313B">
      <w:pPr>
        <w:rPr>
          <w:rFonts w:cs="Arial"/>
        </w:rPr>
      </w:pPr>
      <w:r w:rsidRPr="00E8313B">
        <w:rPr>
          <w:rFonts w:cs="Arial"/>
        </w:rPr>
        <w:t xml:space="preserve">Metro and Glider passenger journeys were 29.8m (28.5m for the 52-week equivalent last year), representing 4.6% growth. Rail passenger journeys were 13.4m (13.6m for the 52-week equivalent last year) reflecting the rail blockade and </w:t>
      </w:r>
      <w:proofErr w:type="spellStart"/>
      <w:r w:rsidRPr="00E8313B">
        <w:rPr>
          <w:rFonts w:cs="Arial"/>
        </w:rPr>
        <w:t>Ulsterbus</w:t>
      </w:r>
      <w:proofErr w:type="spellEnd"/>
      <w:r w:rsidRPr="00E8313B">
        <w:rPr>
          <w:rFonts w:cs="Arial"/>
        </w:rPr>
        <w:t xml:space="preserve"> passenger journeys were 38.0m (34.6m for the 52-week equivalent), representing 9.8% growth on last year. This continued passenger journey growth was achieved despite the railway blockade and extreme weather events including Storm </w:t>
      </w:r>
      <w:proofErr w:type="spellStart"/>
      <w:proofErr w:type="gramStart"/>
      <w:r w:rsidRPr="00E8313B">
        <w:rPr>
          <w:rFonts w:cs="Arial"/>
        </w:rPr>
        <w:t>Éowyn</w:t>
      </w:r>
      <w:proofErr w:type="spellEnd"/>
      <w:r w:rsidRPr="00E8313B">
        <w:rPr>
          <w:rFonts w:cs="Arial"/>
        </w:rPr>
        <w:t xml:space="preserve"> .</w:t>
      </w:r>
      <w:proofErr w:type="gramEnd"/>
      <w:r w:rsidRPr="00E8313B">
        <w:rPr>
          <w:rFonts w:cs="Arial"/>
        </w:rPr>
        <w:t xml:space="preserve"> </w:t>
      </w:r>
    </w:p>
    <w:p w14:paraId="7F72BB62" w14:textId="77777777" w:rsidR="00E8313B" w:rsidRPr="00E8313B" w:rsidRDefault="00E8313B" w:rsidP="00E8313B">
      <w:pPr>
        <w:rPr>
          <w:rFonts w:cs="Arial"/>
        </w:rPr>
      </w:pPr>
    </w:p>
    <w:p w14:paraId="6F8B9CDA" w14:textId="77777777" w:rsidR="00E8313B" w:rsidRPr="00E8313B" w:rsidRDefault="00E8313B" w:rsidP="00E8313B">
      <w:pPr>
        <w:rPr>
          <w:rFonts w:cs="Arial"/>
        </w:rPr>
      </w:pPr>
      <w:r w:rsidRPr="00E8313B">
        <w:rPr>
          <w:rFonts w:cs="Arial"/>
        </w:rPr>
        <w:t xml:space="preserve">The Public Service Agreement (PSA) forms the basis for the relationship between Translink and </w:t>
      </w:r>
      <w:proofErr w:type="spellStart"/>
      <w:r w:rsidRPr="00E8313B">
        <w:rPr>
          <w:rFonts w:cs="Arial"/>
        </w:rPr>
        <w:t>DfI</w:t>
      </w:r>
      <w:proofErr w:type="spellEnd"/>
      <w:r w:rsidRPr="00E8313B">
        <w:rPr>
          <w:rFonts w:cs="Arial"/>
        </w:rPr>
        <w:t xml:space="preserve">. The service agreement implements European and NI legislation on the provision of public transport. It establishes Translink as the main provider of timetabled services in NI with an obligation to manage and operate a comprehensive, integrated network of bus and train services and that </w:t>
      </w:r>
      <w:proofErr w:type="spellStart"/>
      <w:r w:rsidRPr="00E8313B">
        <w:rPr>
          <w:rFonts w:cs="Arial"/>
        </w:rPr>
        <w:t>DfI</w:t>
      </w:r>
      <w:proofErr w:type="spellEnd"/>
      <w:r w:rsidRPr="00E8313B">
        <w:rPr>
          <w:rFonts w:cs="Arial"/>
        </w:rPr>
        <w:t xml:space="preserve"> will compensate Translink for the discharge of this public service obligation. The current PSA was signed on 1 April 2022 for a minimum period of 5 years.</w:t>
      </w:r>
    </w:p>
    <w:p w14:paraId="5A0D59F2" w14:textId="77777777" w:rsidR="00E8313B" w:rsidRPr="00E8313B" w:rsidRDefault="00E8313B" w:rsidP="00E8313B">
      <w:pPr>
        <w:rPr>
          <w:rFonts w:cs="Arial"/>
        </w:rPr>
      </w:pPr>
      <w:r w:rsidRPr="00E8313B">
        <w:rPr>
          <w:rFonts w:cs="Arial"/>
        </w:rPr>
        <w:t xml:space="preserve"> </w:t>
      </w:r>
    </w:p>
    <w:p w14:paraId="4A5D2F60" w14:textId="1C27F3AB" w:rsidR="00E8313B" w:rsidRDefault="00E8313B" w:rsidP="00E8313B">
      <w:pPr>
        <w:rPr>
          <w:rFonts w:cs="Arial"/>
        </w:rPr>
      </w:pPr>
      <w:r w:rsidRPr="00E8313B">
        <w:rPr>
          <w:rFonts w:cs="Arial"/>
        </w:rPr>
        <w:t>The Group buys forward a significant proportion of its fuel costs to provide stability in respect of such costs for both budgeting and its passenger fares; this is reflected in the financial statements and while it had proved very beneficial in previous years, the downward movement in market prices seen in March 2025 adversely affected the mark to market valuation of the hedges held this year end.</w:t>
      </w:r>
    </w:p>
    <w:p w14:paraId="2351DDDE" w14:textId="77777777" w:rsidR="00822505" w:rsidRPr="00E8313B" w:rsidRDefault="00822505" w:rsidP="00E8313B">
      <w:pPr>
        <w:rPr>
          <w:rFonts w:cs="Arial"/>
        </w:rPr>
      </w:pPr>
    </w:p>
    <w:p w14:paraId="527BF1F4" w14:textId="77777777" w:rsidR="00822505" w:rsidRDefault="00822505">
      <w:pPr>
        <w:spacing w:line="240" w:lineRule="auto"/>
        <w:rPr>
          <w:rFonts w:eastAsiaTheme="majorEastAsia" w:cstheme="majorBidi"/>
          <w:b/>
          <w:color w:val="000000" w:themeColor="text1"/>
          <w:sz w:val="28"/>
          <w:szCs w:val="26"/>
        </w:rPr>
      </w:pPr>
      <w:bookmarkStart w:id="31" w:name="_Toc212738608"/>
      <w:bookmarkStart w:id="32" w:name="_Toc213058502"/>
      <w:r>
        <w:br w:type="page"/>
      </w:r>
    </w:p>
    <w:p w14:paraId="1AD924A6" w14:textId="663676E4" w:rsidR="007028AA" w:rsidRPr="00822505" w:rsidRDefault="007028AA" w:rsidP="00822505">
      <w:pPr>
        <w:pStyle w:val="Heading2"/>
        <w:rPr>
          <w:sz w:val="36"/>
        </w:rPr>
      </w:pPr>
      <w:r w:rsidRPr="007028AA">
        <w:lastRenderedPageBreak/>
        <w:t>Review of the Business</w:t>
      </w:r>
      <w:bookmarkEnd w:id="29"/>
      <w:bookmarkEnd w:id="30"/>
      <w:bookmarkEnd w:id="31"/>
      <w:bookmarkEnd w:id="32"/>
    </w:p>
    <w:p w14:paraId="175FC06F" w14:textId="03E5B7DE" w:rsidR="007028AA" w:rsidRDefault="007028AA" w:rsidP="00506AC2">
      <w:r w:rsidRPr="007028AA">
        <w:t xml:space="preserve">A summary of key financial results is set out in the table below and discussed in this section. </w:t>
      </w:r>
    </w:p>
    <w:p w14:paraId="1ECB6BEF" w14:textId="53657199" w:rsidR="00F42FF7" w:rsidRPr="007028AA" w:rsidRDefault="00F42FF7" w:rsidP="00506AC2"/>
    <w:p w14:paraId="4B96B899" w14:textId="75C3CFB3" w:rsidR="007028AA" w:rsidRPr="00E8313B" w:rsidRDefault="007028AA" w:rsidP="00110C58">
      <w:pPr>
        <w:pStyle w:val="Heading3"/>
      </w:pPr>
      <w:bookmarkStart w:id="33" w:name="_Toc176775314"/>
      <w:bookmarkStart w:id="34" w:name="_Toc212738609"/>
      <w:bookmarkStart w:id="35" w:name="_Toc213058503"/>
      <w:r w:rsidRPr="007028AA">
        <w:t xml:space="preserve">Key </w:t>
      </w:r>
      <w:r w:rsidRPr="00E8313B">
        <w:t>Financials</w:t>
      </w:r>
      <w:bookmarkEnd w:id="33"/>
      <w:bookmarkEnd w:id="34"/>
      <w:bookmarkEnd w:id="35"/>
    </w:p>
    <w:tbl>
      <w:tblPr>
        <w:tblStyle w:val="TableGrid"/>
        <w:tblW w:w="0" w:type="auto"/>
        <w:tblLayout w:type="fixed"/>
        <w:tblLook w:val="0000" w:firstRow="0" w:lastRow="0" w:firstColumn="0" w:lastColumn="0" w:noHBand="0" w:noVBand="0"/>
      </w:tblPr>
      <w:tblGrid>
        <w:gridCol w:w="3161"/>
        <w:gridCol w:w="1087"/>
        <w:gridCol w:w="1134"/>
      </w:tblGrid>
      <w:tr w:rsidR="00E8313B" w:rsidRPr="00E8313B" w14:paraId="52AC1363" w14:textId="77777777" w:rsidTr="000525D5">
        <w:trPr>
          <w:trHeight w:hRule="exact" w:val="935"/>
        </w:trPr>
        <w:tc>
          <w:tcPr>
            <w:tcW w:w="3161" w:type="dxa"/>
          </w:tcPr>
          <w:p w14:paraId="3A4D0DD6" w14:textId="77777777" w:rsidR="00E8313B" w:rsidRPr="000525D5" w:rsidRDefault="00E8313B" w:rsidP="00822505">
            <w:pPr>
              <w:spacing w:line="240" w:lineRule="auto"/>
              <w:rPr>
                <w:color w:val="000000" w:themeColor="text1"/>
              </w:rPr>
            </w:pPr>
          </w:p>
        </w:tc>
        <w:tc>
          <w:tcPr>
            <w:tcW w:w="1087" w:type="dxa"/>
            <w:vAlign w:val="center"/>
          </w:tcPr>
          <w:p w14:paraId="3918A1E2" w14:textId="77777777" w:rsidR="00E8313B" w:rsidRPr="000525D5" w:rsidRDefault="00E8313B" w:rsidP="000525D5">
            <w:pPr>
              <w:spacing w:line="240" w:lineRule="auto"/>
              <w:rPr>
                <w:rFonts w:cs="Axiforma"/>
                <w:color w:val="000000" w:themeColor="text1"/>
              </w:rPr>
            </w:pPr>
            <w:r w:rsidRPr="000525D5">
              <w:rPr>
                <w:rFonts w:cs="Axiforma"/>
                <w:color w:val="000000" w:themeColor="text1"/>
              </w:rPr>
              <w:t>2025</w:t>
            </w:r>
          </w:p>
          <w:p w14:paraId="01073E76" w14:textId="77777777" w:rsidR="00E8313B" w:rsidRPr="000525D5" w:rsidRDefault="00E8313B" w:rsidP="000525D5">
            <w:pPr>
              <w:spacing w:line="240" w:lineRule="auto"/>
              <w:rPr>
                <w:rFonts w:cs="Axiforma"/>
                <w:color w:val="000000" w:themeColor="text1"/>
              </w:rPr>
            </w:pPr>
            <w:r w:rsidRPr="000525D5">
              <w:rPr>
                <w:rFonts w:cs="Axiforma"/>
                <w:color w:val="000000" w:themeColor="text1"/>
              </w:rPr>
              <w:t>Group</w:t>
            </w:r>
          </w:p>
          <w:p w14:paraId="0DF3E2CD" w14:textId="77777777" w:rsidR="00E8313B" w:rsidRPr="000525D5" w:rsidRDefault="00E8313B" w:rsidP="000525D5">
            <w:pPr>
              <w:spacing w:line="240" w:lineRule="auto"/>
              <w:rPr>
                <w:color w:val="000000" w:themeColor="text1"/>
              </w:rPr>
            </w:pPr>
            <w:r w:rsidRPr="000525D5">
              <w:rPr>
                <w:rFonts w:cs="Axiforma"/>
                <w:color w:val="000000" w:themeColor="text1"/>
              </w:rPr>
              <w:t>£m</w:t>
            </w:r>
          </w:p>
        </w:tc>
        <w:tc>
          <w:tcPr>
            <w:tcW w:w="1134" w:type="dxa"/>
            <w:vAlign w:val="center"/>
          </w:tcPr>
          <w:p w14:paraId="60509336" w14:textId="77777777" w:rsidR="00E8313B" w:rsidRPr="000525D5" w:rsidRDefault="00E8313B" w:rsidP="000525D5">
            <w:pPr>
              <w:spacing w:line="240" w:lineRule="auto"/>
              <w:rPr>
                <w:rFonts w:cs="Axiforma"/>
                <w:color w:val="000000" w:themeColor="text1"/>
              </w:rPr>
            </w:pPr>
            <w:r w:rsidRPr="000525D5">
              <w:rPr>
                <w:rFonts w:cs="Axiforma"/>
                <w:color w:val="000000" w:themeColor="text1"/>
              </w:rPr>
              <w:t>2024</w:t>
            </w:r>
          </w:p>
          <w:p w14:paraId="0E2C6190" w14:textId="77777777" w:rsidR="00E8313B" w:rsidRPr="000525D5" w:rsidRDefault="00E8313B" w:rsidP="000525D5">
            <w:pPr>
              <w:spacing w:line="240" w:lineRule="auto"/>
              <w:rPr>
                <w:rFonts w:cs="Axiforma"/>
                <w:color w:val="000000" w:themeColor="text1"/>
              </w:rPr>
            </w:pPr>
            <w:r w:rsidRPr="000525D5">
              <w:rPr>
                <w:rFonts w:cs="Axiforma"/>
                <w:color w:val="000000" w:themeColor="text1"/>
              </w:rPr>
              <w:t>Group</w:t>
            </w:r>
          </w:p>
          <w:p w14:paraId="57A79280" w14:textId="77777777" w:rsidR="00E8313B" w:rsidRPr="000525D5" w:rsidRDefault="00E8313B" w:rsidP="000525D5">
            <w:pPr>
              <w:spacing w:line="240" w:lineRule="auto"/>
              <w:rPr>
                <w:color w:val="000000" w:themeColor="text1"/>
              </w:rPr>
            </w:pPr>
            <w:r w:rsidRPr="000525D5">
              <w:rPr>
                <w:rFonts w:cs="Axiforma"/>
                <w:color w:val="000000" w:themeColor="text1"/>
              </w:rPr>
              <w:t>£m</w:t>
            </w:r>
          </w:p>
        </w:tc>
      </w:tr>
      <w:tr w:rsidR="00E8313B" w:rsidRPr="00E8313B" w14:paraId="555C0FE4" w14:textId="77777777" w:rsidTr="000525D5">
        <w:trPr>
          <w:trHeight w:hRule="exact" w:val="680"/>
        </w:trPr>
        <w:tc>
          <w:tcPr>
            <w:tcW w:w="3161" w:type="dxa"/>
            <w:vAlign w:val="center"/>
          </w:tcPr>
          <w:p w14:paraId="2E70A378" w14:textId="77777777" w:rsidR="00E8313B" w:rsidRPr="000525D5" w:rsidRDefault="00E8313B" w:rsidP="000525D5">
            <w:pPr>
              <w:spacing w:line="240" w:lineRule="auto"/>
              <w:rPr>
                <w:color w:val="000000" w:themeColor="text1"/>
              </w:rPr>
            </w:pPr>
            <w:r w:rsidRPr="000525D5">
              <w:rPr>
                <w:rFonts w:cs="Axiforma"/>
                <w:color w:val="000000" w:themeColor="text1"/>
              </w:rPr>
              <w:t>Revenue before intercompany adjustments</w:t>
            </w:r>
          </w:p>
        </w:tc>
        <w:tc>
          <w:tcPr>
            <w:tcW w:w="1087" w:type="dxa"/>
            <w:vAlign w:val="center"/>
          </w:tcPr>
          <w:p w14:paraId="323BF8A7" w14:textId="77777777" w:rsidR="00E8313B" w:rsidRPr="000525D5" w:rsidRDefault="00E8313B" w:rsidP="000525D5">
            <w:pPr>
              <w:spacing w:line="240" w:lineRule="auto"/>
              <w:rPr>
                <w:color w:val="000000" w:themeColor="text1"/>
              </w:rPr>
            </w:pPr>
            <w:r w:rsidRPr="000525D5">
              <w:rPr>
                <w:rFonts w:cs="Axiforma"/>
                <w:color w:val="000000" w:themeColor="text1"/>
              </w:rPr>
              <w:t xml:space="preserve">346.9 </w:t>
            </w:r>
          </w:p>
        </w:tc>
        <w:tc>
          <w:tcPr>
            <w:tcW w:w="1134" w:type="dxa"/>
            <w:vAlign w:val="center"/>
          </w:tcPr>
          <w:p w14:paraId="41BEF223" w14:textId="77777777" w:rsidR="00E8313B" w:rsidRPr="000525D5" w:rsidRDefault="00E8313B" w:rsidP="000525D5">
            <w:pPr>
              <w:spacing w:line="240" w:lineRule="auto"/>
              <w:rPr>
                <w:color w:val="000000" w:themeColor="text1"/>
              </w:rPr>
            </w:pPr>
            <w:r w:rsidRPr="000525D5">
              <w:rPr>
                <w:rFonts w:cs="Axiforma"/>
                <w:color w:val="000000" w:themeColor="text1"/>
              </w:rPr>
              <w:t>331.1</w:t>
            </w:r>
          </w:p>
        </w:tc>
      </w:tr>
      <w:tr w:rsidR="00E8313B" w:rsidRPr="00E8313B" w14:paraId="5A0F464F" w14:textId="77777777" w:rsidTr="000525D5">
        <w:trPr>
          <w:trHeight w:val="397"/>
        </w:trPr>
        <w:tc>
          <w:tcPr>
            <w:tcW w:w="3161" w:type="dxa"/>
            <w:vAlign w:val="center"/>
          </w:tcPr>
          <w:p w14:paraId="47DA7C3D" w14:textId="77777777" w:rsidR="00E8313B" w:rsidRPr="000525D5" w:rsidRDefault="00E8313B" w:rsidP="000525D5">
            <w:pPr>
              <w:spacing w:line="240" w:lineRule="auto"/>
              <w:rPr>
                <w:color w:val="000000" w:themeColor="text1"/>
              </w:rPr>
            </w:pPr>
            <w:r w:rsidRPr="000525D5">
              <w:rPr>
                <w:rFonts w:cs="Axiforma"/>
                <w:color w:val="000000" w:themeColor="text1"/>
              </w:rPr>
              <w:t>Intercompany adjustments</w:t>
            </w:r>
          </w:p>
        </w:tc>
        <w:tc>
          <w:tcPr>
            <w:tcW w:w="1087" w:type="dxa"/>
            <w:vAlign w:val="center"/>
          </w:tcPr>
          <w:p w14:paraId="23DD04E8" w14:textId="77777777" w:rsidR="00E8313B" w:rsidRPr="000525D5" w:rsidRDefault="00E8313B" w:rsidP="000525D5">
            <w:pPr>
              <w:spacing w:line="240" w:lineRule="auto"/>
              <w:rPr>
                <w:color w:val="000000" w:themeColor="text1"/>
              </w:rPr>
            </w:pPr>
            <w:r w:rsidRPr="000525D5">
              <w:rPr>
                <w:rFonts w:cs="Axiforma"/>
                <w:color w:val="000000" w:themeColor="text1"/>
              </w:rPr>
              <w:t xml:space="preserve">(3.0) </w:t>
            </w:r>
          </w:p>
        </w:tc>
        <w:tc>
          <w:tcPr>
            <w:tcW w:w="1134" w:type="dxa"/>
            <w:vAlign w:val="center"/>
          </w:tcPr>
          <w:p w14:paraId="7111FC77" w14:textId="77777777" w:rsidR="00E8313B" w:rsidRPr="000525D5" w:rsidRDefault="00E8313B" w:rsidP="000525D5">
            <w:pPr>
              <w:spacing w:line="240" w:lineRule="auto"/>
              <w:rPr>
                <w:color w:val="000000" w:themeColor="text1"/>
              </w:rPr>
            </w:pPr>
            <w:r w:rsidRPr="000525D5">
              <w:rPr>
                <w:rFonts w:cs="Axiforma"/>
                <w:color w:val="000000" w:themeColor="text1"/>
              </w:rPr>
              <w:t>(1.2)</w:t>
            </w:r>
          </w:p>
        </w:tc>
      </w:tr>
      <w:tr w:rsidR="00E8313B" w:rsidRPr="00E8313B" w14:paraId="485247F2" w14:textId="77777777" w:rsidTr="000525D5">
        <w:trPr>
          <w:trHeight w:val="397"/>
        </w:trPr>
        <w:tc>
          <w:tcPr>
            <w:tcW w:w="3161" w:type="dxa"/>
            <w:vAlign w:val="center"/>
          </w:tcPr>
          <w:p w14:paraId="17091FE4" w14:textId="77777777" w:rsidR="00E8313B" w:rsidRPr="000525D5" w:rsidRDefault="00E8313B" w:rsidP="000525D5">
            <w:pPr>
              <w:spacing w:line="240" w:lineRule="auto"/>
              <w:rPr>
                <w:b/>
                <w:bCs/>
                <w:color w:val="000000" w:themeColor="text1"/>
              </w:rPr>
            </w:pPr>
            <w:r w:rsidRPr="000525D5">
              <w:rPr>
                <w:rFonts w:cs="Axiforma"/>
                <w:b/>
                <w:bCs/>
                <w:color w:val="000000" w:themeColor="text1"/>
              </w:rPr>
              <w:t>Consolidated revenue</w:t>
            </w:r>
          </w:p>
        </w:tc>
        <w:tc>
          <w:tcPr>
            <w:tcW w:w="1087" w:type="dxa"/>
            <w:vAlign w:val="center"/>
          </w:tcPr>
          <w:p w14:paraId="5419237A" w14:textId="77777777" w:rsidR="00E8313B" w:rsidRPr="000525D5" w:rsidRDefault="00E8313B" w:rsidP="000525D5">
            <w:pPr>
              <w:spacing w:line="240" w:lineRule="auto"/>
              <w:rPr>
                <w:b/>
                <w:bCs/>
                <w:color w:val="000000" w:themeColor="text1"/>
              </w:rPr>
            </w:pPr>
            <w:r w:rsidRPr="000525D5">
              <w:rPr>
                <w:rFonts w:cs="Axiforma"/>
                <w:b/>
                <w:bCs/>
                <w:color w:val="000000" w:themeColor="text1"/>
              </w:rPr>
              <w:t xml:space="preserve">343.9 </w:t>
            </w:r>
          </w:p>
        </w:tc>
        <w:tc>
          <w:tcPr>
            <w:tcW w:w="1134" w:type="dxa"/>
            <w:vAlign w:val="center"/>
          </w:tcPr>
          <w:p w14:paraId="6372DB41" w14:textId="77777777" w:rsidR="00E8313B" w:rsidRPr="000525D5" w:rsidRDefault="00E8313B" w:rsidP="000525D5">
            <w:pPr>
              <w:spacing w:line="240" w:lineRule="auto"/>
              <w:rPr>
                <w:b/>
                <w:bCs/>
                <w:color w:val="000000" w:themeColor="text1"/>
              </w:rPr>
            </w:pPr>
            <w:r w:rsidRPr="000525D5">
              <w:rPr>
                <w:rFonts w:cs="Axiforma"/>
                <w:b/>
                <w:bCs/>
                <w:color w:val="000000" w:themeColor="text1"/>
              </w:rPr>
              <w:t>329.9</w:t>
            </w:r>
          </w:p>
        </w:tc>
      </w:tr>
      <w:tr w:rsidR="00E8313B" w:rsidRPr="00E8313B" w14:paraId="34366D58" w14:textId="77777777" w:rsidTr="000525D5">
        <w:trPr>
          <w:trHeight w:val="397"/>
        </w:trPr>
        <w:tc>
          <w:tcPr>
            <w:tcW w:w="3161" w:type="dxa"/>
            <w:vAlign w:val="center"/>
          </w:tcPr>
          <w:p w14:paraId="179EE802" w14:textId="77777777" w:rsidR="00E8313B" w:rsidRPr="000525D5" w:rsidRDefault="00E8313B" w:rsidP="000525D5">
            <w:pPr>
              <w:spacing w:line="240" w:lineRule="auto"/>
              <w:rPr>
                <w:color w:val="000000" w:themeColor="text1"/>
              </w:rPr>
            </w:pPr>
            <w:r w:rsidRPr="000525D5">
              <w:rPr>
                <w:rFonts w:cs="Axiforma"/>
                <w:color w:val="000000" w:themeColor="text1"/>
              </w:rPr>
              <w:t>Pro forma (loss) before tax (note 1)</w:t>
            </w:r>
          </w:p>
        </w:tc>
        <w:tc>
          <w:tcPr>
            <w:tcW w:w="1087" w:type="dxa"/>
            <w:vAlign w:val="center"/>
          </w:tcPr>
          <w:p w14:paraId="46374714" w14:textId="77777777" w:rsidR="00E8313B" w:rsidRPr="000525D5" w:rsidRDefault="00E8313B" w:rsidP="000525D5">
            <w:pPr>
              <w:spacing w:line="240" w:lineRule="auto"/>
              <w:rPr>
                <w:color w:val="000000" w:themeColor="text1"/>
              </w:rPr>
            </w:pPr>
            <w:r w:rsidRPr="000525D5">
              <w:rPr>
                <w:rFonts w:cs="Axiforma"/>
                <w:color w:val="000000" w:themeColor="text1"/>
              </w:rPr>
              <w:t xml:space="preserve">(11.9) </w:t>
            </w:r>
          </w:p>
        </w:tc>
        <w:tc>
          <w:tcPr>
            <w:tcW w:w="1134" w:type="dxa"/>
            <w:vAlign w:val="center"/>
          </w:tcPr>
          <w:p w14:paraId="51AEA680" w14:textId="77777777" w:rsidR="00E8313B" w:rsidRPr="000525D5" w:rsidRDefault="00E8313B" w:rsidP="000525D5">
            <w:pPr>
              <w:spacing w:line="240" w:lineRule="auto"/>
              <w:rPr>
                <w:color w:val="000000" w:themeColor="text1"/>
              </w:rPr>
            </w:pPr>
            <w:r w:rsidRPr="000525D5">
              <w:rPr>
                <w:rFonts w:cs="Axiforma"/>
                <w:color w:val="000000" w:themeColor="text1"/>
              </w:rPr>
              <w:t>(0.9)</w:t>
            </w:r>
          </w:p>
        </w:tc>
      </w:tr>
      <w:tr w:rsidR="00E8313B" w:rsidRPr="00E8313B" w14:paraId="2EB01302" w14:textId="77777777" w:rsidTr="000525D5">
        <w:trPr>
          <w:trHeight w:val="397"/>
        </w:trPr>
        <w:tc>
          <w:tcPr>
            <w:tcW w:w="3161" w:type="dxa"/>
            <w:vAlign w:val="center"/>
          </w:tcPr>
          <w:p w14:paraId="270D9193" w14:textId="0C75AEF5" w:rsidR="00E8313B" w:rsidRPr="000525D5" w:rsidRDefault="00E8313B" w:rsidP="000525D5">
            <w:pPr>
              <w:spacing w:line="240" w:lineRule="auto"/>
              <w:rPr>
                <w:color w:val="000000" w:themeColor="text1"/>
              </w:rPr>
            </w:pPr>
            <w:r w:rsidRPr="000525D5">
              <w:rPr>
                <w:rFonts w:cs="Axiforma"/>
                <w:color w:val="000000" w:themeColor="text1"/>
              </w:rPr>
              <w:t xml:space="preserve">Pensions adjustments </w:t>
            </w:r>
            <w:r w:rsidR="000525D5">
              <w:rPr>
                <w:rFonts w:cs="Axiforma"/>
                <w:color w:val="000000" w:themeColor="text1"/>
              </w:rPr>
              <w:br/>
            </w:r>
            <w:r w:rsidRPr="000525D5">
              <w:rPr>
                <w:rFonts w:cs="Axiforma"/>
                <w:color w:val="000000" w:themeColor="text1"/>
              </w:rPr>
              <w:t>(IAS 19)</w:t>
            </w:r>
          </w:p>
        </w:tc>
        <w:tc>
          <w:tcPr>
            <w:tcW w:w="1087" w:type="dxa"/>
            <w:vAlign w:val="center"/>
          </w:tcPr>
          <w:p w14:paraId="4E968E9E" w14:textId="77777777" w:rsidR="00E8313B" w:rsidRPr="000525D5" w:rsidRDefault="00E8313B" w:rsidP="000525D5">
            <w:pPr>
              <w:spacing w:line="240" w:lineRule="auto"/>
              <w:rPr>
                <w:color w:val="000000" w:themeColor="text1"/>
              </w:rPr>
            </w:pPr>
            <w:r w:rsidRPr="000525D5">
              <w:rPr>
                <w:rFonts w:cs="Axiforma"/>
                <w:color w:val="000000" w:themeColor="text1"/>
              </w:rPr>
              <w:t xml:space="preserve">10.7 </w:t>
            </w:r>
          </w:p>
        </w:tc>
        <w:tc>
          <w:tcPr>
            <w:tcW w:w="1134" w:type="dxa"/>
            <w:vAlign w:val="center"/>
          </w:tcPr>
          <w:p w14:paraId="00EA118E" w14:textId="77777777" w:rsidR="00E8313B" w:rsidRPr="000525D5" w:rsidRDefault="00E8313B" w:rsidP="000525D5">
            <w:pPr>
              <w:spacing w:line="240" w:lineRule="auto"/>
              <w:rPr>
                <w:color w:val="000000" w:themeColor="text1"/>
              </w:rPr>
            </w:pPr>
            <w:r w:rsidRPr="000525D5">
              <w:rPr>
                <w:rFonts w:cs="Axiforma"/>
                <w:color w:val="000000" w:themeColor="text1"/>
              </w:rPr>
              <w:t>7.4</w:t>
            </w:r>
          </w:p>
        </w:tc>
      </w:tr>
      <w:tr w:rsidR="00E8313B" w:rsidRPr="00E8313B" w14:paraId="00EF8B4B" w14:textId="77777777" w:rsidTr="000525D5">
        <w:trPr>
          <w:trHeight w:val="397"/>
        </w:trPr>
        <w:tc>
          <w:tcPr>
            <w:tcW w:w="3161" w:type="dxa"/>
            <w:vAlign w:val="center"/>
          </w:tcPr>
          <w:p w14:paraId="33D603D4" w14:textId="77777777" w:rsidR="00E8313B" w:rsidRPr="000525D5" w:rsidRDefault="00E8313B" w:rsidP="000525D5">
            <w:pPr>
              <w:spacing w:line="240" w:lineRule="auto"/>
              <w:rPr>
                <w:color w:val="000000" w:themeColor="text1"/>
              </w:rPr>
            </w:pPr>
            <w:r w:rsidRPr="000525D5">
              <w:rPr>
                <w:rFonts w:cs="Axiforma"/>
                <w:color w:val="000000" w:themeColor="text1"/>
              </w:rPr>
              <w:t>Movement on derivatives</w:t>
            </w:r>
          </w:p>
        </w:tc>
        <w:tc>
          <w:tcPr>
            <w:tcW w:w="1087" w:type="dxa"/>
            <w:vAlign w:val="center"/>
          </w:tcPr>
          <w:p w14:paraId="345DA1AA" w14:textId="77777777" w:rsidR="00E8313B" w:rsidRPr="000525D5" w:rsidRDefault="00E8313B" w:rsidP="000525D5">
            <w:pPr>
              <w:spacing w:line="240" w:lineRule="auto"/>
              <w:rPr>
                <w:color w:val="000000" w:themeColor="text1"/>
              </w:rPr>
            </w:pPr>
            <w:r w:rsidRPr="000525D5">
              <w:rPr>
                <w:rFonts w:cs="Axiforma"/>
                <w:color w:val="000000" w:themeColor="text1"/>
              </w:rPr>
              <w:t xml:space="preserve">(4.4) </w:t>
            </w:r>
          </w:p>
        </w:tc>
        <w:tc>
          <w:tcPr>
            <w:tcW w:w="1134" w:type="dxa"/>
            <w:vAlign w:val="center"/>
          </w:tcPr>
          <w:p w14:paraId="070FB716" w14:textId="77777777" w:rsidR="00E8313B" w:rsidRPr="000525D5" w:rsidRDefault="00E8313B" w:rsidP="000525D5">
            <w:pPr>
              <w:spacing w:line="240" w:lineRule="auto"/>
              <w:rPr>
                <w:color w:val="000000" w:themeColor="text1"/>
              </w:rPr>
            </w:pPr>
            <w:r w:rsidRPr="000525D5">
              <w:rPr>
                <w:rFonts w:cs="Axiforma"/>
                <w:color w:val="000000" w:themeColor="text1"/>
              </w:rPr>
              <w:t>1.1</w:t>
            </w:r>
          </w:p>
        </w:tc>
      </w:tr>
      <w:tr w:rsidR="00E8313B" w:rsidRPr="00E8313B" w14:paraId="5AE39626" w14:textId="77777777" w:rsidTr="000525D5">
        <w:trPr>
          <w:trHeight w:val="680"/>
        </w:trPr>
        <w:tc>
          <w:tcPr>
            <w:tcW w:w="3161" w:type="dxa"/>
            <w:vAlign w:val="center"/>
          </w:tcPr>
          <w:p w14:paraId="00BF723C" w14:textId="77777777" w:rsidR="00E8313B" w:rsidRPr="000525D5" w:rsidRDefault="00E8313B" w:rsidP="000525D5">
            <w:pPr>
              <w:spacing w:line="240" w:lineRule="auto"/>
              <w:rPr>
                <w:b/>
                <w:bCs/>
                <w:color w:val="000000" w:themeColor="text1"/>
              </w:rPr>
            </w:pPr>
            <w:r w:rsidRPr="000525D5">
              <w:rPr>
                <w:rFonts w:cs="Axiforma"/>
                <w:b/>
                <w:bCs/>
                <w:color w:val="000000" w:themeColor="text1"/>
              </w:rPr>
              <w:t>Consolidated (loss)/profit before tax</w:t>
            </w:r>
          </w:p>
        </w:tc>
        <w:tc>
          <w:tcPr>
            <w:tcW w:w="1087" w:type="dxa"/>
            <w:vAlign w:val="center"/>
          </w:tcPr>
          <w:p w14:paraId="4B8E298C" w14:textId="77777777" w:rsidR="00E8313B" w:rsidRPr="000525D5" w:rsidRDefault="00E8313B" w:rsidP="000525D5">
            <w:pPr>
              <w:spacing w:line="240" w:lineRule="auto"/>
              <w:rPr>
                <w:b/>
                <w:bCs/>
                <w:color w:val="000000" w:themeColor="text1"/>
              </w:rPr>
            </w:pPr>
            <w:r w:rsidRPr="000525D5">
              <w:rPr>
                <w:rFonts w:cs="Axiforma"/>
                <w:b/>
                <w:bCs/>
                <w:color w:val="000000" w:themeColor="text1"/>
              </w:rPr>
              <w:t xml:space="preserve">(5.6) </w:t>
            </w:r>
          </w:p>
        </w:tc>
        <w:tc>
          <w:tcPr>
            <w:tcW w:w="1134" w:type="dxa"/>
            <w:vAlign w:val="center"/>
          </w:tcPr>
          <w:p w14:paraId="27DCC0F7" w14:textId="77777777" w:rsidR="00E8313B" w:rsidRPr="000525D5" w:rsidRDefault="00E8313B" w:rsidP="000525D5">
            <w:pPr>
              <w:spacing w:line="240" w:lineRule="auto"/>
              <w:rPr>
                <w:b/>
                <w:bCs/>
                <w:color w:val="000000" w:themeColor="text1"/>
              </w:rPr>
            </w:pPr>
            <w:r w:rsidRPr="000525D5">
              <w:rPr>
                <w:rFonts w:cs="Axiforma"/>
                <w:b/>
                <w:bCs/>
                <w:color w:val="000000" w:themeColor="text1"/>
              </w:rPr>
              <w:t>7.6</w:t>
            </w:r>
          </w:p>
        </w:tc>
      </w:tr>
    </w:tbl>
    <w:p w14:paraId="517F0BC0" w14:textId="77777777" w:rsidR="00E8313B" w:rsidRDefault="00E8313B" w:rsidP="00506AC2">
      <w:pPr>
        <w:rPr>
          <w:i/>
          <w:iCs/>
        </w:rPr>
      </w:pPr>
    </w:p>
    <w:p w14:paraId="4CE28B39" w14:textId="607A5E43" w:rsidR="00F42FF7" w:rsidRDefault="00506AC2" w:rsidP="00506AC2">
      <w:pPr>
        <w:rPr>
          <w:i/>
          <w:iCs/>
        </w:rPr>
      </w:pPr>
      <w:r w:rsidRPr="00506AC2">
        <w:rPr>
          <w:i/>
          <w:iCs/>
        </w:rPr>
        <w:t xml:space="preserve">Note 1 - The pro forma profit is used by the </w:t>
      </w:r>
      <w:proofErr w:type="spellStart"/>
      <w:r w:rsidRPr="00506AC2">
        <w:rPr>
          <w:i/>
          <w:iCs/>
        </w:rPr>
        <w:t>DfI</w:t>
      </w:r>
      <w:proofErr w:type="spellEnd"/>
      <w:r w:rsidRPr="00506AC2">
        <w:rPr>
          <w:i/>
          <w:iCs/>
        </w:rPr>
        <w:t xml:space="preserve"> to assess profitability.</w:t>
      </w:r>
    </w:p>
    <w:p w14:paraId="2C5C78F2" w14:textId="77777777" w:rsidR="00506AC2" w:rsidRPr="00506AC2" w:rsidRDefault="00506AC2" w:rsidP="00506AC2">
      <w:pPr>
        <w:rPr>
          <w:i/>
          <w:iCs/>
        </w:rPr>
      </w:pPr>
    </w:p>
    <w:p w14:paraId="2DF19100" w14:textId="10BA0F1D" w:rsidR="007028AA" w:rsidRPr="007028AA" w:rsidRDefault="007028AA" w:rsidP="00110C58">
      <w:pPr>
        <w:pStyle w:val="Heading3"/>
      </w:pPr>
      <w:bookmarkStart w:id="36" w:name="_Toc176774932"/>
      <w:bookmarkStart w:id="37" w:name="_Toc176775315"/>
      <w:bookmarkStart w:id="38" w:name="_Toc212738610"/>
      <w:bookmarkStart w:id="39" w:name="_Toc213058504"/>
      <w:r w:rsidRPr="007028AA">
        <w:t>Financial Review</w:t>
      </w:r>
      <w:bookmarkEnd w:id="36"/>
      <w:bookmarkEnd w:id="37"/>
      <w:bookmarkEnd w:id="38"/>
      <w:bookmarkEnd w:id="39"/>
    </w:p>
    <w:p w14:paraId="286FE06D" w14:textId="77777777" w:rsidR="00B07455" w:rsidRPr="00B07455" w:rsidRDefault="00B07455" w:rsidP="00B07455">
      <w:r w:rsidRPr="00B07455">
        <w:t>The UK-adopted International Accounting Standards (‘UK-Adopted IFRS’) results for the year are shown in the consolidated income statement on page 40.</w:t>
      </w:r>
    </w:p>
    <w:p w14:paraId="67017669" w14:textId="77777777" w:rsidR="00B07455" w:rsidRPr="00B07455" w:rsidRDefault="00B07455" w:rsidP="00B07455">
      <w:r w:rsidRPr="00B07455">
        <w:t xml:space="preserve"> </w:t>
      </w:r>
    </w:p>
    <w:p w14:paraId="3E28788E" w14:textId="77777777" w:rsidR="00B07455" w:rsidRPr="00B07455" w:rsidRDefault="00B07455" w:rsidP="00B07455">
      <w:r w:rsidRPr="00B07455">
        <w:t>The pro-forma loss before tax, i.e. loss for the year before tax and accounting adjustments for fair value of investment properties, pensions and derivatives, was £11.9m. This represents a significant improvement of £5.7m on budget (budgeted loss of £17.6m) due primarily to increased bus and rail PSO (Public Service Obligation) against initial funding allocation, and a range of efficiency and cost reduction measures, against a backdrop of high inflation.</w:t>
      </w:r>
    </w:p>
    <w:p w14:paraId="31A5B455" w14:textId="77777777" w:rsidR="00B07455" w:rsidRPr="00B07455" w:rsidRDefault="00B07455" w:rsidP="00B07455">
      <w:r w:rsidRPr="00B07455">
        <w:t xml:space="preserve"> </w:t>
      </w:r>
    </w:p>
    <w:p w14:paraId="3D03E510" w14:textId="77777777" w:rsidR="00B07455" w:rsidRPr="00B07455" w:rsidRDefault="00B07455" w:rsidP="00B07455">
      <w:r w:rsidRPr="00B07455">
        <w:t>The UK-Adopted IFRS consolidated profit before tax for the year of £5.6m has been adjusted to arrive at the pro-forma loss as follows:</w:t>
      </w:r>
    </w:p>
    <w:p w14:paraId="59777BE4" w14:textId="77777777" w:rsidR="00B07455" w:rsidRPr="00B07455" w:rsidRDefault="00B07455" w:rsidP="00B07455"/>
    <w:p w14:paraId="57D8B4F1" w14:textId="7921FB14" w:rsidR="00B07455" w:rsidRPr="00B07455" w:rsidRDefault="00B07455" w:rsidP="00B07455">
      <w:pPr>
        <w:pStyle w:val="ListParagraph"/>
        <w:numPr>
          <w:ilvl w:val="0"/>
          <w:numId w:val="51"/>
        </w:numPr>
      </w:pPr>
      <w:r w:rsidRPr="00B07455">
        <w:t xml:space="preserve">Pensions: £10.7m credit (2024: £7.4m credit). This is due </w:t>
      </w:r>
      <w:r w:rsidRPr="00B07455">
        <w:br/>
        <w:t xml:space="preserve">to a decrease in the long-term cost of providing and </w:t>
      </w:r>
      <w:r w:rsidRPr="00B07455">
        <w:br/>
        <w:t xml:space="preserve">servicing </w:t>
      </w:r>
      <w:proofErr w:type="gramStart"/>
      <w:r w:rsidRPr="00B07455">
        <w:t>pensions;</w:t>
      </w:r>
      <w:proofErr w:type="gramEnd"/>
      <w:r w:rsidRPr="00B07455">
        <w:t xml:space="preserve"> </w:t>
      </w:r>
    </w:p>
    <w:p w14:paraId="2C87E7DC" w14:textId="27AA2EFF" w:rsidR="007028AA" w:rsidRPr="007028AA" w:rsidRDefault="00B07455" w:rsidP="00B07455">
      <w:pPr>
        <w:pStyle w:val="ListParagraph"/>
        <w:numPr>
          <w:ilvl w:val="0"/>
          <w:numId w:val="51"/>
        </w:numPr>
      </w:pPr>
      <w:r w:rsidRPr="00B07455">
        <w:lastRenderedPageBreak/>
        <w:t>Derivatives: £4.4m charge (2024: £1.1m credit). This reflects the application of the Group’s forward fuel procurement policy and reflects the significant decrease in market value of crude oil since last year.</w:t>
      </w:r>
    </w:p>
    <w:p w14:paraId="0F8D559D" w14:textId="77777777" w:rsidR="00F42FF7" w:rsidRDefault="00F42FF7" w:rsidP="00506AC2"/>
    <w:p w14:paraId="7B092BEA" w14:textId="3C1A2F38" w:rsidR="00F42FF7" w:rsidRDefault="00F42FF7" w:rsidP="00110C58">
      <w:pPr>
        <w:pStyle w:val="Heading3"/>
      </w:pPr>
      <w:bookmarkStart w:id="40" w:name="_Toc176774933"/>
      <w:bookmarkStart w:id="41" w:name="_Toc176775316"/>
      <w:bookmarkStart w:id="42" w:name="_Toc212738611"/>
      <w:bookmarkStart w:id="43" w:name="_Toc213058505"/>
      <w:r>
        <w:t>Operational Review</w:t>
      </w:r>
      <w:bookmarkEnd w:id="40"/>
      <w:bookmarkEnd w:id="41"/>
      <w:bookmarkEnd w:id="42"/>
      <w:bookmarkEnd w:id="43"/>
    </w:p>
    <w:tbl>
      <w:tblPr>
        <w:tblStyle w:val="TableGrid"/>
        <w:tblW w:w="0" w:type="auto"/>
        <w:tblLayout w:type="fixed"/>
        <w:tblLook w:val="0000" w:firstRow="0" w:lastRow="0" w:firstColumn="0" w:lastColumn="0" w:noHBand="0" w:noVBand="0"/>
      </w:tblPr>
      <w:tblGrid>
        <w:gridCol w:w="3680"/>
        <w:gridCol w:w="1155"/>
        <w:gridCol w:w="1155"/>
        <w:gridCol w:w="1155"/>
      </w:tblGrid>
      <w:tr w:rsidR="00B07455" w:rsidRPr="00B07455" w14:paraId="67151F25" w14:textId="77777777" w:rsidTr="000525D5">
        <w:trPr>
          <w:trHeight w:hRule="exact" w:val="927"/>
        </w:trPr>
        <w:tc>
          <w:tcPr>
            <w:tcW w:w="3680" w:type="dxa"/>
          </w:tcPr>
          <w:p w14:paraId="65A3000C" w14:textId="77777777" w:rsidR="00B07455" w:rsidRPr="000525D5" w:rsidRDefault="00B07455" w:rsidP="000525D5">
            <w:pPr>
              <w:spacing w:line="240" w:lineRule="auto"/>
              <w:rPr>
                <w:b/>
                <w:bCs/>
              </w:rPr>
            </w:pPr>
            <w:r w:rsidRPr="000525D5">
              <w:rPr>
                <w:b/>
                <w:bCs/>
              </w:rPr>
              <w:t>Passenger</w:t>
            </w:r>
          </w:p>
          <w:p w14:paraId="3945AAFF" w14:textId="77777777" w:rsidR="00B07455" w:rsidRPr="000525D5" w:rsidRDefault="00B07455" w:rsidP="000525D5">
            <w:pPr>
              <w:spacing w:line="240" w:lineRule="auto"/>
              <w:rPr>
                <w:b/>
                <w:bCs/>
                <w:color w:val="000000"/>
                <w:sz w:val="16"/>
                <w:szCs w:val="16"/>
              </w:rPr>
            </w:pPr>
            <w:r w:rsidRPr="000525D5">
              <w:rPr>
                <w:b/>
                <w:bCs/>
              </w:rPr>
              <w:t xml:space="preserve"> journeys (million)</w:t>
            </w:r>
          </w:p>
        </w:tc>
        <w:tc>
          <w:tcPr>
            <w:tcW w:w="1155" w:type="dxa"/>
            <w:vAlign w:val="center"/>
          </w:tcPr>
          <w:p w14:paraId="40BDBBEC" w14:textId="77777777" w:rsidR="00B07455" w:rsidRPr="000525D5" w:rsidRDefault="00B07455" w:rsidP="000525D5">
            <w:pPr>
              <w:spacing w:line="240" w:lineRule="auto"/>
              <w:jc w:val="center"/>
              <w:rPr>
                <w:b/>
                <w:bCs/>
              </w:rPr>
            </w:pPr>
            <w:r w:rsidRPr="000525D5">
              <w:rPr>
                <w:b/>
                <w:bCs/>
              </w:rPr>
              <w:t>2025</w:t>
            </w:r>
          </w:p>
          <w:p w14:paraId="49DF2AEB" w14:textId="77777777" w:rsidR="00B07455" w:rsidRPr="000525D5" w:rsidRDefault="00B07455" w:rsidP="000525D5">
            <w:pPr>
              <w:spacing w:line="240" w:lineRule="auto"/>
              <w:jc w:val="center"/>
              <w:rPr>
                <w:b/>
                <w:bCs/>
              </w:rPr>
            </w:pPr>
            <w:r w:rsidRPr="000525D5">
              <w:rPr>
                <w:b/>
                <w:bCs/>
              </w:rPr>
              <w:t>52</w:t>
            </w:r>
          </w:p>
          <w:p w14:paraId="117E5F94" w14:textId="77777777" w:rsidR="00B07455" w:rsidRPr="000525D5" w:rsidRDefault="00B07455" w:rsidP="000525D5">
            <w:pPr>
              <w:spacing w:line="240" w:lineRule="auto"/>
              <w:jc w:val="center"/>
              <w:rPr>
                <w:b/>
                <w:bCs/>
                <w:color w:val="000000"/>
                <w:sz w:val="16"/>
                <w:szCs w:val="16"/>
              </w:rPr>
            </w:pPr>
            <w:r w:rsidRPr="000525D5">
              <w:rPr>
                <w:b/>
                <w:bCs/>
              </w:rPr>
              <w:t>weeks</w:t>
            </w:r>
          </w:p>
        </w:tc>
        <w:tc>
          <w:tcPr>
            <w:tcW w:w="1155" w:type="dxa"/>
            <w:vAlign w:val="center"/>
          </w:tcPr>
          <w:p w14:paraId="38255AF3" w14:textId="77777777" w:rsidR="00B07455" w:rsidRPr="000525D5" w:rsidRDefault="00B07455" w:rsidP="000525D5">
            <w:pPr>
              <w:spacing w:line="240" w:lineRule="auto"/>
              <w:jc w:val="center"/>
              <w:rPr>
                <w:b/>
                <w:bCs/>
              </w:rPr>
            </w:pPr>
            <w:r w:rsidRPr="000525D5">
              <w:rPr>
                <w:b/>
                <w:bCs/>
              </w:rPr>
              <w:t>2024</w:t>
            </w:r>
          </w:p>
          <w:p w14:paraId="0C1F003C" w14:textId="5AC1D1CF" w:rsidR="00B07455" w:rsidRPr="000525D5" w:rsidRDefault="00B07455" w:rsidP="000525D5">
            <w:pPr>
              <w:spacing w:line="240" w:lineRule="auto"/>
              <w:jc w:val="center"/>
              <w:rPr>
                <w:b/>
                <w:bCs/>
              </w:rPr>
            </w:pPr>
            <w:r w:rsidRPr="000525D5">
              <w:rPr>
                <w:b/>
                <w:bCs/>
              </w:rPr>
              <w:t>53</w:t>
            </w:r>
          </w:p>
          <w:p w14:paraId="1C58BD1D" w14:textId="77777777" w:rsidR="00B07455" w:rsidRPr="000525D5" w:rsidRDefault="00B07455" w:rsidP="000525D5">
            <w:pPr>
              <w:spacing w:line="240" w:lineRule="auto"/>
              <w:jc w:val="center"/>
              <w:rPr>
                <w:b/>
                <w:bCs/>
                <w:color w:val="000000"/>
                <w:sz w:val="16"/>
                <w:szCs w:val="16"/>
              </w:rPr>
            </w:pPr>
            <w:r w:rsidRPr="000525D5">
              <w:rPr>
                <w:b/>
                <w:bCs/>
              </w:rPr>
              <w:t>weeks</w:t>
            </w:r>
          </w:p>
        </w:tc>
        <w:tc>
          <w:tcPr>
            <w:tcW w:w="1155" w:type="dxa"/>
            <w:vAlign w:val="center"/>
          </w:tcPr>
          <w:p w14:paraId="135BC7AC" w14:textId="77777777" w:rsidR="00B07455" w:rsidRPr="000525D5" w:rsidRDefault="00B07455" w:rsidP="000525D5">
            <w:pPr>
              <w:spacing w:line="240" w:lineRule="auto"/>
              <w:jc w:val="center"/>
              <w:rPr>
                <w:b/>
                <w:bCs/>
              </w:rPr>
            </w:pPr>
            <w:r w:rsidRPr="000525D5">
              <w:rPr>
                <w:b/>
                <w:bCs/>
              </w:rPr>
              <w:t>2024</w:t>
            </w:r>
          </w:p>
          <w:p w14:paraId="4307C58F" w14:textId="589AE6C9" w:rsidR="00B07455" w:rsidRPr="000525D5" w:rsidRDefault="00B07455" w:rsidP="000525D5">
            <w:pPr>
              <w:spacing w:line="240" w:lineRule="auto"/>
              <w:jc w:val="center"/>
              <w:rPr>
                <w:b/>
                <w:bCs/>
              </w:rPr>
            </w:pPr>
            <w:r w:rsidRPr="000525D5">
              <w:rPr>
                <w:b/>
                <w:bCs/>
              </w:rPr>
              <w:t>52</w:t>
            </w:r>
          </w:p>
          <w:p w14:paraId="1C32E202" w14:textId="77777777" w:rsidR="00B07455" w:rsidRPr="000525D5" w:rsidRDefault="00B07455" w:rsidP="000525D5">
            <w:pPr>
              <w:spacing w:line="240" w:lineRule="auto"/>
              <w:jc w:val="center"/>
              <w:rPr>
                <w:b/>
                <w:bCs/>
                <w:color w:val="000000"/>
                <w:sz w:val="16"/>
                <w:szCs w:val="16"/>
              </w:rPr>
            </w:pPr>
            <w:r w:rsidRPr="000525D5">
              <w:rPr>
                <w:b/>
                <w:bCs/>
              </w:rPr>
              <w:t>weeks</w:t>
            </w:r>
          </w:p>
        </w:tc>
      </w:tr>
      <w:tr w:rsidR="00B07455" w:rsidRPr="00B07455" w14:paraId="78D8A6F8" w14:textId="77777777" w:rsidTr="000525D5">
        <w:trPr>
          <w:trHeight w:val="340"/>
        </w:trPr>
        <w:tc>
          <w:tcPr>
            <w:tcW w:w="3680" w:type="dxa"/>
          </w:tcPr>
          <w:p w14:paraId="3058C607" w14:textId="77777777" w:rsidR="00B07455" w:rsidRPr="00B07455" w:rsidRDefault="00B07455" w:rsidP="00B07455">
            <w:pPr>
              <w:spacing w:line="240" w:lineRule="auto"/>
              <w:rPr>
                <w:color w:val="000000"/>
                <w:sz w:val="16"/>
                <w:szCs w:val="16"/>
              </w:rPr>
            </w:pPr>
            <w:r w:rsidRPr="00B07455">
              <w:rPr>
                <w:color w:val="000000"/>
              </w:rPr>
              <w:t>NI Railways</w:t>
            </w:r>
          </w:p>
        </w:tc>
        <w:tc>
          <w:tcPr>
            <w:tcW w:w="1155" w:type="dxa"/>
          </w:tcPr>
          <w:p w14:paraId="58B1D07C" w14:textId="49949F23" w:rsidR="00B07455" w:rsidRPr="00B07455" w:rsidRDefault="00B07455" w:rsidP="00B07455">
            <w:pPr>
              <w:spacing w:line="240" w:lineRule="auto"/>
              <w:jc w:val="center"/>
              <w:rPr>
                <w:color w:val="000000"/>
                <w:sz w:val="16"/>
                <w:szCs w:val="16"/>
              </w:rPr>
            </w:pPr>
            <w:r w:rsidRPr="00B07455">
              <w:rPr>
                <w:color w:val="000000"/>
              </w:rPr>
              <w:t>13.4</w:t>
            </w:r>
          </w:p>
        </w:tc>
        <w:tc>
          <w:tcPr>
            <w:tcW w:w="1155" w:type="dxa"/>
          </w:tcPr>
          <w:p w14:paraId="38980C00" w14:textId="77777777" w:rsidR="00B07455" w:rsidRPr="00B07455" w:rsidRDefault="00B07455" w:rsidP="00B07455">
            <w:pPr>
              <w:spacing w:line="240" w:lineRule="auto"/>
              <w:jc w:val="center"/>
              <w:rPr>
                <w:color w:val="000000"/>
                <w:sz w:val="16"/>
                <w:szCs w:val="16"/>
              </w:rPr>
            </w:pPr>
            <w:r w:rsidRPr="00B07455">
              <w:rPr>
                <w:color w:val="000000"/>
              </w:rPr>
              <w:t>13.8</w:t>
            </w:r>
          </w:p>
        </w:tc>
        <w:tc>
          <w:tcPr>
            <w:tcW w:w="1155" w:type="dxa"/>
          </w:tcPr>
          <w:p w14:paraId="3C112581" w14:textId="77777777" w:rsidR="00B07455" w:rsidRPr="00B07455" w:rsidRDefault="00B07455" w:rsidP="00B07455">
            <w:pPr>
              <w:spacing w:line="240" w:lineRule="auto"/>
              <w:jc w:val="center"/>
              <w:rPr>
                <w:color w:val="000000"/>
                <w:sz w:val="16"/>
                <w:szCs w:val="16"/>
              </w:rPr>
            </w:pPr>
            <w:r w:rsidRPr="00B07455">
              <w:rPr>
                <w:color w:val="000000"/>
              </w:rPr>
              <w:t>13.6</w:t>
            </w:r>
          </w:p>
        </w:tc>
      </w:tr>
      <w:tr w:rsidR="00B07455" w:rsidRPr="00B07455" w14:paraId="0593A8C7" w14:textId="77777777" w:rsidTr="000525D5">
        <w:trPr>
          <w:trHeight w:val="340"/>
        </w:trPr>
        <w:tc>
          <w:tcPr>
            <w:tcW w:w="3680" w:type="dxa"/>
          </w:tcPr>
          <w:p w14:paraId="2A8A6185" w14:textId="77777777" w:rsidR="00B07455" w:rsidRPr="00B07455" w:rsidRDefault="00B07455" w:rsidP="00B07455">
            <w:pPr>
              <w:spacing w:line="240" w:lineRule="auto"/>
              <w:rPr>
                <w:color w:val="000000"/>
                <w:sz w:val="16"/>
                <w:szCs w:val="16"/>
              </w:rPr>
            </w:pPr>
            <w:proofErr w:type="spellStart"/>
            <w:r w:rsidRPr="00B07455">
              <w:rPr>
                <w:color w:val="000000"/>
              </w:rPr>
              <w:t>Ulsterbus</w:t>
            </w:r>
            <w:proofErr w:type="spellEnd"/>
          </w:p>
        </w:tc>
        <w:tc>
          <w:tcPr>
            <w:tcW w:w="1155" w:type="dxa"/>
          </w:tcPr>
          <w:p w14:paraId="19CBF4AD" w14:textId="65A9CDB1" w:rsidR="00B07455" w:rsidRPr="00B07455" w:rsidRDefault="00B07455" w:rsidP="00B07455">
            <w:pPr>
              <w:spacing w:line="240" w:lineRule="auto"/>
              <w:jc w:val="center"/>
              <w:rPr>
                <w:color w:val="000000"/>
                <w:sz w:val="16"/>
                <w:szCs w:val="16"/>
              </w:rPr>
            </w:pPr>
            <w:r w:rsidRPr="00B07455">
              <w:rPr>
                <w:color w:val="000000"/>
              </w:rPr>
              <w:t>38.0</w:t>
            </w:r>
          </w:p>
        </w:tc>
        <w:tc>
          <w:tcPr>
            <w:tcW w:w="1155" w:type="dxa"/>
          </w:tcPr>
          <w:p w14:paraId="40763DA8" w14:textId="77777777" w:rsidR="00B07455" w:rsidRPr="00B07455" w:rsidRDefault="00B07455" w:rsidP="00B07455">
            <w:pPr>
              <w:spacing w:line="240" w:lineRule="auto"/>
              <w:jc w:val="center"/>
              <w:rPr>
                <w:color w:val="000000"/>
                <w:sz w:val="16"/>
                <w:szCs w:val="16"/>
              </w:rPr>
            </w:pPr>
            <w:r w:rsidRPr="00B07455">
              <w:rPr>
                <w:color w:val="000000"/>
              </w:rPr>
              <w:t>35.3</w:t>
            </w:r>
          </w:p>
        </w:tc>
        <w:tc>
          <w:tcPr>
            <w:tcW w:w="1155" w:type="dxa"/>
          </w:tcPr>
          <w:p w14:paraId="13282156" w14:textId="77777777" w:rsidR="00B07455" w:rsidRPr="00B07455" w:rsidRDefault="00B07455" w:rsidP="00B07455">
            <w:pPr>
              <w:spacing w:line="240" w:lineRule="auto"/>
              <w:jc w:val="center"/>
              <w:rPr>
                <w:color w:val="000000"/>
                <w:sz w:val="16"/>
                <w:szCs w:val="16"/>
              </w:rPr>
            </w:pPr>
            <w:r w:rsidRPr="00B07455">
              <w:rPr>
                <w:color w:val="000000"/>
              </w:rPr>
              <w:t>34.6</w:t>
            </w:r>
          </w:p>
        </w:tc>
      </w:tr>
      <w:tr w:rsidR="00B07455" w:rsidRPr="00B07455" w14:paraId="7EC6470E" w14:textId="77777777" w:rsidTr="000525D5">
        <w:trPr>
          <w:trHeight w:val="340"/>
        </w:trPr>
        <w:tc>
          <w:tcPr>
            <w:tcW w:w="3680" w:type="dxa"/>
          </w:tcPr>
          <w:p w14:paraId="0CBE872E" w14:textId="77777777" w:rsidR="00B07455" w:rsidRPr="00B07455" w:rsidRDefault="00B07455" w:rsidP="00B07455">
            <w:pPr>
              <w:spacing w:line="240" w:lineRule="auto"/>
              <w:rPr>
                <w:color w:val="000000"/>
                <w:sz w:val="16"/>
                <w:szCs w:val="16"/>
              </w:rPr>
            </w:pPr>
            <w:r w:rsidRPr="00B07455">
              <w:rPr>
                <w:color w:val="000000"/>
              </w:rPr>
              <w:t>Metro</w:t>
            </w:r>
          </w:p>
        </w:tc>
        <w:tc>
          <w:tcPr>
            <w:tcW w:w="1155" w:type="dxa"/>
          </w:tcPr>
          <w:p w14:paraId="04549B9F" w14:textId="3E44E02F" w:rsidR="00B07455" w:rsidRPr="00B07455" w:rsidRDefault="00B07455" w:rsidP="00B07455">
            <w:pPr>
              <w:spacing w:line="240" w:lineRule="auto"/>
              <w:jc w:val="center"/>
              <w:rPr>
                <w:color w:val="000000"/>
                <w:sz w:val="16"/>
                <w:szCs w:val="16"/>
              </w:rPr>
            </w:pPr>
            <w:r w:rsidRPr="00B07455">
              <w:rPr>
                <w:color w:val="000000"/>
              </w:rPr>
              <w:t>29.8</w:t>
            </w:r>
          </w:p>
        </w:tc>
        <w:tc>
          <w:tcPr>
            <w:tcW w:w="1155" w:type="dxa"/>
          </w:tcPr>
          <w:p w14:paraId="3CE2E72C" w14:textId="77777777" w:rsidR="00B07455" w:rsidRPr="00B07455" w:rsidRDefault="00B07455" w:rsidP="00B07455">
            <w:pPr>
              <w:spacing w:line="240" w:lineRule="auto"/>
              <w:jc w:val="center"/>
              <w:rPr>
                <w:color w:val="000000"/>
                <w:sz w:val="16"/>
                <w:szCs w:val="16"/>
              </w:rPr>
            </w:pPr>
            <w:r w:rsidRPr="00B07455">
              <w:rPr>
                <w:color w:val="000000"/>
              </w:rPr>
              <w:t>29.1</w:t>
            </w:r>
          </w:p>
        </w:tc>
        <w:tc>
          <w:tcPr>
            <w:tcW w:w="1155" w:type="dxa"/>
          </w:tcPr>
          <w:p w14:paraId="67CB569A" w14:textId="77777777" w:rsidR="00B07455" w:rsidRPr="00B07455" w:rsidRDefault="00B07455" w:rsidP="00B07455">
            <w:pPr>
              <w:spacing w:line="240" w:lineRule="auto"/>
              <w:jc w:val="center"/>
              <w:rPr>
                <w:color w:val="000000"/>
                <w:sz w:val="16"/>
                <w:szCs w:val="16"/>
              </w:rPr>
            </w:pPr>
            <w:r w:rsidRPr="00B07455">
              <w:rPr>
                <w:color w:val="000000"/>
              </w:rPr>
              <w:t>28.5</w:t>
            </w:r>
          </w:p>
        </w:tc>
      </w:tr>
      <w:tr w:rsidR="00B07455" w:rsidRPr="00B07455" w14:paraId="7FFF3C07" w14:textId="77777777" w:rsidTr="000525D5">
        <w:trPr>
          <w:trHeight w:val="340"/>
        </w:trPr>
        <w:tc>
          <w:tcPr>
            <w:tcW w:w="3680" w:type="dxa"/>
          </w:tcPr>
          <w:p w14:paraId="17A0E09F" w14:textId="77777777" w:rsidR="00B07455" w:rsidRPr="00B07455" w:rsidRDefault="00B07455" w:rsidP="00B07455">
            <w:pPr>
              <w:spacing w:line="240" w:lineRule="auto"/>
              <w:rPr>
                <w:b/>
                <w:bCs/>
                <w:color w:val="000000"/>
                <w:sz w:val="16"/>
                <w:szCs w:val="16"/>
              </w:rPr>
            </w:pPr>
            <w:r w:rsidRPr="00B07455">
              <w:rPr>
                <w:b/>
                <w:bCs/>
                <w:color w:val="000000"/>
              </w:rPr>
              <w:t>Total</w:t>
            </w:r>
          </w:p>
        </w:tc>
        <w:tc>
          <w:tcPr>
            <w:tcW w:w="1155" w:type="dxa"/>
          </w:tcPr>
          <w:p w14:paraId="11D5E2E5" w14:textId="73593F97" w:rsidR="00B07455" w:rsidRPr="00B07455" w:rsidRDefault="00B07455" w:rsidP="00B07455">
            <w:pPr>
              <w:spacing w:line="240" w:lineRule="auto"/>
              <w:jc w:val="center"/>
              <w:rPr>
                <w:b/>
                <w:bCs/>
                <w:color w:val="000000"/>
                <w:sz w:val="16"/>
                <w:szCs w:val="16"/>
              </w:rPr>
            </w:pPr>
            <w:r w:rsidRPr="00B07455">
              <w:rPr>
                <w:b/>
                <w:bCs/>
                <w:color w:val="000000"/>
              </w:rPr>
              <w:t>81.2</w:t>
            </w:r>
          </w:p>
        </w:tc>
        <w:tc>
          <w:tcPr>
            <w:tcW w:w="1155" w:type="dxa"/>
          </w:tcPr>
          <w:p w14:paraId="556E2855" w14:textId="77777777" w:rsidR="00B07455" w:rsidRPr="00B07455" w:rsidRDefault="00B07455" w:rsidP="00B07455">
            <w:pPr>
              <w:spacing w:line="240" w:lineRule="auto"/>
              <w:jc w:val="center"/>
              <w:rPr>
                <w:b/>
                <w:bCs/>
                <w:color w:val="000000"/>
                <w:sz w:val="16"/>
                <w:szCs w:val="16"/>
              </w:rPr>
            </w:pPr>
            <w:r w:rsidRPr="00B07455">
              <w:rPr>
                <w:b/>
                <w:bCs/>
                <w:color w:val="000000"/>
              </w:rPr>
              <w:t>78.2</w:t>
            </w:r>
          </w:p>
        </w:tc>
        <w:tc>
          <w:tcPr>
            <w:tcW w:w="1155" w:type="dxa"/>
          </w:tcPr>
          <w:p w14:paraId="7E0E271B" w14:textId="77777777" w:rsidR="00B07455" w:rsidRPr="00B07455" w:rsidRDefault="00B07455" w:rsidP="00B07455">
            <w:pPr>
              <w:spacing w:line="240" w:lineRule="auto"/>
              <w:jc w:val="center"/>
              <w:rPr>
                <w:b/>
                <w:bCs/>
                <w:color w:val="000000"/>
                <w:sz w:val="16"/>
                <w:szCs w:val="16"/>
              </w:rPr>
            </w:pPr>
            <w:r w:rsidRPr="00B07455">
              <w:rPr>
                <w:b/>
                <w:bCs/>
                <w:color w:val="000000"/>
              </w:rPr>
              <w:t>76.7</w:t>
            </w:r>
          </w:p>
        </w:tc>
      </w:tr>
    </w:tbl>
    <w:p w14:paraId="53924040" w14:textId="04E6CFAA" w:rsidR="00F42FF7" w:rsidRDefault="00F42FF7" w:rsidP="00506AC2"/>
    <w:p w14:paraId="3B50BBC5" w14:textId="4C37AF42" w:rsidR="00F42FF7" w:rsidRDefault="00F42FF7" w:rsidP="00110C58">
      <w:pPr>
        <w:pStyle w:val="Heading3"/>
      </w:pPr>
      <w:bookmarkStart w:id="44" w:name="_Toc176774934"/>
      <w:bookmarkStart w:id="45" w:name="_Toc176775317"/>
      <w:bookmarkStart w:id="46" w:name="_Toc212738612"/>
      <w:bookmarkStart w:id="47" w:name="_Toc213058506"/>
      <w:r>
        <w:t>Capital Investment</w:t>
      </w:r>
      <w:bookmarkEnd w:id="44"/>
      <w:bookmarkEnd w:id="45"/>
      <w:bookmarkEnd w:id="46"/>
      <w:bookmarkEnd w:id="47"/>
    </w:p>
    <w:tbl>
      <w:tblPr>
        <w:tblStyle w:val="TableGrid"/>
        <w:tblW w:w="0" w:type="auto"/>
        <w:tblLayout w:type="fixed"/>
        <w:tblLook w:val="0000" w:firstRow="0" w:lastRow="0" w:firstColumn="0" w:lastColumn="0" w:noHBand="0" w:noVBand="0"/>
      </w:tblPr>
      <w:tblGrid>
        <w:gridCol w:w="4815"/>
        <w:gridCol w:w="1134"/>
        <w:gridCol w:w="1134"/>
      </w:tblGrid>
      <w:tr w:rsidR="00B07455" w:rsidRPr="00B07455" w14:paraId="56C2DF06" w14:textId="77777777" w:rsidTr="00B07455">
        <w:trPr>
          <w:trHeight w:val="288"/>
        </w:trPr>
        <w:tc>
          <w:tcPr>
            <w:tcW w:w="4815" w:type="dxa"/>
          </w:tcPr>
          <w:p w14:paraId="734F0B69" w14:textId="77777777" w:rsidR="00B07455" w:rsidRPr="000525D5" w:rsidRDefault="00B07455" w:rsidP="00B07455">
            <w:pPr>
              <w:tabs>
                <w:tab w:val="left" w:pos="170"/>
              </w:tabs>
              <w:suppressAutoHyphens/>
              <w:autoSpaceDE w:val="0"/>
              <w:autoSpaceDN w:val="0"/>
              <w:adjustRightInd w:val="0"/>
              <w:spacing w:line="240" w:lineRule="atLeast"/>
              <w:textAlignment w:val="center"/>
              <w:rPr>
                <w:rFonts w:cs="Arial"/>
                <w:b/>
                <w:bCs/>
                <w:color w:val="000000"/>
              </w:rPr>
            </w:pPr>
            <w:r w:rsidRPr="000525D5">
              <w:rPr>
                <w:rFonts w:cs="Arial"/>
                <w:b/>
                <w:bCs/>
                <w:color w:val="000000" w:themeColor="text1"/>
              </w:rPr>
              <w:t>Capital expenditure</w:t>
            </w:r>
          </w:p>
        </w:tc>
        <w:tc>
          <w:tcPr>
            <w:tcW w:w="1134" w:type="dxa"/>
          </w:tcPr>
          <w:p w14:paraId="3A75B042" w14:textId="77777777" w:rsidR="00B07455" w:rsidRPr="000525D5" w:rsidRDefault="00B07455" w:rsidP="00B07455">
            <w:pPr>
              <w:tabs>
                <w:tab w:val="left" w:pos="170"/>
              </w:tabs>
              <w:suppressAutoHyphens/>
              <w:autoSpaceDE w:val="0"/>
              <w:autoSpaceDN w:val="0"/>
              <w:adjustRightInd w:val="0"/>
              <w:spacing w:line="240" w:lineRule="atLeast"/>
              <w:jc w:val="center"/>
              <w:textAlignment w:val="center"/>
              <w:rPr>
                <w:rFonts w:cs="Arial"/>
                <w:b/>
                <w:bCs/>
                <w:color w:val="000000" w:themeColor="text1"/>
              </w:rPr>
            </w:pPr>
            <w:r w:rsidRPr="000525D5">
              <w:rPr>
                <w:rFonts w:cs="Arial"/>
                <w:b/>
                <w:bCs/>
                <w:color w:val="000000" w:themeColor="text1"/>
              </w:rPr>
              <w:t>2025</w:t>
            </w:r>
          </w:p>
          <w:p w14:paraId="4FF7AA38" w14:textId="77777777" w:rsidR="00B07455" w:rsidRPr="000525D5" w:rsidRDefault="00B07455" w:rsidP="00B07455">
            <w:pPr>
              <w:tabs>
                <w:tab w:val="left" w:pos="170"/>
              </w:tabs>
              <w:suppressAutoHyphens/>
              <w:autoSpaceDE w:val="0"/>
              <w:autoSpaceDN w:val="0"/>
              <w:adjustRightInd w:val="0"/>
              <w:spacing w:line="240" w:lineRule="atLeast"/>
              <w:jc w:val="center"/>
              <w:textAlignment w:val="center"/>
              <w:rPr>
                <w:rFonts w:cs="Arial"/>
                <w:b/>
                <w:bCs/>
                <w:color w:val="000000" w:themeColor="text1"/>
              </w:rPr>
            </w:pPr>
            <w:r w:rsidRPr="000525D5">
              <w:rPr>
                <w:rFonts w:cs="Arial"/>
                <w:b/>
                <w:bCs/>
                <w:color w:val="000000" w:themeColor="text1"/>
              </w:rPr>
              <w:t>£m</w:t>
            </w:r>
          </w:p>
        </w:tc>
        <w:tc>
          <w:tcPr>
            <w:tcW w:w="1134" w:type="dxa"/>
          </w:tcPr>
          <w:p w14:paraId="6B4A02CE" w14:textId="77777777" w:rsidR="00B07455" w:rsidRPr="000525D5" w:rsidRDefault="00B07455" w:rsidP="00B07455">
            <w:pPr>
              <w:tabs>
                <w:tab w:val="left" w:pos="170"/>
              </w:tabs>
              <w:suppressAutoHyphens/>
              <w:autoSpaceDE w:val="0"/>
              <w:autoSpaceDN w:val="0"/>
              <w:adjustRightInd w:val="0"/>
              <w:spacing w:line="240" w:lineRule="atLeast"/>
              <w:jc w:val="center"/>
              <w:textAlignment w:val="center"/>
              <w:rPr>
                <w:rFonts w:cs="Arial"/>
                <w:b/>
                <w:bCs/>
                <w:color w:val="000000" w:themeColor="text1"/>
              </w:rPr>
            </w:pPr>
            <w:r w:rsidRPr="000525D5">
              <w:rPr>
                <w:rFonts w:cs="Arial"/>
                <w:b/>
                <w:bCs/>
                <w:color w:val="000000" w:themeColor="text1"/>
              </w:rPr>
              <w:t>2024</w:t>
            </w:r>
          </w:p>
          <w:p w14:paraId="115A7839" w14:textId="77777777" w:rsidR="00B07455" w:rsidRPr="000525D5" w:rsidRDefault="00B07455" w:rsidP="00B07455">
            <w:pPr>
              <w:tabs>
                <w:tab w:val="left" w:pos="170"/>
              </w:tabs>
              <w:suppressAutoHyphens/>
              <w:autoSpaceDE w:val="0"/>
              <w:autoSpaceDN w:val="0"/>
              <w:adjustRightInd w:val="0"/>
              <w:spacing w:line="240" w:lineRule="atLeast"/>
              <w:jc w:val="center"/>
              <w:textAlignment w:val="center"/>
              <w:rPr>
                <w:rFonts w:cs="Arial"/>
                <w:b/>
                <w:bCs/>
                <w:color w:val="000000" w:themeColor="text1"/>
              </w:rPr>
            </w:pPr>
            <w:r w:rsidRPr="000525D5">
              <w:rPr>
                <w:rFonts w:cs="Arial"/>
                <w:b/>
                <w:bCs/>
                <w:color w:val="000000" w:themeColor="text1"/>
              </w:rPr>
              <w:t>£m</w:t>
            </w:r>
          </w:p>
        </w:tc>
      </w:tr>
      <w:tr w:rsidR="00B07455" w:rsidRPr="00B07455" w14:paraId="2D15599D" w14:textId="77777777" w:rsidTr="000525D5">
        <w:trPr>
          <w:trHeight w:val="340"/>
        </w:trPr>
        <w:tc>
          <w:tcPr>
            <w:tcW w:w="4815" w:type="dxa"/>
          </w:tcPr>
          <w:p w14:paraId="0CF2CB7D"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color w:val="000000"/>
              </w:rPr>
              <w:t>Buses/Coaches</w:t>
            </w:r>
          </w:p>
        </w:tc>
        <w:tc>
          <w:tcPr>
            <w:tcW w:w="1134" w:type="dxa"/>
          </w:tcPr>
          <w:p w14:paraId="597539E0" w14:textId="2B7C151F"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23.3</w:t>
            </w:r>
          </w:p>
        </w:tc>
        <w:tc>
          <w:tcPr>
            <w:tcW w:w="1134" w:type="dxa"/>
          </w:tcPr>
          <w:p w14:paraId="013A1A73"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14.0</w:t>
            </w:r>
          </w:p>
        </w:tc>
      </w:tr>
      <w:tr w:rsidR="00B07455" w:rsidRPr="00B07455" w14:paraId="64AC8A61" w14:textId="77777777" w:rsidTr="000525D5">
        <w:trPr>
          <w:trHeight w:val="340"/>
        </w:trPr>
        <w:tc>
          <w:tcPr>
            <w:tcW w:w="4815" w:type="dxa"/>
          </w:tcPr>
          <w:p w14:paraId="271B997B"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color w:val="000000"/>
              </w:rPr>
              <w:t>Trains</w:t>
            </w:r>
          </w:p>
        </w:tc>
        <w:tc>
          <w:tcPr>
            <w:tcW w:w="1134" w:type="dxa"/>
          </w:tcPr>
          <w:p w14:paraId="68DBC090"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16.2</w:t>
            </w:r>
          </w:p>
        </w:tc>
        <w:tc>
          <w:tcPr>
            <w:tcW w:w="1134" w:type="dxa"/>
          </w:tcPr>
          <w:p w14:paraId="51773156"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16.8</w:t>
            </w:r>
          </w:p>
        </w:tc>
      </w:tr>
      <w:tr w:rsidR="00B07455" w:rsidRPr="00B07455" w14:paraId="1C62DA52" w14:textId="77777777" w:rsidTr="000525D5">
        <w:trPr>
          <w:trHeight w:val="340"/>
        </w:trPr>
        <w:tc>
          <w:tcPr>
            <w:tcW w:w="4815" w:type="dxa"/>
          </w:tcPr>
          <w:p w14:paraId="4A4598C8"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color w:val="000000"/>
              </w:rPr>
              <w:t>Infrastructure</w:t>
            </w:r>
          </w:p>
        </w:tc>
        <w:tc>
          <w:tcPr>
            <w:tcW w:w="1134" w:type="dxa"/>
          </w:tcPr>
          <w:p w14:paraId="6B031FEC"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62.0</w:t>
            </w:r>
          </w:p>
        </w:tc>
        <w:tc>
          <w:tcPr>
            <w:tcW w:w="1134" w:type="dxa"/>
          </w:tcPr>
          <w:p w14:paraId="71EC96D2"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108.8</w:t>
            </w:r>
          </w:p>
        </w:tc>
      </w:tr>
      <w:tr w:rsidR="00B07455" w:rsidRPr="00B07455" w14:paraId="441C3B07" w14:textId="77777777" w:rsidTr="000525D5">
        <w:trPr>
          <w:trHeight w:val="340"/>
        </w:trPr>
        <w:tc>
          <w:tcPr>
            <w:tcW w:w="4815" w:type="dxa"/>
          </w:tcPr>
          <w:p w14:paraId="175E4226"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color w:val="000000"/>
              </w:rPr>
              <w:t>Land and buildings</w:t>
            </w:r>
          </w:p>
        </w:tc>
        <w:tc>
          <w:tcPr>
            <w:tcW w:w="1134" w:type="dxa"/>
          </w:tcPr>
          <w:p w14:paraId="161C74CA" w14:textId="52431190"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126.3</w:t>
            </w:r>
          </w:p>
        </w:tc>
        <w:tc>
          <w:tcPr>
            <w:tcW w:w="1134" w:type="dxa"/>
          </w:tcPr>
          <w:p w14:paraId="5CB919B6"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117.1</w:t>
            </w:r>
          </w:p>
        </w:tc>
      </w:tr>
      <w:tr w:rsidR="00B07455" w:rsidRPr="00B07455" w14:paraId="3EAE429B" w14:textId="77777777" w:rsidTr="000525D5">
        <w:trPr>
          <w:trHeight w:val="340"/>
        </w:trPr>
        <w:tc>
          <w:tcPr>
            <w:tcW w:w="4815" w:type="dxa"/>
          </w:tcPr>
          <w:p w14:paraId="0A114234"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color w:val="000000"/>
              </w:rPr>
              <w:t>Other</w:t>
            </w:r>
          </w:p>
        </w:tc>
        <w:tc>
          <w:tcPr>
            <w:tcW w:w="1134" w:type="dxa"/>
          </w:tcPr>
          <w:p w14:paraId="53258361"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21.7</w:t>
            </w:r>
          </w:p>
        </w:tc>
        <w:tc>
          <w:tcPr>
            <w:tcW w:w="1134" w:type="dxa"/>
          </w:tcPr>
          <w:p w14:paraId="612E0CCF"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color w:val="000000"/>
              </w:rPr>
              <w:t>18.8</w:t>
            </w:r>
          </w:p>
        </w:tc>
      </w:tr>
      <w:tr w:rsidR="00B07455" w:rsidRPr="00B07455" w14:paraId="5A088034" w14:textId="77777777" w:rsidTr="000525D5">
        <w:trPr>
          <w:trHeight w:val="340"/>
        </w:trPr>
        <w:tc>
          <w:tcPr>
            <w:tcW w:w="4815" w:type="dxa"/>
          </w:tcPr>
          <w:p w14:paraId="3E3E133E" w14:textId="77777777" w:rsidR="00B07455" w:rsidRPr="00B07455" w:rsidRDefault="00B07455" w:rsidP="00B07455">
            <w:pPr>
              <w:tabs>
                <w:tab w:val="left" w:pos="170"/>
              </w:tabs>
              <w:suppressAutoHyphens/>
              <w:autoSpaceDE w:val="0"/>
              <w:autoSpaceDN w:val="0"/>
              <w:adjustRightInd w:val="0"/>
              <w:spacing w:line="240" w:lineRule="atLeast"/>
              <w:textAlignment w:val="center"/>
              <w:rPr>
                <w:rFonts w:cs="Arial"/>
                <w:color w:val="000000"/>
              </w:rPr>
            </w:pPr>
            <w:r w:rsidRPr="00B07455">
              <w:rPr>
                <w:rFonts w:cs="Arial"/>
                <w:b/>
                <w:bCs/>
                <w:color w:val="000000"/>
              </w:rPr>
              <w:t>Total</w:t>
            </w:r>
          </w:p>
        </w:tc>
        <w:tc>
          <w:tcPr>
            <w:tcW w:w="1134" w:type="dxa"/>
          </w:tcPr>
          <w:p w14:paraId="6E7510AE"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b/>
                <w:bCs/>
                <w:color w:val="000000"/>
              </w:rPr>
              <w:t>249.5</w:t>
            </w:r>
          </w:p>
        </w:tc>
        <w:tc>
          <w:tcPr>
            <w:tcW w:w="1134" w:type="dxa"/>
          </w:tcPr>
          <w:p w14:paraId="1C0DD747" w14:textId="77777777" w:rsidR="00B07455" w:rsidRPr="00B07455" w:rsidRDefault="00B07455" w:rsidP="00B07455">
            <w:pPr>
              <w:tabs>
                <w:tab w:val="left" w:pos="170"/>
              </w:tabs>
              <w:suppressAutoHyphens/>
              <w:autoSpaceDE w:val="0"/>
              <w:autoSpaceDN w:val="0"/>
              <w:adjustRightInd w:val="0"/>
              <w:spacing w:line="240" w:lineRule="atLeast"/>
              <w:jc w:val="center"/>
              <w:textAlignment w:val="center"/>
              <w:rPr>
                <w:rFonts w:cs="Arial"/>
                <w:color w:val="000000"/>
              </w:rPr>
            </w:pPr>
            <w:r w:rsidRPr="00B07455">
              <w:rPr>
                <w:rFonts w:cs="Arial"/>
                <w:b/>
                <w:bCs/>
                <w:color w:val="000000"/>
              </w:rPr>
              <w:t>275.5</w:t>
            </w:r>
          </w:p>
        </w:tc>
      </w:tr>
    </w:tbl>
    <w:p w14:paraId="39ABC01E" w14:textId="77777777" w:rsidR="00B07455" w:rsidRPr="00B07455" w:rsidRDefault="00B07455" w:rsidP="00B07455">
      <w:pPr>
        <w:rPr>
          <w:rFonts w:cs="Arial"/>
        </w:rPr>
      </w:pPr>
    </w:p>
    <w:p w14:paraId="0F4B4C2C" w14:textId="689949A2" w:rsidR="00F42FF7" w:rsidRPr="00B07455" w:rsidRDefault="00F42FF7" w:rsidP="00B07455">
      <w:pPr>
        <w:rPr>
          <w:rFonts w:cs="Arial"/>
        </w:rPr>
      </w:pPr>
    </w:p>
    <w:p w14:paraId="39E52A2A" w14:textId="3A1FC85A" w:rsidR="00B07455" w:rsidRPr="00B07455" w:rsidRDefault="00B07455" w:rsidP="00B07455">
      <w:pPr>
        <w:rPr>
          <w:rFonts w:cs="Arial"/>
          <w:color w:val="000000"/>
        </w:rPr>
      </w:pPr>
      <w:r w:rsidRPr="00B07455">
        <w:rPr>
          <w:rFonts w:cs="Arial"/>
          <w:color w:val="000000"/>
        </w:rPr>
        <w:t xml:space="preserve">The investment in buses/coaches of £23.3m relates to the completion of the deliveries of the phase 3 order for 100 Zero Emission for the </w:t>
      </w:r>
      <w:proofErr w:type="spellStart"/>
      <w:r w:rsidRPr="00B07455">
        <w:rPr>
          <w:rFonts w:cs="Arial"/>
          <w:color w:val="000000"/>
        </w:rPr>
        <w:t>Ulsterbus</w:t>
      </w:r>
      <w:proofErr w:type="spellEnd"/>
      <w:r w:rsidRPr="00B07455">
        <w:rPr>
          <w:rFonts w:cs="Arial"/>
          <w:color w:val="000000"/>
        </w:rPr>
        <w:t xml:space="preserve"> (40) and Metro (60) networks. Feasibility work commenced for the phase 4 zero emission order and there was also Bus Fleet Asset Renewal works completed.</w:t>
      </w:r>
    </w:p>
    <w:p w14:paraId="278F71F7" w14:textId="77777777" w:rsidR="00B07455" w:rsidRPr="00B07455" w:rsidRDefault="00B07455" w:rsidP="00B07455">
      <w:pPr>
        <w:rPr>
          <w:rFonts w:cs="Arial"/>
          <w:color w:val="000000"/>
        </w:rPr>
      </w:pPr>
      <w:r w:rsidRPr="00B07455">
        <w:rPr>
          <w:rFonts w:cs="Arial"/>
          <w:color w:val="000000"/>
        </w:rPr>
        <w:t xml:space="preserve"> </w:t>
      </w:r>
    </w:p>
    <w:p w14:paraId="4513C900" w14:textId="77777777" w:rsidR="00B07455" w:rsidRPr="00B07455" w:rsidRDefault="00B07455" w:rsidP="00B07455">
      <w:pPr>
        <w:rPr>
          <w:rFonts w:cs="Arial"/>
          <w:color w:val="000000"/>
        </w:rPr>
      </w:pPr>
      <w:r w:rsidRPr="00B07455">
        <w:rPr>
          <w:rFonts w:cs="Arial"/>
          <w:color w:val="000000"/>
        </w:rPr>
        <w:t xml:space="preserve">Expenditure of £16.2m on trains relates to the overhaul of the Class 3000, Class 4000 and Enterprise trains, the progression of the Class 3000 and 4000 Mid Life Refresh projects and the progression of the Enterprise Fleet Replacement project which is a joint project with Iarnród </w:t>
      </w:r>
      <w:proofErr w:type="gramStart"/>
      <w:r w:rsidRPr="00B07455">
        <w:rPr>
          <w:rFonts w:cs="Arial"/>
          <w:color w:val="000000"/>
        </w:rPr>
        <w:t>Éireann</w:t>
      </w:r>
      <w:proofErr w:type="gramEnd"/>
      <w:r w:rsidRPr="00B07455">
        <w:rPr>
          <w:rFonts w:cs="Arial"/>
          <w:color w:val="000000"/>
        </w:rPr>
        <w:t xml:space="preserve"> and which is being supported by </w:t>
      </w:r>
      <w:proofErr w:type="spellStart"/>
      <w:r w:rsidRPr="00B07455">
        <w:rPr>
          <w:rFonts w:cs="Arial"/>
          <w:color w:val="000000"/>
        </w:rPr>
        <w:t>PeacePlus</w:t>
      </w:r>
      <w:proofErr w:type="spellEnd"/>
      <w:r w:rsidRPr="00B07455">
        <w:rPr>
          <w:rFonts w:cs="Arial"/>
          <w:color w:val="000000"/>
        </w:rPr>
        <w:t xml:space="preserve"> funding from the EU.</w:t>
      </w:r>
    </w:p>
    <w:p w14:paraId="2312EEA7" w14:textId="77777777" w:rsidR="00B07455" w:rsidRPr="00B07455" w:rsidRDefault="00B07455" w:rsidP="00B07455">
      <w:pPr>
        <w:rPr>
          <w:rFonts w:cs="Arial"/>
          <w:color w:val="000000"/>
        </w:rPr>
      </w:pPr>
      <w:r w:rsidRPr="00B07455">
        <w:rPr>
          <w:rFonts w:cs="Arial"/>
          <w:color w:val="000000"/>
        </w:rPr>
        <w:t xml:space="preserve"> </w:t>
      </w:r>
    </w:p>
    <w:p w14:paraId="32670912" w14:textId="77777777" w:rsidR="000525D5" w:rsidRDefault="000525D5">
      <w:pPr>
        <w:spacing w:line="240" w:lineRule="auto"/>
        <w:rPr>
          <w:rFonts w:cs="Arial"/>
          <w:color w:val="000000"/>
        </w:rPr>
      </w:pPr>
      <w:r>
        <w:rPr>
          <w:rFonts w:cs="Arial"/>
          <w:color w:val="000000"/>
        </w:rPr>
        <w:br w:type="page"/>
      </w:r>
    </w:p>
    <w:p w14:paraId="285A347E" w14:textId="1EB8CB96" w:rsidR="00B07455" w:rsidRPr="00B07455" w:rsidRDefault="00B07455" w:rsidP="00B07455">
      <w:pPr>
        <w:rPr>
          <w:rFonts w:cs="Arial"/>
          <w:color w:val="000000"/>
        </w:rPr>
      </w:pPr>
      <w:r w:rsidRPr="00B07455">
        <w:rPr>
          <w:rFonts w:cs="Arial"/>
          <w:color w:val="000000"/>
        </w:rPr>
        <w:lastRenderedPageBreak/>
        <w:t xml:space="preserve">Infrastructure expenditure of £62.0m includes £12.2m on Rail systems in support of Belfast Grand Central Station, £9.2m on Northern Ireland Rail Operating Centre Phase 1 (NIROC), £6.4m on Track Condition Retention and Off Track Improvement works, £4.2m on Coleraine to </w:t>
      </w:r>
      <w:proofErr w:type="spellStart"/>
      <w:r w:rsidRPr="00B07455">
        <w:rPr>
          <w:rFonts w:cs="Arial"/>
          <w:color w:val="000000"/>
        </w:rPr>
        <w:t>Derry~Londonderry</w:t>
      </w:r>
      <w:proofErr w:type="spellEnd"/>
      <w:r w:rsidRPr="00B07455">
        <w:rPr>
          <w:rFonts w:cs="Arial"/>
          <w:color w:val="000000"/>
        </w:rPr>
        <w:t xml:space="preserve"> Track Renewals Phase 3, £3.2m on Dargan to </w:t>
      </w:r>
      <w:proofErr w:type="spellStart"/>
      <w:r w:rsidRPr="00B07455">
        <w:rPr>
          <w:rFonts w:cs="Arial"/>
          <w:color w:val="000000"/>
        </w:rPr>
        <w:t>Yorkgate</w:t>
      </w:r>
      <w:proofErr w:type="spellEnd"/>
      <w:r w:rsidRPr="00B07455">
        <w:rPr>
          <w:rFonts w:cs="Arial"/>
          <w:color w:val="000000"/>
        </w:rPr>
        <w:t xml:space="preserve"> Track Renewals, £2.8m on the Minor Bridge Works Programme and £1.8m on Structures Examination and Assessment Programme, and other infrastructure improvements. </w:t>
      </w:r>
    </w:p>
    <w:p w14:paraId="279C859D" w14:textId="77777777" w:rsidR="00B07455" w:rsidRPr="00B07455" w:rsidRDefault="00B07455" w:rsidP="00B07455">
      <w:pPr>
        <w:rPr>
          <w:rFonts w:cs="Arial"/>
          <w:color w:val="000000"/>
        </w:rPr>
      </w:pPr>
      <w:r w:rsidRPr="00B07455">
        <w:rPr>
          <w:rFonts w:cs="Arial"/>
          <w:color w:val="000000"/>
        </w:rPr>
        <w:t xml:space="preserve"> </w:t>
      </w:r>
    </w:p>
    <w:p w14:paraId="3ABEA895" w14:textId="42BC7FC9" w:rsidR="00B07455" w:rsidRPr="00B07455" w:rsidRDefault="00B07455" w:rsidP="00B07455">
      <w:pPr>
        <w:rPr>
          <w:rFonts w:cs="Arial"/>
          <w:color w:val="000000"/>
        </w:rPr>
      </w:pPr>
      <w:r w:rsidRPr="00B07455">
        <w:rPr>
          <w:rFonts w:cs="Arial"/>
          <w:color w:val="000000"/>
        </w:rPr>
        <w:t xml:space="preserve">The investment in land and buildings of £126.3m includes significant expenditure on Belfast Grand Central Station (£77.2m), £5.7m on Lisburn Area Renewals and York Street Station Redevelopment (£4.2m), the infrastructure works to support the introduction of the Zero Emission Buses in Metro, Foyle Metro and other </w:t>
      </w:r>
      <w:proofErr w:type="spellStart"/>
      <w:r w:rsidRPr="00B07455">
        <w:rPr>
          <w:rFonts w:cs="Arial"/>
          <w:color w:val="000000"/>
        </w:rPr>
        <w:t>Ulsterbus</w:t>
      </w:r>
      <w:proofErr w:type="spellEnd"/>
      <w:r w:rsidRPr="00B07455">
        <w:rPr>
          <w:rFonts w:cs="Arial"/>
          <w:color w:val="000000"/>
        </w:rPr>
        <w:t xml:space="preserve"> sites (£16.8m), Platform Extensions at Adelaide, Platform &amp; Station Signage Structural Remedial Works, Platform Strengthening at Coleraine, University, Tree Management, Lineside Fencing and other enhancements were progressed. Land was also purchased to allow for the expansion of the park and ride facilities at Ballymoney. </w:t>
      </w:r>
    </w:p>
    <w:p w14:paraId="3F564015" w14:textId="77777777" w:rsidR="00B07455" w:rsidRPr="00B07455" w:rsidRDefault="00B07455" w:rsidP="00B07455">
      <w:pPr>
        <w:rPr>
          <w:rFonts w:cs="Arial"/>
          <w:color w:val="000000"/>
        </w:rPr>
      </w:pPr>
      <w:r w:rsidRPr="00B07455">
        <w:rPr>
          <w:rFonts w:cs="Arial"/>
          <w:color w:val="000000"/>
        </w:rPr>
        <w:t xml:space="preserve"> </w:t>
      </w:r>
    </w:p>
    <w:p w14:paraId="7100EA66" w14:textId="6AE54B4E" w:rsidR="005D3DB3" w:rsidRPr="00B07455" w:rsidRDefault="00B07455" w:rsidP="00B07455">
      <w:pPr>
        <w:rPr>
          <w:rFonts w:cs="Arial"/>
          <w:color w:val="000000"/>
        </w:rPr>
      </w:pPr>
      <w:r w:rsidRPr="00B07455">
        <w:rPr>
          <w:rFonts w:cs="Arial"/>
          <w:color w:val="000000"/>
        </w:rPr>
        <w:t xml:space="preserve">Other projects being progressed during the year include £1.9m on the Replacement of Rail Validation System, £1.7m on Emergency Lighting Upgrade, £1.3m on charging equipment for the Zero Emission Buses for Metro and </w:t>
      </w:r>
      <w:proofErr w:type="spellStart"/>
      <w:r w:rsidRPr="00B07455">
        <w:rPr>
          <w:rFonts w:cs="Arial"/>
          <w:color w:val="000000"/>
        </w:rPr>
        <w:t>Ulsterbus</w:t>
      </w:r>
      <w:proofErr w:type="spellEnd"/>
      <w:r w:rsidRPr="00B07455">
        <w:rPr>
          <w:rFonts w:cs="Arial"/>
          <w:color w:val="000000"/>
        </w:rPr>
        <w:t>, £1.2m on the Future Ticketing System, £1.1m on Replacement App Platform, £0.9m on the Cross Border Digital Improvements, £0.9m on Electrical System Replacement at NIR Halts and £0.8m on CESCC – Operational Telephone System Upgrade. In addition, a 5G CCTV Centralised System was installed and funded by the Belfast 5G Innovation Region Programme.</w:t>
      </w:r>
    </w:p>
    <w:p w14:paraId="11D9A827" w14:textId="77777777" w:rsidR="00B07455" w:rsidRDefault="00B07455" w:rsidP="00B07455"/>
    <w:p w14:paraId="76EB1F03" w14:textId="77777777" w:rsidR="00BB4C99" w:rsidRDefault="005D3DB3" w:rsidP="00110C58">
      <w:pPr>
        <w:pStyle w:val="Heading3"/>
      </w:pPr>
      <w:bookmarkStart w:id="48" w:name="_Toc212738613"/>
      <w:bookmarkStart w:id="49" w:name="_Toc176774935"/>
      <w:bookmarkStart w:id="50" w:name="_Toc176775318"/>
      <w:bookmarkStart w:id="51" w:name="_Toc213058507"/>
      <w:r w:rsidRPr="005D3DB3">
        <w:t>Key Performance Indicators (KPIs)</w:t>
      </w:r>
      <w:bookmarkEnd w:id="48"/>
      <w:bookmarkEnd w:id="51"/>
    </w:p>
    <w:tbl>
      <w:tblPr>
        <w:tblStyle w:val="TableGrid"/>
        <w:tblW w:w="0" w:type="auto"/>
        <w:tblLayout w:type="fixed"/>
        <w:tblLook w:val="0000" w:firstRow="0" w:lastRow="0" w:firstColumn="0" w:lastColumn="0" w:noHBand="0" w:noVBand="0"/>
      </w:tblPr>
      <w:tblGrid>
        <w:gridCol w:w="4531"/>
        <w:gridCol w:w="1276"/>
        <w:gridCol w:w="1276"/>
      </w:tblGrid>
      <w:tr w:rsidR="00BB4C99" w:rsidRPr="00BB4C99" w14:paraId="0D49E606" w14:textId="77777777" w:rsidTr="00BB4C99">
        <w:trPr>
          <w:trHeight w:val="340"/>
        </w:trPr>
        <w:tc>
          <w:tcPr>
            <w:tcW w:w="4531" w:type="dxa"/>
            <w:vAlign w:val="center"/>
          </w:tcPr>
          <w:p w14:paraId="35B0AB40" w14:textId="77777777" w:rsidR="00BB4C99" w:rsidRPr="00BB4C99" w:rsidRDefault="00BB4C99" w:rsidP="00BB4C99">
            <w:pPr>
              <w:spacing w:line="240" w:lineRule="auto"/>
            </w:pPr>
          </w:p>
        </w:tc>
        <w:tc>
          <w:tcPr>
            <w:tcW w:w="1276" w:type="dxa"/>
            <w:vAlign w:val="center"/>
          </w:tcPr>
          <w:p w14:paraId="6F661162" w14:textId="184C4CB4" w:rsidR="00BB4C99" w:rsidRPr="00BB4C99" w:rsidRDefault="00BB4C99" w:rsidP="00BB4C99">
            <w:pPr>
              <w:spacing w:line="240" w:lineRule="auto"/>
              <w:rPr>
                <w:rFonts w:cs="Axiforma"/>
                <w:b/>
                <w:bCs/>
                <w:color w:val="000000" w:themeColor="text1"/>
              </w:rPr>
            </w:pPr>
            <w:r w:rsidRPr="00BB4C99">
              <w:rPr>
                <w:rFonts w:cs="Axiforma"/>
                <w:b/>
                <w:bCs/>
                <w:color w:val="000000" w:themeColor="text1"/>
              </w:rPr>
              <w:t>2025</w:t>
            </w:r>
          </w:p>
        </w:tc>
        <w:tc>
          <w:tcPr>
            <w:tcW w:w="1276" w:type="dxa"/>
            <w:vAlign w:val="center"/>
          </w:tcPr>
          <w:p w14:paraId="39B5C4C1" w14:textId="77777777" w:rsidR="00BB4C99" w:rsidRPr="00BB4C99" w:rsidRDefault="00BB4C99" w:rsidP="00BB4C99">
            <w:pPr>
              <w:spacing w:line="240" w:lineRule="auto"/>
              <w:rPr>
                <w:color w:val="000000" w:themeColor="text1"/>
              </w:rPr>
            </w:pPr>
            <w:r w:rsidRPr="00BB4C99">
              <w:rPr>
                <w:rFonts w:cs="Axiforma"/>
                <w:b/>
                <w:bCs/>
                <w:color w:val="000000" w:themeColor="text1"/>
              </w:rPr>
              <w:t>2024</w:t>
            </w:r>
          </w:p>
        </w:tc>
      </w:tr>
      <w:tr w:rsidR="00BB4C99" w:rsidRPr="00BB4C99" w14:paraId="72AAC2BF" w14:textId="77777777" w:rsidTr="00BB4C99">
        <w:trPr>
          <w:trHeight w:val="340"/>
        </w:trPr>
        <w:tc>
          <w:tcPr>
            <w:tcW w:w="4531" w:type="dxa"/>
            <w:vAlign w:val="center"/>
          </w:tcPr>
          <w:p w14:paraId="670A39B6" w14:textId="77777777" w:rsidR="00BB4C99" w:rsidRPr="00BB4C99" w:rsidRDefault="00BB4C99" w:rsidP="000525D5">
            <w:pPr>
              <w:spacing w:line="240" w:lineRule="auto"/>
              <w:rPr>
                <w:color w:val="000000"/>
              </w:rPr>
            </w:pPr>
            <w:r w:rsidRPr="00BB4C99">
              <w:rPr>
                <w:rFonts w:cs="Axiforma"/>
                <w:color w:val="000000"/>
              </w:rPr>
              <w:t>Fleet size:</w:t>
            </w:r>
          </w:p>
        </w:tc>
        <w:tc>
          <w:tcPr>
            <w:tcW w:w="1276" w:type="dxa"/>
            <w:vAlign w:val="center"/>
          </w:tcPr>
          <w:p w14:paraId="0E54EA8A" w14:textId="77777777" w:rsidR="00BB4C99" w:rsidRPr="00BB4C99" w:rsidRDefault="00BB4C99" w:rsidP="000525D5">
            <w:pPr>
              <w:spacing w:line="240" w:lineRule="auto"/>
            </w:pPr>
          </w:p>
        </w:tc>
        <w:tc>
          <w:tcPr>
            <w:tcW w:w="1276" w:type="dxa"/>
            <w:vAlign w:val="center"/>
          </w:tcPr>
          <w:p w14:paraId="6AB6676D" w14:textId="77777777" w:rsidR="00BB4C99" w:rsidRPr="00BB4C99" w:rsidRDefault="00BB4C99" w:rsidP="000525D5">
            <w:pPr>
              <w:spacing w:line="240" w:lineRule="auto"/>
            </w:pPr>
          </w:p>
        </w:tc>
      </w:tr>
      <w:tr w:rsidR="00BB4C99" w:rsidRPr="00BB4C99" w14:paraId="55C410A7" w14:textId="77777777" w:rsidTr="00BB4C99">
        <w:trPr>
          <w:trHeight w:val="340"/>
        </w:trPr>
        <w:tc>
          <w:tcPr>
            <w:tcW w:w="4531" w:type="dxa"/>
            <w:vAlign w:val="center"/>
          </w:tcPr>
          <w:p w14:paraId="1BFE06C9" w14:textId="77777777" w:rsidR="00BB4C99" w:rsidRPr="00BB4C99" w:rsidRDefault="00BB4C99" w:rsidP="000525D5">
            <w:pPr>
              <w:spacing w:line="240" w:lineRule="auto"/>
              <w:rPr>
                <w:color w:val="000000"/>
              </w:rPr>
            </w:pPr>
            <w:r w:rsidRPr="00BB4C99">
              <w:rPr>
                <w:rFonts w:cs="Axiforma"/>
                <w:color w:val="000000"/>
              </w:rPr>
              <w:t>Buses/coaches</w:t>
            </w:r>
          </w:p>
        </w:tc>
        <w:tc>
          <w:tcPr>
            <w:tcW w:w="1276" w:type="dxa"/>
            <w:vAlign w:val="center"/>
          </w:tcPr>
          <w:p w14:paraId="7B5707FC" w14:textId="77777777" w:rsidR="00BB4C99" w:rsidRPr="00BB4C99" w:rsidRDefault="00BB4C99" w:rsidP="000525D5">
            <w:pPr>
              <w:spacing w:line="240" w:lineRule="auto"/>
              <w:rPr>
                <w:color w:val="000000"/>
              </w:rPr>
            </w:pPr>
            <w:r w:rsidRPr="00BB4C99">
              <w:rPr>
                <w:rFonts w:cs="Axiforma"/>
                <w:color w:val="000000"/>
              </w:rPr>
              <w:t>1,405</w:t>
            </w:r>
          </w:p>
        </w:tc>
        <w:tc>
          <w:tcPr>
            <w:tcW w:w="1276" w:type="dxa"/>
            <w:vAlign w:val="center"/>
          </w:tcPr>
          <w:p w14:paraId="54DA4CE0" w14:textId="77777777" w:rsidR="00BB4C99" w:rsidRPr="00BB4C99" w:rsidRDefault="00BB4C99" w:rsidP="000525D5">
            <w:pPr>
              <w:spacing w:line="240" w:lineRule="auto"/>
              <w:rPr>
                <w:color w:val="000000"/>
              </w:rPr>
            </w:pPr>
            <w:r w:rsidRPr="00BB4C99">
              <w:rPr>
                <w:rFonts w:cs="Axiforma"/>
                <w:color w:val="000000"/>
              </w:rPr>
              <w:t>1,358</w:t>
            </w:r>
          </w:p>
        </w:tc>
      </w:tr>
      <w:tr w:rsidR="00BB4C99" w:rsidRPr="00BB4C99" w14:paraId="71CF5417" w14:textId="77777777" w:rsidTr="00BB4C99">
        <w:trPr>
          <w:trHeight w:val="340"/>
        </w:trPr>
        <w:tc>
          <w:tcPr>
            <w:tcW w:w="4531" w:type="dxa"/>
            <w:vAlign w:val="center"/>
          </w:tcPr>
          <w:p w14:paraId="5DBFCA5B" w14:textId="77777777" w:rsidR="00BB4C99" w:rsidRPr="00BB4C99" w:rsidRDefault="00BB4C99" w:rsidP="000525D5">
            <w:pPr>
              <w:spacing w:line="240" w:lineRule="auto"/>
              <w:rPr>
                <w:color w:val="000000"/>
              </w:rPr>
            </w:pPr>
            <w:r w:rsidRPr="00BB4C99">
              <w:rPr>
                <w:rFonts w:cs="Axiforma"/>
                <w:color w:val="000000"/>
              </w:rPr>
              <w:t>Gliders</w:t>
            </w:r>
          </w:p>
        </w:tc>
        <w:tc>
          <w:tcPr>
            <w:tcW w:w="1276" w:type="dxa"/>
            <w:vAlign w:val="center"/>
          </w:tcPr>
          <w:p w14:paraId="21C2F048" w14:textId="77777777" w:rsidR="00BB4C99" w:rsidRPr="00BB4C99" w:rsidRDefault="00BB4C99" w:rsidP="000525D5">
            <w:pPr>
              <w:spacing w:line="240" w:lineRule="auto"/>
              <w:rPr>
                <w:color w:val="000000"/>
              </w:rPr>
            </w:pPr>
            <w:r w:rsidRPr="00BB4C99">
              <w:rPr>
                <w:rFonts w:cs="Axiforma"/>
                <w:color w:val="000000"/>
              </w:rPr>
              <w:t>34</w:t>
            </w:r>
          </w:p>
        </w:tc>
        <w:tc>
          <w:tcPr>
            <w:tcW w:w="1276" w:type="dxa"/>
            <w:vAlign w:val="center"/>
          </w:tcPr>
          <w:p w14:paraId="4E88D139" w14:textId="77777777" w:rsidR="00BB4C99" w:rsidRPr="00BB4C99" w:rsidRDefault="00BB4C99" w:rsidP="000525D5">
            <w:pPr>
              <w:spacing w:line="240" w:lineRule="auto"/>
              <w:rPr>
                <w:color w:val="000000"/>
              </w:rPr>
            </w:pPr>
            <w:r w:rsidRPr="00BB4C99">
              <w:rPr>
                <w:rFonts w:cs="Axiforma"/>
                <w:color w:val="000000"/>
              </w:rPr>
              <w:t>34</w:t>
            </w:r>
          </w:p>
        </w:tc>
      </w:tr>
      <w:tr w:rsidR="00BB4C99" w:rsidRPr="00BB4C99" w14:paraId="6D41D08A" w14:textId="77777777" w:rsidTr="00BB4C99">
        <w:trPr>
          <w:trHeight w:val="340"/>
        </w:trPr>
        <w:tc>
          <w:tcPr>
            <w:tcW w:w="4531" w:type="dxa"/>
            <w:vAlign w:val="center"/>
          </w:tcPr>
          <w:p w14:paraId="39D9F523" w14:textId="77777777" w:rsidR="00BB4C99" w:rsidRPr="00BB4C99" w:rsidRDefault="00BB4C99" w:rsidP="000525D5">
            <w:pPr>
              <w:spacing w:line="240" w:lineRule="auto"/>
              <w:rPr>
                <w:color w:val="000000"/>
              </w:rPr>
            </w:pPr>
            <w:r w:rsidRPr="00BB4C99">
              <w:rPr>
                <w:rFonts w:cs="Axiforma"/>
                <w:color w:val="000000"/>
              </w:rPr>
              <w:t>Rail Rolling Stock</w:t>
            </w:r>
          </w:p>
        </w:tc>
        <w:tc>
          <w:tcPr>
            <w:tcW w:w="1276" w:type="dxa"/>
            <w:vAlign w:val="center"/>
          </w:tcPr>
          <w:p w14:paraId="799E0013" w14:textId="77777777" w:rsidR="00BB4C99" w:rsidRPr="00BB4C99" w:rsidRDefault="00BB4C99" w:rsidP="000525D5">
            <w:pPr>
              <w:spacing w:line="240" w:lineRule="auto"/>
              <w:rPr>
                <w:color w:val="000000"/>
              </w:rPr>
            </w:pPr>
            <w:r w:rsidRPr="00BB4C99">
              <w:rPr>
                <w:rFonts w:cs="Axiforma"/>
                <w:color w:val="000000"/>
              </w:rPr>
              <w:t>45 sets</w:t>
            </w:r>
          </w:p>
        </w:tc>
        <w:tc>
          <w:tcPr>
            <w:tcW w:w="1276" w:type="dxa"/>
            <w:vAlign w:val="center"/>
          </w:tcPr>
          <w:p w14:paraId="3D75DA3B" w14:textId="77777777" w:rsidR="00BB4C99" w:rsidRPr="00BB4C99" w:rsidRDefault="00BB4C99" w:rsidP="000525D5">
            <w:pPr>
              <w:spacing w:line="240" w:lineRule="auto"/>
              <w:rPr>
                <w:color w:val="000000"/>
              </w:rPr>
            </w:pPr>
            <w:r w:rsidRPr="00BB4C99">
              <w:rPr>
                <w:rFonts w:cs="Axiforma"/>
                <w:color w:val="000000"/>
              </w:rPr>
              <w:t>45 sets</w:t>
            </w:r>
          </w:p>
        </w:tc>
      </w:tr>
      <w:tr w:rsidR="00BB4C99" w:rsidRPr="00BB4C99" w14:paraId="783DB299" w14:textId="77777777" w:rsidTr="00BB4C99">
        <w:trPr>
          <w:trHeight w:val="340"/>
        </w:trPr>
        <w:tc>
          <w:tcPr>
            <w:tcW w:w="4531" w:type="dxa"/>
            <w:vAlign w:val="center"/>
          </w:tcPr>
          <w:p w14:paraId="10EA2670" w14:textId="77777777" w:rsidR="00BB4C99" w:rsidRPr="00BB4C99" w:rsidRDefault="00BB4C99" w:rsidP="000525D5">
            <w:pPr>
              <w:spacing w:line="240" w:lineRule="auto"/>
              <w:rPr>
                <w:color w:val="000000"/>
              </w:rPr>
            </w:pPr>
            <w:r w:rsidRPr="00BB4C99">
              <w:rPr>
                <w:rFonts w:cs="Axiforma"/>
                <w:color w:val="000000"/>
              </w:rPr>
              <w:t>Average fleet age (buses/coaches: years)</w:t>
            </w:r>
          </w:p>
        </w:tc>
        <w:tc>
          <w:tcPr>
            <w:tcW w:w="1276" w:type="dxa"/>
            <w:vAlign w:val="center"/>
          </w:tcPr>
          <w:p w14:paraId="01D1442C" w14:textId="77777777" w:rsidR="00BB4C99" w:rsidRPr="00BB4C99" w:rsidRDefault="00BB4C99" w:rsidP="000525D5">
            <w:pPr>
              <w:spacing w:line="240" w:lineRule="auto"/>
              <w:rPr>
                <w:color w:val="000000"/>
              </w:rPr>
            </w:pPr>
            <w:r w:rsidRPr="00BB4C99">
              <w:rPr>
                <w:rFonts w:cs="Axiforma"/>
                <w:color w:val="000000"/>
              </w:rPr>
              <w:t>9.3</w:t>
            </w:r>
          </w:p>
        </w:tc>
        <w:tc>
          <w:tcPr>
            <w:tcW w:w="1276" w:type="dxa"/>
            <w:vAlign w:val="center"/>
          </w:tcPr>
          <w:p w14:paraId="54310946" w14:textId="77777777" w:rsidR="00BB4C99" w:rsidRPr="00BB4C99" w:rsidRDefault="00BB4C99" w:rsidP="000525D5">
            <w:pPr>
              <w:spacing w:line="240" w:lineRule="auto"/>
              <w:rPr>
                <w:color w:val="000000"/>
              </w:rPr>
            </w:pPr>
            <w:r w:rsidRPr="00BB4C99">
              <w:rPr>
                <w:rFonts w:cs="Axiforma"/>
                <w:color w:val="000000"/>
              </w:rPr>
              <w:t>8.9</w:t>
            </w:r>
          </w:p>
        </w:tc>
      </w:tr>
      <w:tr w:rsidR="00BB4C99" w:rsidRPr="00BB4C99" w14:paraId="51A8D200" w14:textId="77777777" w:rsidTr="00BB4C99">
        <w:trPr>
          <w:trHeight w:val="340"/>
        </w:trPr>
        <w:tc>
          <w:tcPr>
            <w:tcW w:w="4531" w:type="dxa"/>
            <w:vAlign w:val="center"/>
          </w:tcPr>
          <w:p w14:paraId="71F98533" w14:textId="77777777" w:rsidR="00BB4C99" w:rsidRPr="00BB4C99" w:rsidRDefault="00BB4C99" w:rsidP="000525D5">
            <w:pPr>
              <w:spacing w:line="240" w:lineRule="auto"/>
              <w:rPr>
                <w:color w:val="000000"/>
              </w:rPr>
            </w:pPr>
            <w:r w:rsidRPr="00BB4C99">
              <w:rPr>
                <w:rFonts w:cs="Axiforma"/>
                <w:color w:val="000000"/>
              </w:rPr>
              <w:t>Average fleet age (Gliders: years)</w:t>
            </w:r>
          </w:p>
        </w:tc>
        <w:tc>
          <w:tcPr>
            <w:tcW w:w="1276" w:type="dxa"/>
            <w:vAlign w:val="center"/>
          </w:tcPr>
          <w:p w14:paraId="0C77EBD8" w14:textId="77777777" w:rsidR="00BB4C99" w:rsidRPr="00BB4C99" w:rsidRDefault="00BB4C99" w:rsidP="000525D5">
            <w:pPr>
              <w:spacing w:line="240" w:lineRule="auto"/>
              <w:rPr>
                <w:color w:val="000000"/>
              </w:rPr>
            </w:pPr>
            <w:r w:rsidRPr="00BB4C99">
              <w:rPr>
                <w:rFonts w:cs="Axiforma"/>
                <w:color w:val="000000"/>
              </w:rPr>
              <w:t>6.5</w:t>
            </w:r>
          </w:p>
        </w:tc>
        <w:tc>
          <w:tcPr>
            <w:tcW w:w="1276" w:type="dxa"/>
            <w:vAlign w:val="center"/>
          </w:tcPr>
          <w:p w14:paraId="6F9F69C0" w14:textId="77777777" w:rsidR="00BB4C99" w:rsidRPr="00BB4C99" w:rsidRDefault="00BB4C99" w:rsidP="000525D5">
            <w:pPr>
              <w:spacing w:line="240" w:lineRule="auto"/>
              <w:rPr>
                <w:color w:val="000000"/>
              </w:rPr>
            </w:pPr>
            <w:r w:rsidRPr="00BB4C99">
              <w:rPr>
                <w:rFonts w:cs="Axiforma"/>
                <w:color w:val="000000"/>
              </w:rPr>
              <w:t>5.5</w:t>
            </w:r>
          </w:p>
        </w:tc>
      </w:tr>
    </w:tbl>
    <w:p w14:paraId="02745977" w14:textId="77777777" w:rsidR="00BB4C99" w:rsidRDefault="00BB4C99" w:rsidP="00110C58">
      <w:pPr>
        <w:pStyle w:val="Heading3"/>
      </w:pPr>
    </w:p>
    <w:p w14:paraId="4467E4C0" w14:textId="26957D0D" w:rsidR="005D3DB3" w:rsidRPr="005D3DB3" w:rsidRDefault="005D3DB3" w:rsidP="00110C58">
      <w:pPr>
        <w:pStyle w:val="Heading3"/>
      </w:pPr>
      <w:bookmarkStart w:id="52" w:name="_Toc176774936"/>
      <w:bookmarkStart w:id="53" w:name="_Toc176775319"/>
      <w:bookmarkStart w:id="54" w:name="_Toc212738614"/>
      <w:bookmarkStart w:id="55" w:name="_Toc213058508"/>
      <w:bookmarkEnd w:id="49"/>
      <w:bookmarkEnd w:id="50"/>
      <w:r w:rsidRPr="005D3DB3">
        <w:t>Our Strategy</w:t>
      </w:r>
      <w:bookmarkEnd w:id="52"/>
      <w:bookmarkEnd w:id="53"/>
      <w:bookmarkEnd w:id="54"/>
      <w:bookmarkEnd w:id="55"/>
    </w:p>
    <w:p w14:paraId="62409503" w14:textId="77777777" w:rsidR="00BB4C99" w:rsidRPr="00BB4C99" w:rsidRDefault="00BB4C99" w:rsidP="00BB4C99">
      <w:r w:rsidRPr="00BB4C99">
        <w:t>Our strategy is aligned with Government policies as set out in the Programme for Government (</w:t>
      </w:r>
      <w:proofErr w:type="spellStart"/>
      <w:r w:rsidRPr="00BB4C99">
        <w:t>PfG</w:t>
      </w:r>
      <w:proofErr w:type="spellEnd"/>
      <w:r w:rsidRPr="00BB4C99">
        <w:t xml:space="preserve">) including the NI Executive’s united aim to “deliver improved wellbeing, long term </w:t>
      </w:r>
      <w:r w:rsidRPr="00BB4C99">
        <w:lastRenderedPageBreak/>
        <w:t>sustainability, and a thriving economy”. It is also closely aligned with the UN Sustainable Development Goals to promote prosperity while protecting the planet. It has been devised within the context of the Department for Infrastructure’s (</w:t>
      </w:r>
      <w:proofErr w:type="spellStart"/>
      <w:r w:rsidRPr="00BB4C99">
        <w:t>DfI</w:t>
      </w:r>
      <w:proofErr w:type="spellEnd"/>
      <w:r w:rsidRPr="00BB4C99">
        <w:t>), Regional Development Strategy for 2035 and the Planning for the Future of Transport – Time for Change strategy and other emerging transportation plans.</w:t>
      </w:r>
    </w:p>
    <w:p w14:paraId="62A17BB7" w14:textId="77777777" w:rsidR="00BB4C99" w:rsidRPr="00BB4C99" w:rsidRDefault="00BB4C99" w:rsidP="00BB4C99"/>
    <w:p w14:paraId="6813FD56" w14:textId="77777777" w:rsidR="00BB4C99" w:rsidRPr="00BB4C99" w:rsidRDefault="00BB4C99" w:rsidP="00BB4C99">
      <w:r w:rsidRPr="00BB4C99">
        <w:t>An effective and successful public transport network is vital for the economic, social and environmental well-being of our society. Translink is committed to leading the transformation of transport in Northern Ireland. Our 2030 strategy entitled ‘Better. Connected’ sets out a vision for Translink as ‘Your first choice for travel, today for tomorrow.’ Our mission is to lead the transformation of transport in Northern Ireland. We will create the advanced public transport services and integrated networks which connect people and communities, enhance the economy and improve health and the environment.</w:t>
      </w:r>
    </w:p>
    <w:p w14:paraId="61EAAE9F" w14:textId="77777777" w:rsidR="00BB4C99" w:rsidRPr="00BB4C99" w:rsidRDefault="00BB4C99" w:rsidP="00BB4C99"/>
    <w:p w14:paraId="297F1B60" w14:textId="0339F690" w:rsidR="005D3DB3" w:rsidRDefault="00BB4C99" w:rsidP="00BB4C99">
      <w:r w:rsidRPr="00BB4C99">
        <w:t>At Translink we are passionate about providing excellent public transport and we do this in the ‘Translink SPIRIT’ which embraces principles around Safety, People, Innovation, Responsibility, Integrity and Teamwork. Our Translink Spirit underpins everything that we do and helps ensure we are Better. Connected. It shapes our culture and the way we do things. Our people are encouraged to be respectful and inclusive of everyone, to work together, to connect with customers and stakeholders, to motivate each other and to do things better. Our Spirit guides us to act responsibly, with integrity, and innovation and to succeed in delivering on our goals and creating ‘wellbeing for all.’ Keeping customers and staff safe remains at the core of how we work.</w:t>
      </w:r>
    </w:p>
    <w:p w14:paraId="008DCF06" w14:textId="77777777" w:rsidR="00BB4C99" w:rsidRDefault="00BB4C99" w:rsidP="00110C58">
      <w:pPr>
        <w:pStyle w:val="Heading3"/>
      </w:pPr>
      <w:bookmarkStart w:id="56" w:name="_Toc176774937"/>
      <w:bookmarkStart w:id="57" w:name="_Toc176775320"/>
    </w:p>
    <w:p w14:paraId="7C4B8AC9" w14:textId="761AE345" w:rsidR="005D3DB3" w:rsidRPr="005D3DB3" w:rsidRDefault="005D3DB3" w:rsidP="00110C58">
      <w:pPr>
        <w:pStyle w:val="Heading3"/>
      </w:pPr>
      <w:bookmarkStart w:id="58" w:name="_Toc212738615"/>
      <w:bookmarkStart w:id="59" w:name="_Toc213058509"/>
      <w:r w:rsidRPr="005D3DB3">
        <w:t>Our People</w:t>
      </w:r>
      <w:bookmarkEnd w:id="56"/>
      <w:bookmarkEnd w:id="57"/>
      <w:bookmarkEnd w:id="58"/>
      <w:bookmarkEnd w:id="59"/>
      <w:r w:rsidRPr="005D3DB3">
        <w:t xml:space="preserve"> </w:t>
      </w:r>
    </w:p>
    <w:p w14:paraId="09622B91" w14:textId="484359B7" w:rsidR="00BB4C99" w:rsidRDefault="00BB4C99" w:rsidP="00BB4C99">
      <w:pPr>
        <w:rPr>
          <w:rFonts w:cs="Arial"/>
        </w:rPr>
      </w:pPr>
      <w:r w:rsidRPr="00BB4C99">
        <w:rPr>
          <w:rFonts w:cs="Arial"/>
        </w:rPr>
        <w:t>We are a people business; we provide a service for people through our people. Our workforce is recognised within our industry and the broader business community for their achievements in delivering excellent services and innovation. We celebrate and embrace the benefits that diversity brings to our business and by working together to enhance our business environment, we create a culture that inspires the best – this is the ‘Spirit of Translink’.</w:t>
      </w:r>
    </w:p>
    <w:p w14:paraId="51D971C2" w14:textId="77777777" w:rsidR="00BB4C99" w:rsidRPr="00BB4C99" w:rsidRDefault="00BB4C99" w:rsidP="00BB4C99">
      <w:pPr>
        <w:rPr>
          <w:rFonts w:cs="Arial"/>
        </w:rPr>
      </w:pPr>
    </w:p>
    <w:p w14:paraId="162E219C" w14:textId="77777777" w:rsidR="00BB4C99" w:rsidRPr="00BB4C99" w:rsidRDefault="00BB4C99" w:rsidP="00BB4C99">
      <w:pPr>
        <w:rPr>
          <w:rFonts w:cs="Arial"/>
        </w:rPr>
      </w:pPr>
      <w:r w:rsidRPr="00BB4C99">
        <w:rPr>
          <w:rFonts w:cs="Arial"/>
        </w:rPr>
        <w:t xml:space="preserve">We provide excellent learning and development opportunities </w:t>
      </w:r>
      <w:proofErr w:type="gramStart"/>
      <w:r w:rsidRPr="00BB4C99">
        <w:rPr>
          <w:rFonts w:cs="Arial"/>
        </w:rPr>
        <w:t>in order to</w:t>
      </w:r>
      <w:proofErr w:type="gramEnd"/>
      <w:r w:rsidRPr="00BB4C99">
        <w:rPr>
          <w:rFonts w:cs="Arial"/>
        </w:rPr>
        <w:t xml:space="preserve"> give employees the opportunity to stretch themselves and widen their experience.</w:t>
      </w:r>
    </w:p>
    <w:p w14:paraId="6BE297A5" w14:textId="0A93196E" w:rsidR="00BB4C99" w:rsidRPr="00BB4C99" w:rsidRDefault="00BB4C99" w:rsidP="00BB4C99">
      <w:pPr>
        <w:rPr>
          <w:rFonts w:cs="Arial"/>
        </w:rPr>
      </w:pPr>
      <w:r w:rsidRPr="00BB4C99">
        <w:rPr>
          <w:rFonts w:cs="Arial"/>
        </w:rPr>
        <w:t xml:space="preserve"> </w:t>
      </w:r>
    </w:p>
    <w:p w14:paraId="067E9DF4" w14:textId="77777777" w:rsidR="00340DE5" w:rsidRDefault="00340DE5">
      <w:pPr>
        <w:spacing w:line="240" w:lineRule="auto"/>
        <w:rPr>
          <w:rFonts w:cs="Arial"/>
        </w:rPr>
      </w:pPr>
      <w:r>
        <w:rPr>
          <w:rFonts w:cs="Arial"/>
        </w:rPr>
        <w:br w:type="page"/>
      </w:r>
    </w:p>
    <w:p w14:paraId="6EE07CB8" w14:textId="76A080EB" w:rsidR="00BB4C99" w:rsidRPr="00BB4C99" w:rsidRDefault="00BB4C99" w:rsidP="00BB4C99">
      <w:pPr>
        <w:rPr>
          <w:rFonts w:cs="Arial"/>
        </w:rPr>
      </w:pPr>
      <w:r w:rsidRPr="00BB4C99">
        <w:rPr>
          <w:rFonts w:cs="Arial"/>
        </w:rPr>
        <w:lastRenderedPageBreak/>
        <w:t>Our leadership framework sets out competencies and objectives for management and professionals to:</w:t>
      </w:r>
    </w:p>
    <w:p w14:paraId="351D7F47" w14:textId="77777777" w:rsidR="00BB4C99" w:rsidRPr="00BB4C99" w:rsidRDefault="00BB4C99" w:rsidP="00BB4C99">
      <w:pPr>
        <w:rPr>
          <w:rFonts w:cs="Arial"/>
        </w:rPr>
      </w:pPr>
    </w:p>
    <w:p w14:paraId="47A897F1" w14:textId="50372AEE" w:rsidR="00BB4C99" w:rsidRPr="00BB4C99" w:rsidRDefault="00BB4C99" w:rsidP="00BB4C99">
      <w:pPr>
        <w:pStyle w:val="ListParagraph"/>
        <w:numPr>
          <w:ilvl w:val="0"/>
          <w:numId w:val="52"/>
        </w:numPr>
        <w:rPr>
          <w:rFonts w:cs="Arial"/>
        </w:rPr>
      </w:pPr>
      <w:r w:rsidRPr="00BB4C99">
        <w:rPr>
          <w:rFonts w:cs="Arial"/>
        </w:rPr>
        <w:t>Lead – Accountability and Responsibility</w:t>
      </w:r>
    </w:p>
    <w:p w14:paraId="29D9C787" w14:textId="3B34E30D" w:rsidR="00BB4C99" w:rsidRPr="00BB4C99" w:rsidRDefault="00BB4C99" w:rsidP="00BB4C99">
      <w:pPr>
        <w:pStyle w:val="ListParagraph"/>
        <w:numPr>
          <w:ilvl w:val="0"/>
          <w:numId w:val="52"/>
        </w:numPr>
        <w:rPr>
          <w:rFonts w:cs="Arial"/>
        </w:rPr>
      </w:pPr>
      <w:r w:rsidRPr="00BB4C99">
        <w:rPr>
          <w:rFonts w:cs="Arial"/>
        </w:rPr>
        <w:t>Engage – Communication</w:t>
      </w:r>
    </w:p>
    <w:p w14:paraId="22C84AC1" w14:textId="04191D52" w:rsidR="00BB4C99" w:rsidRPr="00BB4C99" w:rsidRDefault="00BB4C99" w:rsidP="00BB4C99">
      <w:pPr>
        <w:pStyle w:val="ListParagraph"/>
        <w:numPr>
          <w:ilvl w:val="0"/>
          <w:numId w:val="52"/>
        </w:numPr>
        <w:rPr>
          <w:rFonts w:cs="Arial"/>
        </w:rPr>
      </w:pPr>
      <w:r w:rsidRPr="00BB4C99">
        <w:rPr>
          <w:rFonts w:cs="Arial"/>
        </w:rPr>
        <w:t>Adapt – Continuous Improvement</w:t>
      </w:r>
    </w:p>
    <w:p w14:paraId="78E8973D" w14:textId="228DA53D" w:rsidR="00BB4C99" w:rsidRPr="00BB4C99" w:rsidRDefault="00BB4C99" w:rsidP="00BB4C99">
      <w:pPr>
        <w:pStyle w:val="ListParagraph"/>
        <w:numPr>
          <w:ilvl w:val="0"/>
          <w:numId w:val="52"/>
        </w:numPr>
        <w:rPr>
          <w:rFonts w:cs="Arial"/>
        </w:rPr>
      </w:pPr>
      <w:r w:rsidRPr="00BB4C99">
        <w:rPr>
          <w:rFonts w:cs="Arial"/>
        </w:rPr>
        <w:t>Deliver – Benefits Realisation</w:t>
      </w:r>
    </w:p>
    <w:p w14:paraId="0DFF0A28" w14:textId="77777777" w:rsidR="00BB4C99" w:rsidRPr="00BB4C99" w:rsidRDefault="00BB4C99" w:rsidP="00BB4C99">
      <w:pPr>
        <w:rPr>
          <w:rFonts w:cs="Arial"/>
        </w:rPr>
      </w:pPr>
      <w:r w:rsidRPr="00BB4C99">
        <w:rPr>
          <w:rFonts w:cs="Arial"/>
        </w:rPr>
        <w:t xml:space="preserve"> </w:t>
      </w:r>
    </w:p>
    <w:p w14:paraId="0C3551EA" w14:textId="77777777" w:rsidR="00BB4C99" w:rsidRPr="00BB4C99" w:rsidRDefault="00BB4C99" w:rsidP="00BB4C99">
      <w:pPr>
        <w:rPr>
          <w:rFonts w:cs="Arial"/>
        </w:rPr>
      </w:pPr>
      <w:r w:rsidRPr="00BB4C99">
        <w:rPr>
          <w:rFonts w:cs="Arial"/>
        </w:rPr>
        <w:t>We will deliver results across four key objectives:</w:t>
      </w:r>
    </w:p>
    <w:p w14:paraId="74942604" w14:textId="77777777" w:rsidR="00BB4C99" w:rsidRPr="00BB4C99" w:rsidRDefault="00BB4C99" w:rsidP="00BB4C99"/>
    <w:p w14:paraId="72836781" w14:textId="00ACBDCC" w:rsidR="00BB4C99" w:rsidRPr="00BB4C99" w:rsidRDefault="00BB4C99" w:rsidP="00BB4C99">
      <w:pPr>
        <w:pStyle w:val="ListParagraph"/>
        <w:numPr>
          <w:ilvl w:val="0"/>
          <w:numId w:val="53"/>
        </w:numPr>
        <w:rPr>
          <w:color w:val="000000" w:themeColor="text1"/>
        </w:rPr>
      </w:pPr>
      <w:r w:rsidRPr="00BB4C99">
        <w:rPr>
          <w:color w:val="000000" w:themeColor="text1"/>
        </w:rPr>
        <w:t>Continuous Improvement</w:t>
      </w:r>
    </w:p>
    <w:p w14:paraId="3626AA0A" w14:textId="6B718AB7" w:rsidR="00BB4C99" w:rsidRPr="00BB4C99" w:rsidRDefault="00BB4C99" w:rsidP="00BB4C99">
      <w:pPr>
        <w:pStyle w:val="ListParagraph"/>
        <w:numPr>
          <w:ilvl w:val="0"/>
          <w:numId w:val="53"/>
        </w:numPr>
        <w:rPr>
          <w:color w:val="000000" w:themeColor="text1"/>
        </w:rPr>
      </w:pPr>
      <w:r w:rsidRPr="00BB4C99">
        <w:rPr>
          <w:color w:val="000000" w:themeColor="text1"/>
        </w:rPr>
        <w:t>Customer Focus</w:t>
      </w:r>
    </w:p>
    <w:p w14:paraId="045603F3" w14:textId="410DDCCF" w:rsidR="00BB4C99" w:rsidRPr="00BB4C99" w:rsidRDefault="00BB4C99" w:rsidP="00BB4C99">
      <w:pPr>
        <w:pStyle w:val="ListParagraph"/>
        <w:numPr>
          <w:ilvl w:val="0"/>
          <w:numId w:val="53"/>
        </w:numPr>
        <w:rPr>
          <w:color w:val="000000" w:themeColor="text1"/>
        </w:rPr>
      </w:pPr>
      <w:r w:rsidRPr="00BB4C99">
        <w:rPr>
          <w:color w:val="000000" w:themeColor="text1"/>
        </w:rPr>
        <w:t>Climate Action</w:t>
      </w:r>
    </w:p>
    <w:p w14:paraId="2F9B2CD7" w14:textId="4C35907B" w:rsidR="005D3DB3" w:rsidRPr="00BB4C99" w:rsidRDefault="00BB4C99" w:rsidP="00BB4C99">
      <w:pPr>
        <w:pStyle w:val="ListParagraph"/>
        <w:numPr>
          <w:ilvl w:val="0"/>
          <w:numId w:val="53"/>
        </w:numPr>
        <w:rPr>
          <w:color w:val="000000" w:themeColor="text1"/>
        </w:rPr>
      </w:pPr>
      <w:r w:rsidRPr="00BB4C99">
        <w:rPr>
          <w:color w:val="000000" w:themeColor="text1"/>
        </w:rPr>
        <w:t>Connecting Communities</w:t>
      </w:r>
    </w:p>
    <w:p w14:paraId="0926B8C6" w14:textId="77777777" w:rsidR="00BB4C99" w:rsidRDefault="00BB4C99" w:rsidP="00506AC2">
      <w:pPr>
        <w:pStyle w:val="Heading2"/>
      </w:pPr>
      <w:bookmarkStart w:id="60" w:name="_Toc176774938"/>
      <w:bookmarkStart w:id="61" w:name="_Toc176775321"/>
    </w:p>
    <w:p w14:paraId="6D14C95B" w14:textId="639FEBD2" w:rsidR="005D3DB3" w:rsidRPr="005D3DB3" w:rsidRDefault="005D3DB3" w:rsidP="00506AC2">
      <w:pPr>
        <w:pStyle w:val="Heading2"/>
      </w:pPr>
      <w:bookmarkStart w:id="62" w:name="_Toc213058510"/>
      <w:r w:rsidRPr="005D3DB3">
        <w:t>Continuous Improvement</w:t>
      </w:r>
      <w:bookmarkEnd w:id="60"/>
      <w:bookmarkEnd w:id="61"/>
      <w:bookmarkEnd w:id="62"/>
    </w:p>
    <w:p w14:paraId="583A974C" w14:textId="7641F67E" w:rsidR="005D3DB3" w:rsidRPr="005D3DB3" w:rsidRDefault="005D3DB3" w:rsidP="00506AC2">
      <w:r w:rsidRPr="005D3DB3">
        <w:t xml:space="preserve">This is how we will deliver an excellent service for all our passengers. </w:t>
      </w:r>
    </w:p>
    <w:p w14:paraId="5ACB33A5" w14:textId="77777777" w:rsidR="005D3DB3" w:rsidRPr="005D3DB3" w:rsidRDefault="005D3DB3" w:rsidP="00506AC2"/>
    <w:p w14:paraId="40893681" w14:textId="77777777" w:rsidR="005D3DB3" w:rsidRPr="005D3DB3" w:rsidRDefault="005D3DB3" w:rsidP="00110C58">
      <w:pPr>
        <w:pStyle w:val="Heading3"/>
      </w:pPr>
      <w:bookmarkStart w:id="63" w:name="_Toc176774939"/>
      <w:bookmarkStart w:id="64" w:name="_Toc176775322"/>
      <w:bookmarkStart w:id="65" w:name="_Toc213058511"/>
      <w:r w:rsidRPr="005D3DB3">
        <w:t>Even Better Safety Performance</w:t>
      </w:r>
      <w:bookmarkEnd w:id="63"/>
      <w:bookmarkEnd w:id="64"/>
      <w:bookmarkEnd w:id="65"/>
    </w:p>
    <w:p w14:paraId="73C7A9D2" w14:textId="77777777" w:rsidR="00BB4C99" w:rsidRPr="00BB4C99" w:rsidRDefault="00BB4C99" w:rsidP="00BB4C99">
      <w:pPr>
        <w:rPr>
          <w:color w:val="000000" w:themeColor="text1"/>
        </w:rPr>
      </w:pPr>
      <w:r w:rsidRPr="00BB4C99">
        <w:rPr>
          <w:color w:val="000000" w:themeColor="text1"/>
        </w:rPr>
        <w:t>Safety is our number one priority. We will work to ensure everyone gets home safe and healthy every day. This includes customers, employees, contractors, the public and indeed anyone impacted by what we do.</w:t>
      </w:r>
    </w:p>
    <w:p w14:paraId="4DCABFF8" w14:textId="77777777" w:rsidR="00BB4C99" w:rsidRPr="00BB4C99" w:rsidRDefault="00BB4C99" w:rsidP="00BB4C99">
      <w:pPr>
        <w:rPr>
          <w:color w:val="000000" w:themeColor="text1"/>
        </w:rPr>
      </w:pPr>
      <w:r w:rsidRPr="00BB4C99">
        <w:rPr>
          <w:color w:val="000000" w:themeColor="text1"/>
        </w:rPr>
        <w:t xml:space="preserve"> </w:t>
      </w:r>
    </w:p>
    <w:p w14:paraId="76336F79" w14:textId="77777777" w:rsidR="00BB4C99" w:rsidRPr="00BB4C99" w:rsidRDefault="00BB4C99" w:rsidP="00340DE5">
      <w:pPr>
        <w:pStyle w:val="Heading3"/>
      </w:pPr>
      <w:bookmarkStart w:id="66" w:name="_Toc213058512"/>
      <w:r w:rsidRPr="00BB4C99">
        <w:t>Better Reliability and Timeliness</w:t>
      </w:r>
      <w:bookmarkEnd w:id="66"/>
    </w:p>
    <w:p w14:paraId="2E4861C1" w14:textId="77777777" w:rsidR="00BB4C99" w:rsidRPr="00BB4C99" w:rsidRDefault="00BB4C99" w:rsidP="00BB4C99">
      <w:pPr>
        <w:rPr>
          <w:color w:val="000000" w:themeColor="text1"/>
        </w:rPr>
      </w:pPr>
      <w:r w:rsidRPr="00BB4C99">
        <w:rPr>
          <w:color w:val="000000" w:themeColor="text1"/>
        </w:rPr>
        <w:t xml:space="preserve">Our integrated transport system will ensure that all the parts come together to keep Northern Ireland moving forward and on time. We will invest in innovative technology to improve services, maximise resources and transform performance. </w:t>
      </w:r>
    </w:p>
    <w:p w14:paraId="29DAF910" w14:textId="77777777" w:rsidR="00BB4C99" w:rsidRPr="00BB4C99" w:rsidRDefault="00BB4C99" w:rsidP="00BB4C99">
      <w:pPr>
        <w:rPr>
          <w:color w:val="000000" w:themeColor="text1"/>
        </w:rPr>
      </w:pPr>
      <w:r w:rsidRPr="00BB4C99">
        <w:rPr>
          <w:color w:val="000000" w:themeColor="text1"/>
        </w:rPr>
        <w:t xml:space="preserve"> </w:t>
      </w:r>
    </w:p>
    <w:p w14:paraId="5091AD62" w14:textId="77777777" w:rsidR="00BB4C99" w:rsidRPr="00BB4C99" w:rsidRDefault="00BB4C99" w:rsidP="00340DE5">
      <w:pPr>
        <w:pStyle w:val="Heading3"/>
      </w:pPr>
      <w:bookmarkStart w:id="67" w:name="_Toc213058513"/>
      <w:r w:rsidRPr="00BB4C99">
        <w:t>Better Asset Management</w:t>
      </w:r>
      <w:bookmarkEnd w:id="67"/>
    </w:p>
    <w:p w14:paraId="7FB568E1" w14:textId="77777777" w:rsidR="00BB4C99" w:rsidRPr="00BB4C99" w:rsidRDefault="00BB4C99" w:rsidP="00BB4C99">
      <w:pPr>
        <w:rPr>
          <w:color w:val="000000" w:themeColor="text1"/>
        </w:rPr>
      </w:pPr>
      <w:r w:rsidRPr="00BB4C99">
        <w:rPr>
          <w:color w:val="000000" w:themeColor="text1"/>
        </w:rPr>
        <w:t>We will optimise effectiveness and performance by better planning, operation and maintenance, maximising the value of each asset over its lifecycle. This will bring improved efficiency across the organisation.</w:t>
      </w:r>
    </w:p>
    <w:p w14:paraId="6D858F99" w14:textId="77777777" w:rsidR="00BB4C99" w:rsidRPr="00BB4C99" w:rsidRDefault="00BB4C99" w:rsidP="00BB4C99">
      <w:pPr>
        <w:rPr>
          <w:color w:val="000000" w:themeColor="text1"/>
        </w:rPr>
      </w:pPr>
      <w:r w:rsidRPr="00BB4C99">
        <w:rPr>
          <w:color w:val="000000" w:themeColor="text1"/>
        </w:rPr>
        <w:t xml:space="preserve"> </w:t>
      </w:r>
    </w:p>
    <w:p w14:paraId="44A1C9EE" w14:textId="77777777" w:rsidR="00BB4C99" w:rsidRDefault="00BB4C99" w:rsidP="00BB4C99">
      <w:pPr>
        <w:rPr>
          <w:b/>
          <w:bCs/>
          <w:color w:val="000000" w:themeColor="text1"/>
          <w:sz w:val="28"/>
          <w:szCs w:val="28"/>
        </w:rPr>
        <w:sectPr w:rsidR="00BB4C99" w:rsidSect="00E253EE">
          <w:pgSz w:w="11900" w:h="16840"/>
          <w:pgMar w:top="720" w:right="720" w:bottom="720" w:left="720" w:header="709" w:footer="709" w:gutter="0"/>
          <w:cols w:space="708"/>
          <w:docGrid w:linePitch="360"/>
        </w:sectPr>
      </w:pPr>
    </w:p>
    <w:p w14:paraId="37E2D732" w14:textId="77777777" w:rsidR="00BB4C99" w:rsidRPr="00BB4C99" w:rsidRDefault="00BB4C99" w:rsidP="00340DE5">
      <w:pPr>
        <w:pStyle w:val="Heading3"/>
      </w:pPr>
      <w:bookmarkStart w:id="68" w:name="_Toc213058514"/>
      <w:r w:rsidRPr="00BB4C99">
        <w:lastRenderedPageBreak/>
        <w:t>Investing in Our People</w:t>
      </w:r>
      <w:bookmarkEnd w:id="68"/>
    </w:p>
    <w:p w14:paraId="14666153" w14:textId="77777777" w:rsidR="00BB4C99" w:rsidRPr="00BB4C99" w:rsidRDefault="00BB4C99" w:rsidP="00BB4C99">
      <w:pPr>
        <w:rPr>
          <w:color w:val="000000" w:themeColor="text1"/>
        </w:rPr>
      </w:pPr>
      <w:r w:rsidRPr="00BB4C99">
        <w:rPr>
          <w:color w:val="000000" w:themeColor="text1"/>
        </w:rPr>
        <w:t>Our people are the face of Translink. They provide the human connection with passengers and stakeholders. We will continue our Investor in People programme, helping to create a talented, diverse and inclusive workforce, empowered with the skills to ensure they are the best they can be.</w:t>
      </w:r>
    </w:p>
    <w:p w14:paraId="36B05D8F" w14:textId="77777777" w:rsidR="00BB4C99" w:rsidRPr="00BB4C99" w:rsidRDefault="00BB4C99" w:rsidP="00BB4C99">
      <w:pPr>
        <w:rPr>
          <w:color w:val="000000" w:themeColor="text1"/>
        </w:rPr>
      </w:pPr>
      <w:r w:rsidRPr="00BB4C99">
        <w:rPr>
          <w:color w:val="000000" w:themeColor="text1"/>
        </w:rPr>
        <w:t xml:space="preserve"> </w:t>
      </w:r>
    </w:p>
    <w:p w14:paraId="2701F777" w14:textId="77777777" w:rsidR="00BB4C99" w:rsidRPr="00BB4C99" w:rsidRDefault="00BB4C99" w:rsidP="00340DE5">
      <w:pPr>
        <w:pStyle w:val="Heading3"/>
      </w:pPr>
      <w:bookmarkStart w:id="69" w:name="_Toc213058515"/>
      <w:r w:rsidRPr="00BB4C99">
        <w:t>Better Benchmarking and Monitoring</w:t>
      </w:r>
      <w:bookmarkEnd w:id="69"/>
    </w:p>
    <w:p w14:paraId="117F52C5" w14:textId="0DCC77D8" w:rsidR="00BB4C99" w:rsidRPr="00BB4C99" w:rsidRDefault="00BB4C99" w:rsidP="00BB4C99">
      <w:pPr>
        <w:rPr>
          <w:color w:val="000000" w:themeColor="text1"/>
        </w:rPr>
      </w:pPr>
      <w:r w:rsidRPr="00BB4C99">
        <w:rPr>
          <w:color w:val="000000" w:themeColor="text1"/>
        </w:rPr>
        <w:t xml:space="preserve">We will embed a continuous improvement culture in everything we do through benchmarking, analytics and use of technology. </w:t>
      </w:r>
    </w:p>
    <w:p w14:paraId="376A2F83" w14:textId="77777777" w:rsidR="005D3DB3" w:rsidRPr="005D3DB3" w:rsidRDefault="005D3DB3" w:rsidP="00506AC2"/>
    <w:p w14:paraId="7FAD8702" w14:textId="77777777" w:rsidR="005D3DB3" w:rsidRPr="005D3DB3" w:rsidRDefault="005D3DB3" w:rsidP="00506AC2">
      <w:pPr>
        <w:pStyle w:val="Heading2"/>
      </w:pPr>
      <w:bookmarkStart w:id="70" w:name="_Toc176774944"/>
      <w:bookmarkStart w:id="71" w:name="_Toc176775327"/>
      <w:bookmarkStart w:id="72" w:name="_Toc213058516"/>
      <w:r w:rsidRPr="005D3DB3">
        <w:t>Customer Focus</w:t>
      </w:r>
      <w:bookmarkEnd w:id="70"/>
      <w:bookmarkEnd w:id="71"/>
      <w:bookmarkEnd w:id="72"/>
    </w:p>
    <w:p w14:paraId="3F215070" w14:textId="77777777" w:rsidR="005D3DB3" w:rsidRPr="005D3DB3" w:rsidRDefault="005D3DB3" w:rsidP="00506AC2">
      <w:r w:rsidRPr="005D3DB3">
        <w:t xml:space="preserve">This is how we will meet and exceed customer expectations and attract new customers. </w:t>
      </w:r>
    </w:p>
    <w:p w14:paraId="7C17A423" w14:textId="77777777" w:rsidR="005D3DB3" w:rsidRPr="00BB4C99" w:rsidRDefault="005D3DB3" w:rsidP="00BB4C99">
      <w:pPr>
        <w:rPr>
          <w:rFonts w:cs="Arial"/>
          <w:color w:val="000000" w:themeColor="text1"/>
        </w:rPr>
      </w:pPr>
    </w:p>
    <w:p w14:paraId="64EAB3C0" w14:textId="77777777" w:rsidR="00BB4C99" w:rsidRPr="00BB4C99" w:rsidRDefault="00BB4C99" w:rsidP="00340DE5">
      <w:pPr>
        <w:pStyle w:val="Heading3"/>
      </w:pPr>
      <w:bookmarkStart w:id="73" w:name="_Toc213058517"/>
      <w:r w:rsidRPr="00BB4C99">
        <w:t>Better Customer Experience</w:t>
      </w:r>
      <w:bookmarkEnd w:id="73"/>
    </w:p>
    <w:p w14:paraId="1AFEB368" w14:textId="0AA34599" w:rsidR="00BB4C99" w:rsidRPr="00BB4C99" w:rsidRDefault="00BB4C99" w:rsidP="00BB4C99">
      <w:pPr>
        <w:rPr>
          <w:rFonts w:cs="Arial"/>
          <w:color w:val="000000" w:themeColor="text1"/>
        </w:rPr>
      </w:pPr>
      <w:r w:rsidRPr="00BB4C99">
        <w:rPr>
          <w:rFonts w:cs="Arial"/>
          <w:color w:val="000000" w:themeColor="text1"/>
        </w:rPr>
        <w:t xml:space="preserve">We have set a target to achieve &gt;90% customer satisfaction across all our services and work to continually improve our Net Customer Sentiment Score. </w:t>
      </w:r>
    </w:p>
    <w:p w14:paraId="38354A6A" w14:textId="77777777" w:rsidR="00BB4C99" w:rsidRPr="00BB4C99" w:rsidRDefault="00BB4C99" w:rsidP="00BB4C99">
      <w:pPr>
        <w:rPr>
          <w:rFonts w:cs="Arial"/>
          <w:b/>
          <w:bCs/>
          <w:color w:val="000000" w:themeColor="text1"/>
        </w:rPr>
      </w:pPr>
    </w:p>
    <w:p w14:paraId="6F748FBC" w14:textId="77777777" w:rsidR="00BB4C99" w:rsidRPr="00BB4C99" w:rsidRDefault="00BB4C99" w:rsidP="00340DE5">
      <w:pPr>
        <w:pStyle w:val="Heading3"/>
      </w:pPr>
      <w:bookmarkStart w:id="74" w:name="_Toc213058518"/>
      <w:r w:rsidRPr="00BB4C99">
        <w:t>Better Customer Information</w:t>
      </w:r>
      <w:bookmarkEnd w:id="74"/>
    </w:p>
    <w:p w14:paraId="65BB0738" w14:textId="77777777" w:rsidR="00BB4C99" w:rsidRPr="00BB4C99" w:rsidRDefault="00BB4C99" w:rsidP="00BB4C99">
      <w:pPr>
        <w:rPr>
          <w:rFonts w:cs="Arial"/>
          <w:color w:val="000000" w:themeColor="text1"/>
        </w:rPr>
      </w:pPr>
      <w:r w:rsidRPr="00BB4C99">
        <w:rPr>
          <w:rFonts w:cs="Arial"/>
          <w:color w:val="000000" w:themeColor="text1"/>
        </w:rPr>
        <w:t xml:space="preserve">We will continue to improve the way we provide and receive information about our services. </w:t>
      </w:r>
    </w:p>
    <w:p w14:paraId="5310ED26" w14:textId="77777777" w:rsidR="00BB4C99" w:rsidRPr="00BB4C99" w:rsidRDefault="00BB4C99" w:rsidP="00BB4C99">
      <w:pPr>
        <w:rPr>
          <w:rFonts w:cs="Arial"/>
          <w:color w:val="000000" w:themeColor="text1"/>
        </w:rPr>
      </w:pPr>
      <w:r w:rsidRPr="00BB4C99">
        <w:rPr>
          <w:rFonts w:cs="Arial"/>
          <w:color w:val="000000" w:themeColor="text1"/>
        </w:rPr>
        <w:t xml:space="preserve"> </w:t>
      </w:r>
    </w:p>
    <w:p w14:paraId="4B66A3AB" w14:textId="77777777" w:rsidR="00BB4C99" w:rsidRPr="00E13F42" w:rsidRDefault="00BB4C99" w:rsidP="00E13F42">
      <w:pPr>
        <w:pStyle w:val="Heading3"/>
      </w:pPr>
      <w:bookmarkStart w:id="75" w:name="_Toc213058519"/>
      <w:r w:rsidRPr="00E13F42">
        <w:t>Better Handling of Complaints</w:t>
      </w:r>
      <w:bookmarkEnd w:id="75"/>
    </w:p>
    <w:p w14:paraId="3BA1C14C" w14:textId="77777777" w:rsidR="00BB4C99" w:rsidRPr="00BB4C99" w:rsidRDefault="00BB4C99" w:rsidP="00BB4C99">
      <w:pPr>
        <w:rPr>
          <w:rFonts w:cs="Arial"/>
          <w:color w:val="000000" w:themeColor="text1"/>
        </w:rPr>
      </w:pPr>
      <w:r w:rsidRPr="00BB4C99">
        <w:rPr>
          <w:rFonts w:cs="Arial"/>
          <w:color w:val="000000" w:themeColor="text1"/>
        </w:rPr>
        <w:t>When things go wrong, we will do our best to put them right and will set out in our Passenger’s Charter our responsibilities and our commitments to respond to complaints.</w:t>
      </w:r>
    </w:p>
    <w:p w14:paraId="478142D9" w14:textId="77777777" w:rsidR="00BB4C99" w:rsidRPr="00BB4C99" w:rsidRDefault="00BB4C99" w:rsidP="00BB4C99">
      <w:pPr>
        <w:rPr>
          <w:rFonts w:cs="Arial"/>
          <w:color w:val="000000" w:themeColor="text1"/>
        </w:rPr>
      </w:pPr>
      <w:r w:rsidRPr="00BB4C99">
        <w:rPr>
          <w:rFonts w:cs="Arial"/>
          <w:color w:val="000000" w:themeColor="text1"/>
        </w:rPr>
        <w:t xml:space="preserve"> </w:t>
      </w:r>
    </w:p>
    <w:p w14:paraId="44EE4830" w14:textId="77777777" w:rsidR="00BB4C99" w:rsidRPr="00BB4C99" w:rsidRDefault="00BB4C99" w:rsidP="00E13F42">
      <w:pPr>
        <w:pStyle w:val="Heading3"/>
      </w:pPr>
      <w:bookmarkStart w:id="76" w:name="_Toc213058520"/>
      <w:r w:rsidRPr="00BB4C99">
        <w:t>Better Facilities</w:t>
      </w:r>
      <w:bookmarkEnd w:id="76"/>
    </w:p>
    <w:p w14:paraId="04542C9D" w14:textId="295DEE16" w:rsidR="00BB4C99" w:rsidRPr="00BB4C99" w:rsidRDefault="00BB4C99" w:rsidP="00BB4C99">
      <w:pPr>
        <w:rPr>
          <w:rFonts w:cs="Arial"/>
          <w:color w:val="000000" w:themeColor="text1"/>
        </w:rPr>
      </w:pPr>
      <w:r w:rsidRPr="00BB4C99">
        <w:rPr>
          <w:rFonts w:cs="Arial"/>
          <w:color w:val="000000" w:themeColor="text1"/>
        </w:rPr>
        <w:t xml:space="preserve">We will continue to transform public transport through a programme of upgrades and enhancements. </w:t>
      </w:r>
    </w:p>
    <w:p w14:paraId="2C4027FA" w14:textId="77777777" w:rsidR="00BB4C99" w:rsidRPr="00BB4C99" w:rsidRDefault="00BB4C99" w:rsidP="00BB4C99">
      <w:pPr>
        <w:rPr>
          <w:rFonts w:cs="Arial"/>
          <w:color w:val="000000" w:themeColor="text1"/>
        </w:rPr>
      </w:pPr>
      <w:r w:rsidRPr="00BB4C99">
        <w:rPr>
          <w:rFonts w:cs="Arial"/>
          <w:color w:val="000000" w:themeColor="text1"/>
        </w:rPr>
        <w:t xml:space="preserve"> </w:t>
      </w:r>
    </w:p>
    <w:p w14:paraId="344A6A5A" w14:textId="77777777" w:rsidR="00BB4C99" w:rsidRPr="00BB4C99" w:rsidRDefault="00BB4C99" w:rsidP="00E13F42">
      <w:pPr>
        <w:pStyle w:val="Heading3"/>
      </w:pPr>
      <w:bookmarkStart w:id="77" w:name="_Toc213058521"/>
      <w:r w:rsidRPr="00BB4C99">
        <w:t>Better Fleet</w:t>
      </w:r>
      <w:bookmarkEnd w:id="77"/>
    </w:p>
    <w:p w14:paraId="25DED1F1" w14:textId="77777777" w:rsidR="00BB4C99" w:rsidRPr="00BB4C99" w:rsidRDefault="00BB4C99" w:rsidP="00BB4C99">
      <w:pPr>
        <w:rPr>
          <w:rFonts w:cs="Arial"/>
          <w:color w:val="000000" w:themeColor="text1"/>
        </w:rPr>
      </w:pPr>
      <w:r w:rsidRPr="00BB4C99">
        <w:rPr>
          <w:rFonts w:cs="Arial"/>
          <w:color w:val="000000" w:themeColor="text1"/>
        </w:rPr>
        <w:t xml:space="preserve">We will continuously improve our fleet to deliver safe, clean, accessible and attractive public transport for our customers. Our fleet renewal programme will ensure buses, coaches and trains are leading edge and high quality. </w:t>
      </w:r>
    </w:p>
    <w:p w14:paraId="7028DCD2" w14:textId="77777777" w:rsidR="00BB4C99" w:rsidRPr="00BB4C99" w:rsidRDefault="00BB4C99" w:rsidP="00BB4C99">
      <w:pPr>
        <w:rPr>
          <w:rFonts w:cs="Arial"/>
          <w:color w:val="000000" w:themeColor="text1"/>
        </w:rPr>
      </w:pPr>
    </w:p>
    <w:p w14:paraId="13838ECC" w14:textId="77777777" w:rsidR="00A47CCA" w:rsidRDefault="00A47CCA" w:rsidP="00BB4C99">
      <w:pPr>
        <w:rPr>
          <w:rFonts w:cs="Arial"/>
          <w:b/>
          <w:bCs/>
          <w:color w:val="000000" w:themeColor="text1"/>
        </w:rPr>
        <w:sectPr w:rsidR="00A47CCA" w:rsidSect="00E253EE">
          <w:pgSz w:w="11900" w:h="16840"/>
          <w:pgMar w:top="720" w:right="720" w:bottom="720" w:left="720" w:header="709" w:footer="709" w:gutter="0"/>
          <w:cols w:space="708"/>
          <w:docGrid w:linePitch="360"/>
        </w:sectPr>
      </w:pPr>
    </w:p>
    <w:p w14:paraId="6AAC4F0F" w14:textId="77777777" w:rsidR="00BB4C99" w:rsidRPr="00BB4C99" w:rsidRDefault="00BB4C99" w:rsidP="00E13F42">
      <w:pPr>
        <w:pStyle w:val="Heading3"/>
      </w:pPr>
      <w:bookmarkStart w:id="78" w:name="_Toc213058522"/>
      <w:r w:rsidRPr="00BB4C99">
        <w:lastRenderedPageBreak/>
        <w:t>Better Ticketing and Fares</w:t>
      </w:r>
      <w:bookmarkEnd w:id="78"/>
    </w:p>
    <w:p w14:paraId="6F61EC81" w14:textId="77777777" w:rsidR="00BB4C99" w:rsidRPr="00BB4C99" w:rsidRDefault="00BB4C99" w:rsidP="00BB4C99">
      <w:pPr>
        <w:rPr>
          <w:rFonts w:cs="Arial"/>
          <w:color w:val="000000" w:themeColor="text1"/>
        </w:rPr>
      </w:pPr>
      <w:r w:rsidRPr="00BB4C99">
        <w:rPr>
          <w:rFonts w:cs="Arial"/>
          <w:color w:val="000000" w:themeColor="text1"/>
        </w:rPr>
        <w:t>We will develop customer led, innovative ticketing solutions with a focus on, ease of use, integration, convenience and value. As a key part of this commitment, we are rolling out Account Based Ticketing/ Contactless ticketing and continue to expand our mobile app technologies. We will continue to innovate to offer best value with new products, fare offers, new payment options and the capping of fares to offer customers flexibility, integration, convenience and simplicity to attract more users.</w:t>
      </w:r>
    </w:p>
    <w:p w14:paraId="1ABB0CF2" w14:textId="77777777" w:rsidR="00BB4C99" w:rsidRPr="00BB4C99" w:rsidRDefault="00BB4C99" w:rsidP="00BB4C99">
      <w:pPr>
        <w:rPr>
          <w:rFonts w:cs="Arial"/>
          <w:color w:val="000000" w:themeColor="text1"/>
        </w:rPr>
      </w:pPr>
      <w:r w:rsidRPr="00BB4C99">
        <w:rPr>
          <w:rFonts w:cs="Arial"/>
          <w:color w:val="000000" w:themeColor="text1"/>
        </w:rPr>
        <w:t xml:space="preserve"> </w:t>
      </w:r>
    </w:p>
    <w:p w14:paraId="14EC71F7" w14:textId="77777777" w:rsidR="00BB4C99" w:rsidRPr="00BB4C99" w:rsidRDefault="00BB4C99" w:rsidP="00E13F42">
      <w:pPr>
        <w:pStyle w:val="Heading3"/>
      </w:pPr>
      <w:bookmarkStart w:id="79" w:name="_Toc213058523"/>
      <w:r w:rsidRPr="00BB4C99">
        <w:t>Better Accessibility</w:t>
      </w:r>
      <w:bookmarkEnd w:id="79"/>
    </w:p>
    <w:p w14:paraId="4DDCC03C" w14:textId="77777777" w:rsidR="00BB4C99" w:rsidRPr="00BB4C99" w:rsidRDefault="00BB4C99" w:rsidP="00BB4C99">
      <w:pPr>
        <w:rPr>
          <w:rFonts w:cs="Arial"/>
          <w:color w:val="000000" w:themeColor="text1"/>
        </w:rPr>
      </w:pPr>
      <w:r w:rsidRPr="00BB4C99">
        <w:rPr>
          <w:rFonts w:cs="Arial"/>
          <w:color w:val="000000" w:themeColor="text1"/>
        </w:rPr>
        <w:t xml:space="preserve">We will work to ensure our services and facilities are accessible to all. This includes enhancements to our vehicles, station improvements, introducing new changing places facilities, upgrades to rail halts and employee training. </w:t>
      </w:r>
    </w:p>
    <w:p w14:paraId="28C79DC8" w14:textId="77777777" w:rsidR="00BB4C99" w:rsidRPr="00BB4C99" w:rsidRDefault="00BB4C99" w:rsidP="00BB4C99">
      <w:pPr>
        <w:rPr>
          <w:rFonts w:cs="Arial"/>
          <w:color w:val="000000" w:themeColor="text1"/>
        </w:rPr>
      </w:pPr>
      <w:r w:rsidRPr="00BB4C99">
        <w:rPr>
          <w:rFonts w:cs="Arial"/>
          <w:color w:val="000000" w:themeColor="text1"/>
        </w:rPr>
        <w:t xml:space="preserve"> </w:t>
      </w:r>
    </w:p>
    <w:p w14:paraId="0CFCCF49" w14:textId="77777777" w:rsidR="00BB4C99" w:rsidRPr="00BB4C99" w:rsidRDefault="00BB4C99" w:rsidP="00E13F42">
      <w:pPr>
        <w:pStyle w:val="Heading3"/>
      </w:pPr>
      <w:bookmarkStart w:id="80" w:name="_Toc213058524"/>
      <w:r w:rsidRPr="00BB4C99">
        <w:t>Customer-led Branding</w:t>
      </w:r>
      <w:bookmarkEnd w:id="80"/>
    </w:p>
    <w:p w14:paraId="59A8DDE3" w14:textId="77777777" w:rsidR="00BB4C99" w:rsidRPr="00BB4C99" w:rsidRDefault="00BB4C99" w:rsidP="00BB4C99">
      <w:pPr>
        <w:rPr>
          <w:rFonts w:cs="Arial"/>
          <w:color w:val="000000" w:themeColor="text1"/>
        </w:rPr>
      </w:pPr>
      <w:r w:rsidRPr="00BB4C99">
        <w:rPr>
          <w:rFonts w:cs="Arial"/>
          <w:color w:val="000000" w:themeColor="text1"/>
        </w:rPr>
        <w:t>Our brand strategy will be customer led, informed by research. Our branding will aim to visually connect our modes and services across Northern Ireland.</w:t>
      </w:r>
    </w:p>
    <w:p w14:paraId="2AB68AA4" w14:textId="37F191D1" w:rsidR="000C1B69" w:rsidRDefault="000C1B69" w:rsidP="00506AC2"/>
    <w:p w14:paraId="337498D3" w14:textId="77777777" w:rsidR="000C1B69" w:rsidRPr="00E13F42" w:rsidRDefault="000C1B69" w:rsidP="00E13F42">
      <w:pPr>
        <w:pStyle w:val="Heading2"/>
      </w:pPr>
      <w:bookmarkStart w:id="81" w:name="_Toc176774953"/>
      <w:bookmarkStart w:id="82" w:name="_Toc176775336"/>
      <w:bookmarkStart w:id="83" w:name="_Toc213058525"/>
      <w:r w:rsidRPr="00E13F42">
        <w:t>Climate Action</w:t>
      </w:r>
      <w:bookmarkEnd w:id="81"/>
      <w:bookmarkEnd w:id="82"/>
      <w:bookmarkEnd w:id="83"/>
    </w:p>
    <w:p w14:paraId="1B17AE2C" w14:textId="77777777" w:rsidR="000C1B69" w:rsidRPr="000C1B69" w:rsidRDefault="000C1B69" w:rsidP="00506AC2">
      <w:r w:rsidRPr="000C1B69">
        <w:t>This is how we will reduce emissions by 50% by 2030 and play a leading role in promoting zero emission transport across NI.</w:t>
      </w:r>
    </w:p>
    <w:p w14:paraId="76818774" w14:textId="77777777" w:rsidR="000C1B69" w:rsidRPr="00A47CCA" w:rsidRDefault="000C1B69" w:rsidP="00A47CCA">
      <w:pPr>
        <w:rPr>
          <w:rFonts w:cs="Arial"/>
          <w:color w:val="000000" w:themeColor="text1"/>
        </w:rPr>
      </w:pPr>
    </w:p>
    <w:p w14:paraId="04FBC319" w14:textId="77777777" w:rsidR="00A47CCA" w:rsidRPr="00A47CCA" w:rsidRDefault="00A47CCA" w:rsidP="00E13F42">
      <w:pPr>
        <w:pStyle w:val="Heading3"/>
      </w:pPr>
      <w:bookmarkStart w:id="84" w:name="_Toc213058526"/>
      <w:r w:rsidRPr="00A47CCA">
        <w:t>Urgent Action on Climate Change</w:t>
      </w:r>
      <w:bookmarkEnd w:id="84"/>
    </w:p>
    <w:p w14:paraId="49783926" w14:textId="77777777" w:rsidR="00A47CCA" w:rsidRPr="00A47CCA" w:rsidRDefault="00A47CCA" w:rsidP="00A47CCA">
      <w:pPr>
        <w:rPr>
          <w:rFonts w:cs="Arial"/>
          <w:color w:val="000000" w:themeColor="text1"/>
        </w:rPr>
      </w:pPr>
      <w:r w:rsidRPr="00A47CCA">
        <w:rPr>
          <w:rFonts w:cs="Arial"/>
          <w:color w:val="000000" w:themeColor="text1"/>
        </w:rPr>
        <w:t>Translink will lead the transformation towards net zero emissions in public transport in NI. This will create a path for a healthier, greener and more sustainable future for generations to come. Although we aim to make significant progress during the next strategy period, we are looking beyond 2030 and far into the future. We want to be net zero by 2040, climate positive by 2050 and we will promote zero emission technology across the transport sector. We have been benchmarked as Platinum status in the Business in the Community Northern Ireland Environmental Benchmarking Survey and we will continue to benchmark Translink with the very best organisations in carbon emission reduction.</w:t>
      </w:r>
    </w:p>
    <w:p w14:paraId="243540F2"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2A094B19" w14:textId="77777777" w:rsidR="00A47CCA" w:rsidRPr="00A47CCA" w:rsidRDefault="00A47CCA" w:rsidP="00E13F42">
      <w:pPr>
        <w:pStyle w:val="Heading3"/>
      </w:pPr>
      <w:bookmarkStart w:id="85" w:name="_Toc213058527"/>
      <w:r w:rsidRPr="00A47CCA">
        <w:t>Action on Sustainable Infrastructure</w:t>
      </w:r>
      <w:bookmarkEnd w:id="85"/>
    </w:p>
    <w:p w14:paraId="4192C6FD" w14:textId="77777777" w:rsidR="00A47CCA" w:rsidRPr="00A47CCA" w:rsidRDefault="00A47CCA" w:rsidP="00A47CCA">
      <w:pPr>
        <w:rPr>
          <w:rFonts w:cs="Arial"/>
          <w:color w:val="000000" w:themeColor="text1"/>
        </w:rPr>
      </w:pPr>
      <w:r w:rsidRPr="00A47CCA">
        <w:rPr>
          <w:rFonts w:cs="Arial"/>
          <w:color w:val="000000" w:themeColor="text1"/>
        </w:rPr>
        <w:t xml:space="preserve">Incorporating the potential for electric and hydrogen technologies, we will develop a rail infrastructure plan focused on decarbonising the rail network. Our energy strategy will seek to </w:t>
      </w:r>
      <w:r w:rsidRPr="00A47CCA">
        <w:rPr>
          <w:rFonts w:cs="Arial"/>
          <w:color w:val="000000" w:themeColor="text1"/>
        </w:rPr>
        <w:lastRenderedPageBreak/>
        <w:t xml:space="preserve">reduce emissions for buildings, facilities and infrastructure, such as signalling and telecommunications. We aim to change the way we design, build and operate our infrastructure and assets so we can minimise our whole-life carbon and air pollution emissions. </w:t>
      </w:r>
    </w:p>
    <w:p w14:paraId="36E8A7A2"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1673D5E2" w14:textId="77777777" w:rsidR="00A47CCA" w:rsidRPr="00A47CCA" w:rsidRDefault="00A47CCA" w:rsidP="00E13F42">
      <w:pPr>
        <w:pStyle w:val="Heading3"/>
      </w:pPr>
      <w:bookmarkStart w:id="86" w:name="_Toc213058528"/>
      <w:r w:rsidRPr="00A47CCA">
        <w:t>Action on Sustainable Bus Fleet</w:t>
      </w:r>
      <w:bookmarkEnd w:id="86"/>
      <w:r w:rsidRPr="00A47CCA">
        <w:t xml:space="preserve"> </w:t>
      </w:r>
    </w:p>
    <w:p w14:paraId="74E10562" w14:textId="77777777" w:rsidR="00A47CCA" w:rsidRPr="00A47CCA" w:rsidRDefault="00A47CCA" w:rsidP="00A47CCA">
      <w:pPr>
        <w:rPr>
          <w:rFonts w:cs="Arial"/>
          <w:color w:val="000000" w:themeColor="text1"/>
        </w:rPr>
      </w:pPr>
      <w:r w:rsidRPr="00A47CCA">
        <w:rPr>
          <w:rFonts w:cs="Arial"/>
          <w:color w:val="000000" w:themeColor="text1"/>
        </w:rPr>
        <w:t>We will embrace zero/low emission technology and innovations to decarbonise public transport. This will build on the programme of zero emission bus replacement which started in 2021/22. In 2023, we introduced a further 44 Battery Electric vehicles in Foyle Metro and Coleraine and deliveries have begun of the 100 zero emission buses which were ordered in late 2022. We will develop a bus procurement plan, to meet the target of net zero by 2040.</w:t>
      </w:r>
    </w:p>
    <w:p w14:paraId="779868F9"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2D0019B6" w14:textId="77777777" w:rsidR="00A47CCA" w:rsidRPr="00A47CCA" w:rsidRDefault="00A47CCA" w:rsidP="00E13F42">
      <w:pPr>
        <w:pStyle w:val="Heading3"/>
      </w:pPr>
      <w:bookmarkStart w:id="87" w:name="_Toc213058529"/>
      <w:r w:rsidRPr="00A47CCA">
        <w:t>Action on Sustainable Rail Fleet</w:t>
      </w:r>
      <w:bookmarkEnd w:id="87"/>
    </w:p>
    <w:p w14:paraId="77E71B54" w14:textId="77777777" w:rsidR="00A47CCA" w:rsidRPr="00A47CCA" w:rsidRDefault="00A47CCA" w:rsidP="00A47CCA">
      <w:pPr>
        <w:rPr>
          <w:rFonts w:cs="Arial"/>
          <w:color w:val="000000" w:themeColor="text1"/>
        </w:rPr>
      </w:pPr>
      <w:r w:rsidRPr="00A47CCA">
        <w:rPr>
          <w:rFonts w:cs="Arial"/>
          <w:color w:val="000000" w:themeColor="text1"/>
        </w:rPr>
        <w:t xml:space="preserve">Our rail fleet will transition from diesel to electric/hydrogen technology. We will identify and embrace zero emission technology to create a cleaner fleet with the aim to meet the target of net zero by 2040. </w:t>
      </w:r>
    </w:p>
    <w:p w14:paraId="781058E7" w14:textId="77777777" w:rsidR="00A47CCA" w:rsidRPr="00A47CCA" w:rsidRDefault="00A47CCA" w:rsidP="00A47CCA">
      <w:pPr>
        <w:rPr>
          <w:rFonts w:cs="Arial"/>
          <w:color w:val="000000" w:themeColor="text1"/>
        </w:rPr>
      </w:pPr>
    </w:p>
    <w:p w14:paraId="262F8BA2" w14:textId="77777777" w:rsidR="00A47CCA" w:rsidRPr="00A47CCA" w:rsidRDefault="00A47CCA" w:rsidP="00E13F42">
      <w:pPr>
        <w:pStyle w:val="Heading3"/>
      </w:pPr>
      <w:bookmarkStart w:id="88" w:name="_Toc213058530"/>
      <w:r w:rsidRPr="00A47CCA">
        <w:t>Climate Resilience</w:t>
      </w:r>
      <w:bookmarkEnd w:id="88"/>
    </w:p>
    <w:p w14:paraId="090C871E" w14:textId="60745C47" w:rsidR="00A47CCA" w:rsidRPr="00A47CCA" w:rsidRDefault="00A47CCA" w:rsidP="00A47CCA">
      <w:pPr>
        <w:rPr>
          <w:rFonts w:cs="Arial"/>
          <w:color w:val="000000" w:themeColor="text1"/>
        </w:rPr>
      </w:pPr>
      <w:r w:rsidRPr="00A47CCA">
        <w:rPr>
          <w:rFonts w:cs="Arial"/>
          <w:color w:val="000000" w:themeColor="text1"/>
        </w:rPr>
        <w:t xml:space="preserve">In preparing for climate changes, we are taking steps to assess, plan, design, build and upgrade our infrastructure to ensure we can operate in a way that anticipates, prepares for, and adapts to changing climate conditions such as flooding and other impacts of extreme weather such as </w:t>
      </w:r>
      <w:r w:rsidRPr="00A47CCA">
        <w:rPr>
          <w:rFonts w:cs="Arial"/>
          <w:color w:val="000000" w:themeColor="text1"/>
        </w:rPr>
        <w:br/>
        <w:t xml:space="preserve">high temperatures. </w:t>
      </w:r>
    </w:p>
    <w:p w14:paraId="0ED00034" w14:textId="5CA47C0B" w:rsidR="000C1B69" w:rsidRDefault="000C1B69" w:rsidP="00506AC2"/>
    <w:p w14:paraId="3D03E02A" w14:textId="77777777" w:rsidR="000C1B69" w:rsidRPr="00E13F42" w:rsidRDefault="000C1B69" w:rsidP="00E13F42">
      <w:pPr>
        <w:pStyle w:val="Heading2"/>
      </w:pPr>
      <w:bookmarkStart w:id="89" w:name="_Toc176774959"/>
      <w:bookmarkStart w:id="90" w:name="_Toc176775342"/>
      <w:bookmarkStart w:id="91" w:name="_Toc213058531"/>
      <w:r w:rsidRPr="00E13F42">
        <w:t>Connecting Communities</w:t>
      </w:r>
      <w:bookmarkEnd w:id="89"/>
      <w:bookmarkEnd w:id="90"/>
      <w:bookmarkEnd w:id="91"/>
    </w:p>
    <w:p w14:paraId="58BB8B04" w14:textId="77777777" w:rsidR="000C1B69" w:rsidRPr="000C1B69" w:rsidRDefault="000C1B69" w:rsidP="00506AC2">
      <w:r w:rsidRPr="000C1B69">
        <w:t>This is how we will connect people and opportunities through our infrastructure and services.</w:t>
      </w:r>
    </w:p>
    <w:p w14:paraId="2DD0F78A" w14:textId="77777777" w:rsidR="000C1B69" w:rsidRPr="00A47CCA" w:rsidRDefault="000C1B69" w:rsidP="00A47CCA">
      <w:pPr>
        <w:rPr>
          <w:rFonts w:cs="Arial"/>
          <w:color w:val="000000" w:themeColor="text1"/>
        </w:rPr>
      </w:pPr>
    </w:p>
    <w:p w14:paraId="6FB6B690" w14:textId="77777777" w:rsidR="00A47CCA" w:rsidRPr="00A47CCA" w:rsidRDefault="00A47CCA" w:rsidP="00E13F42">
      <w:pPr>
        <w:pStyle w:val="Heading3"/>
      </w:pPr>
      <w:bookmarkStart w:id="92" w:name="_Toc213058532"/>
      <w:r w:rsidRPr="00A47CCA">
        <w:t>Connecting with Stakeholders</w:t>
      </w:r>
      <w:bookmarkEnd w:id="92"/>
    </w:p>
    <w:p w14:paraId="4F86925F" w14:textId="77777777" w:rsidR="00A47CCA" w:rsidRPr="00A47CCA" w:rsidRDefault="00A47CCA" w:rsidP="00A47CCA">
      <w:pPr>
        <w:rPr>
          <w:rFonts w:cs="Arial"/>
          <w:color w:val="000000" w:themeColor="text1"/>
        </w:rPr>
      </w:pPr>
      <w:r w:rsidRPr="00A47CCA">
        <w:rPr>
          <w:rFonts w:cs="Arial"/>
          <w:color w:val="000000" w:themeColor="text1"/>
        </w:rPr>
        <w:t>We are committed to the NI Executive’s Programme for Government and the United Nation’s Sustainable Development Goals. We recognise the importance of working closely with our stakeholders to deliver these shared goals for the people of NI and for future generations.</w:t>
      </w:r>
    </w:p>
    <w:p w14:paraId="78AA3208"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344E4FD9" w14:textId="77777777" w:rsidR="00A47CCA" w:rsidRPr="00A47CCA" w:rsidRDefault="00A47CCA" w:rsidP="00E13F42">
      <w:pPr>
        <w:pStyle w:val="Heading3"/>
      </w:pPr>
      <w:bookmarkStart w:id="93" w:name="_Toc213058533"/>
      <w:r w:rsidRPr="00A47CCA">
        <w:t>Connected Network Development</w:t>
      </w:r>
      <w:bookmarkEnd w:id="93"/>
    </w:p>
    <w:p w14:paraId="3B5A03BC" w14:textId="77777777" w:rsidR="00A47CCA" w:rsidRPr="00A47CCA" w:rsidRDefault="00A47CCA" w:rsidP="00A47CCA">
      <w:pPr>
        <w:rPr>
          <w:rFonts w:cs="Arial"/>
          <w:color w:val="000000" w:themeColor="text1"/>
        </w:rPr>
      </w:pPr>
      <w:r w:rsidRPr="00A47CCA">
        <w:rPr>
          <w:rFonts w:cs="Arial"/>
          <w:color w:val="000000" w:themeColor="text1"/>
        </w:rPr>
        <w:t>Our goal is to provide high levels of network coverage across Northern Ireland ensuring more than 80% of people in Northern Ireland have access to a public transport connection.</w:t>
      </w:r>
    </w:p>
    <w:p w14:paraId="074E1D37"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5AC37942" w14:textId="77777777" w:rsidR="00A47CCA" w:rsidRPr="00A47CCA" w:rsidRDefault="00A47CCA" w:rsidP="00E13F42">
      <w:pPr>
        <w:pStyle w:val="Heading3"/>
      </w:pPr>
      <w:bookmarkStart w:id="94" w:name="_Toc213058534"/>
      <w:r w:rsidRPr="00A47CCA">
        <w:lastRenderedPageBreak/>
        <w:t>Connected Services</w:t>
      </w:r>
      <w:bookmarkEnd w:id="94"/>
    </w:p>
    <w:p w14:paraId="180FAE3F" w14:textId="2B4E16B5" w:rsidR="00A47CCA" w:rsidRPr="00A47CCA" w:rsidRDefault="00A47CCA" w:rsidP="00A47CCA">
      <w:pPr>
        <w:rPr>
          <w:rFonts w:cs="Arial"/>
          <w:color w:val="000000" w:themeColor="text1"/>
        </w:rPr>
      </w:pPr>
      <w:r w:rsidRPr="00A47CCA">
        <w:rPr>
          <w:rFonts w:cs="Arial"/>
          <w:color w:val="000000" w:themeColor="text1"/>
        </w:rPr>
        <w:t xml:space="preserve">We will work with key stakeholders including the </w:t>
      </w:r>
      <w:proofErr w:type="spellStart"/>
      <w:r w:rsidRPr="00A47CCA">
        <w:rPr>
          <w:rFonts w:cs="Arial"/>
          <w:color w:val="000000" w:themeColor="text1"/>
        </w:rPr>
        <w:t>DfI</w:t>
      </w:r>
      <w:proofErr w:type="spellEnd"/>
      <w:r w:rsidRPr="00A47CCA">
        <w:rPr>
          <w:rFonts w:cs="Arial"/>
          <w:color w:val="000000" w:themeColor="text1"/>
        </w:rPr>
        <w:t>, local Councils, Public Health Agency and Sustrans to improve the integration of public transport and active travel.</w:t>
      </w:r>
    </w:p>
    <w:p w14:paraId="2C9C757D" w14:textId="77777777" w:rsidR="00A47CCA" w:rsidRPr="00A47CCA" w:rsidRDefault="00A47CCA" w:rsidP="00A47CCA">
      <w:pPr>
        <w:rPr>
          <w:rFonts w:cs="Arial"/>
          <w:color w:val="000000" w:themeColor="text1"/>
        </w:rPr>
      </w:pPr>
    </w:p>
    <w:p w14:paraId="095404A5" w14:textId="77777777" w:rsidR="00A47CCA" w:rsidRPr="00A47CCA" w:rsidRDefault="00A47CCA" w:rsidP="00A47CCA">
      <w:pPr>
        <w:rPr>
          <w:rFonts w:cs="Arial"/>
          <w:color w:val="000000" w:themeColor="text1"/>
        </w:rPr>
      </w:pPr>
      <w:r w:rsidRPr="00A47CCA">
        <w:rPr>
          <w:rFonts w:cs="Arial"/>
          <w:color w:val="000000" w:themeColor="text1"/>
        </w:rPr>
        <w:t>Enhancing accessibility will also be a key focus as will providing cost effective rural services to help sustain local towns across the region.</w:t>
      </w:r>
    </w:p>
    <w:p w14:paraId="7742E54F" w14:textId="77777777" w:rsidR="00A47CCA" w:rsidRPr="00A47CCA" w:rsidRDefault="00A47CCA" w:rsidP="00A47CCA">
      <w:pPr>
        <w:rPr>
          <w:rFonts w:cs="Arial"/>
          <w:color w:val="000000" w:themeColor="text1"/>
        </w:rPr>
      </w:pPr>
    </w:p>
    <w:p w14:paraId="5C6410D1" w14:textId="77777777" w:rsidR="00A47CCA" w:rsidRPr="00A47CCA" w:rsidRDefault="00A47CCA" w:rsidP="00E13F42">
      <w:pPr>
        <w:pStyle w:val="Heading3"/>
      </w:pPr>
      <w:bookmarkStart w:id="95" w:name="_Toc213058535"/>
      <w:r w:rsidRPr="00A47CCA">
        <w:t>Connected Infrastructure</w:t>
      </w:r>
      <w:bookmarkEnd w:id="95"/>
    </w:p>
    <w:p w14:paraId="05E60B34" w14:textId="77777777" w:rsidR="00A47CCA" w:rsidRPr="00A47CCA" w:rsidRDefault="00A47CCA" w:rsidP="00A47CCA">
      <w:pPr>
        <w:rPr>
          <w:rFonts w:cs="Arial"/>
          <w:color w:val="000000" w:themeColor="text1"/>
        </w:rPr>
      </w:pPr>
      <w:r w:rsidRPr="00A47CCA">
        <w:rPr>
          <w:rFonts w:cs="Arial"/>
          <w:color w:val="000000" w:themeColor="text1"/>
        </w:rPr>
        <w:t xml:space="preserve">In line with industry standards, we will maintain and enhance our infrastructure to deliver a safe and sustainable public transport network today and for future generations. </w:t>
      </w:r>
    </w:p>
    <w:p w14:paraId="6548853B"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2A2C233E" w14:textId="77777777" w:rsidR="00A47CCA" w:rsidRPr="00A47CCA" w:rsidRDefault="00A47CCA" w:rsidP="00E13F42">
      <w:pPr>
        <w:pStyle w:val="Heading3"/>
      </w:pPr>
      <w:bookmarkStart w:id="96" w:name="_Toc213058536"/>
      <w:r w:rsidRPr="00A47CCA">
        <w:t>Rail Network</w:t>
      </w:r>
      <w:bookmarkEnd w:id="96"/>
    </w:p>
    <w:p w14:paraId="7A50D032" w14:textId="6DC9FAD0" w:rsidR="00A47CCA" w:rsidRPr="00A47CCA" w:rsidRDefault="00A47CCA" w:rsidP="00A47CCA">
      <w:pPr>
        <w:rPr>
          <w:rFonts w:cs="Arial"/>
          <w:color w:val="000000" w:themeColor="text1"/>
        </w:rPr>
      </w:pPr>
      <w:r w:rsidRPr="00A47CCA">
        <w:rPr>
          <w:rFonts w:cs="Arial"/>
          <w:color w:val="000000" w:themeColor="text1"/>
        </w:rPr>
        <w:t xml:space="preserve">In conjunction with the </w:t>
      </w:r>
      <w:proofErr w:type="spellStart"/>
      <w:r w:rsidRPr="00A47CCA">
        <w:rPr>
          <w:rFonts w:cs="Arial"/>
          <w:color w:val="000000" w:themeColor="text1"/>
        </w:rPr>
        <w:t>DfI</w:t>
      </w:r>
      <w:proofErr w:type="spellEnd"/>
      <w:r w:rsidRPr="00A47CCA">
        <w:rPr>
          <w:rFonts w:cs="Arial"/>
          <w:color w:val="000000" w:themeColor="text1"/>
        </w:rPr>
        <w:t xml:space="preserve"> and other stakeholders we will input to the ‘All Island Strategic Rail Review,’ to consider the rail network and to view how it can be improved for everyone. </w:t>
      </w:r>
    </w:p>
    <w:p w14:paraId="095003BB"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5DABD042" w14:textId="77777777" w:rsidR="00A47CCA" w:rsidRPr="00E13F42" w:rsidRDefault="00A47CCA" w:rsidP="00E13F42">
      <w:pPr>
        <w:pStyle w:val="Heading3"/>
      </w:pPr>
      <w:bookmarkStart w:id="97" w:name="_Toc213058537"/>
      <w:r w:rsidRPr="00E13F42">
        <w:t>Bus Network</w:t>
      </w:r>
      <w:bookmarkEnd w:id="97"/>
    </w:p>
    <w:p w14:paraId="23615E14" w14:textId="77777777" w:rsidR="00A47CCA" w:rsidRPr="00A47CCA" w:rsidRDefault="00A47CCA" w:rsidP="00A47CCA">
      <w:pPr>
        <w:rPr>
          <w:rFonts w:cs="Arial"/>
          <w:color w:val="000000" w:themeColor="text1"/>
        </w:rPr>
      </w:pPr>
      <w:r w:rsidRPr="00A47CCA">
        <w:rPr>
          <w:rFonts w:cs="Arial"/>
          <w:color w:val="000000" w:themeColor="text1"/>
        </w:rPr>
        <w:t xml:space="preserve">In conjunction with the </w:t>
      </w:r>
      <w:proofErr w:type="spellStart"/>
      <w:r w:rsidRPr="00A47CCA">
        <w:rPr>
          <w:rFonts w:cs="Arial"/>
          <w:color w:val="000000" w:themeColor="text1"/>
        </w:rPr>
        <w:t>DfI</w:t>
      </w:r>
      <w:proofErr w:type="spellEnd"/>
      <w:r w:rsidRPr="00A47CCA">
        <w:rPr>
          <w:rFonts w:cs="Arial"/>
          <w:color w:val="000000" w:themeColor="text1"/>
        </w:rPr>
        <w:t xml:space="preserve">, we will work to promote and extend bus priority schemes, park and ride and Glider Phase 2, which extends the service to the North and South of Belfast. </w:t>
      </w:r>
    </w:p>
    <w:p w14:paraId="6962E088" w14:textId="77777777" w:rsidR="00A47CCA" w:rsidRPr="00A47CCA" w:rsidRDefault="00A47CCA" w:rsidP="00A47CCA">
      <w:pPr>
        <w:rPr>
          <w:rFonts w:cs="Arial"/>
          <w:color w:val="000000" w:themeColor="text1"/>
        </w:rPr>
      </w:pPr>
    </w:p>
    <w:p w14:paraId="114CB540" w14:textId="77777777" w:rsidR="00A47CCA" w:rsidRPr="00A47CCA" w:rsidRDefault="00A47CCA" w:rsidP="00E13F42">
      <w:pPr>
        <w:pStyle w:val="Heading2"/>
      </w:pPr>
      <w:bookmarkStart w:id="98" w:name="_Toc213058538"/>
      <w:r w:rsidRPr="00A47CCA">
        <w:t>Key Achievements 2024-2025</w:t>
      </w:r>
      <w:bookmarkEnd w:id="98"/>
    </w:p>
    <w:p w14:paraId="46D204AF" w14:textId="77777777" w:rsidR="00A47CCA" w:rsidRPr="00A47CCA" w:rsidRDefault="00A47CCA" w:rsidP="00E13F42">
      <w:pPr>
        <w:pStyle w:val="Heading3"/>
      </w:pPr>
      <w:bookmarkStart w:id="99" w:name="_Toc213058539"/>
      <w:r w:rsidRPr="00A47CCA">
        <w:t>Bus Fleet</w:t>
      </w:r>
      <w:bookmarkEnd w:id="99"/>
      <w:r w:rsidRPr="00A47CCA">
        <w:t xml:space="preserve"> </w:t>
      </w:r>
    </w:p>
    <w:p w14:paraId="020A7C67" w14:textId="04AA2A3D" w:rsidR="00A47CCA" w:rsidRPr="00A47CCA" w:rsidRDefault="00A47CCA" w:rsidP="00A47CCA">
      <w:pPr>
        <w:rPr>
          <w:rFonts w:cs="Arial"/>
          <w:color w:val="000000" w:themeColor="text1"/>
        </w:rPr>
      </w:pPr>
      <w:r w:rsidRPr="00A47CCA">
        <w:rPr>
          <w:rFonts w:cs="Arial"/>
          <w:color w:val="000000" w:themeColor="text1"/>
        </w:rPr>
        <w:t xml:space="preserve">We </w:t>
      </w:r>
      <w:proofErr w:type="gramStart"/>
      <w:r w:rsidRPr="00A47CCA">
        <w:rPr>
          <w:rFonts w:cs="Arial"/>
          <w:color w:val="000000" w:themeColor="text1"/>
        </w:rPr>
        <w:t>continue on</w:t>
      </w:r>
      <w:proofErr w:type="gramEnd"/>
      <w:r w:rsidRPr="00A47CCA">
        <w:rPr>
          <w:rFonts w:cs="Arial"/>
          <w:color w:val="000000" w:themeColor="text1"/>
        </w:rPr>
        <w:t xml:space="preserve"> the journey to deliver a zero-emission public transport future for Northern Ireland. During the year, we took delivery of 100 new zero-emission buses for </w:t>
      </w:r>
      <w:proofErr w:type="spellStart"/>
      <w:r w:rsidRPr="00A47CCA">
        <w:rPr>
          <w:rFonts w:cs="Arial"/>
          <w:color w:val="000000" w:themeColor="text1"/>
        </w:rPr>
        <w:t>Ulsterbus</w:t>
      </w:r>
      <w:proofErr w:type="spellEnd"/>
      <w:r w:rsidRPr="00A47CCA">
        <w:rPr>
          <w:rFonts w:cs="Arial"/>
          <w:color w:val="000000" w:themeColor="text1"/>
        </w:rPr>
        <w:t xml:space="preserve"> and Metro and commenced installation of the electric vehicle charging infrastructure. The new battery electric buses are a mix of single-deck and double-deck vehicles, and the single deck buses offer an extended journey range on a single charge. </w:t>
      </w:r>
    </w:p>
    <w:p w14:paraId="67533230" w14:textId="77777777" w:rsidR="00A47CCA" w:rsidRPr="00A47CCA" w:rsidRDefault="00A47CCA" w:rsidP="00A47CCA">
      <w:pPr>
        <w:rPr>
          <w:rFonts w:cs="Arial"/>
          <w:color w:val="000000" w:themeColor="text1"/>
        </w:rPr>
      </w:pPr>
    </w:p>
    <w:p w14:paraId="7DB9532C" w14:textId="77777777" w:rsidR="00A47CCA" w:rsidRPr="00A47CCA" w:rsidRDefault="00A47CCA" w:rsidP="00A47CCA">
      <w:pPr>
        <w:rPr>
          <w:rFonts w:cs="Arial"/>
          <w:color w:val="000000" w:themeColor="text1"/>
        </w:rPr>
      </w:pPr>
      <w:r w:rsidRPr="00A47CCA">
        <w:rPr>
          <w:rFonts w:cs="Arial"/>
          <w:color w:val="000000" w:themeColor="text1"/>
        </w:rPr>
        <w:t xml:space="preserve">Deliveries of these new buses commenced in March 2024, and they have entered service in the Metro fleet in Belfast and in </w:t>
      </w:r>
      <w:proofErr w:type="spellStart"/>
      <w:r w:rsidRPr="00A47CCA">
        <w:rPr>
          <w:rFonts w:cs="Arial"/>
          <w:color w:val="000000" w:themeColor="text1"/>
        </w:rPr>
        <w:t>Ulsterbus</w:t>
      </w:r>
      <w:proofErr w:type="spellEnd"/>
      <w:r w:rsidRPr="00A47CCA">
        <w:rPr>
          <w:rFonts w:cs="Arial"/>
          <w:color w:val="000000" w:themeColor="text1"/>
        </w:rPr>
        <w:t xml:space="preserve"> services, including the North-West area, Coleraine and Craigavon on a phased basis throughout 2024 and 2025. </w:t>
      </w:r>
    </w:p>
    <w:p w14:paraId="4EBF4F4A" w14:textId="77777777" w:rsidR="00A47CCA" w:rsidRPr="00A47CCA" w:rsidRDefault="00A47CCA" w:rsidP="00A47CCA">
      <w:pPr>
        <w:rPr>
          <w:rFonts w:cs="Arial"/>
          <w:color w:val="000000" w:themeColor="text1"/>
        </w:rPr>
      </w:pPr>
    </w:p>
    <w:p w14:paraId="1C51BB54" w14:textId="77777777" w:rsidR="00A47CCA" w:rsidRPr="00A47CCA" w:rsidRDefault="00A47CCA" w:rsidP="00A47CCA">
      <w:pPr>
        <w:rPr>
          <w:rFonts w:cs="Arial"/>
          <w:color w:val="000000" w:themeColor="text1"/>
        </w:rPr>
      </w:pPr>
      <w:r w:rsidRPr="00A47CCA">
        <w:rPr>
          <w:rFonts w:cs="Arial"/>
          <w:color w:val="000000" w:themeColor="text1"/>
        </w:rPr>
        <w:t xml:space="preserve">This investment in zero-emission buses supports our plans to decarbonise our fleet and lead the transformation of transport in Northern Ireland for a cleaner, greener and healthier future for generations to come. It enables us to deliver the benefits of zero-emission technology to more </w:t>
      </w:r>
      <w:r w:rsidRPr="00A47CCA">
        <w:rPr>
          <w:rFonts w:cs="Arial"/>
          <w:color w:val="000000" w:themeColor="text1"/>
        </w:rPr>
        <w:lastRenderedPageBreak/>
        <w:t xml:space="preserve">areas across NI. Plans are in progress for the next phase of zero and low emission vehicles aimed at expanding the current zero-emission </w:t>
      </w:r>
      <w:proofErr w:type="spellStart"/>
      <w:r w:rsidRPr="00A47CCA">
        <w:rPr>
          <w:rFonts w:cs="Arial"/>
          <w:color w:val="000000" w:themeColor="text1"/>
        </w:rPr>
        <w:t>Ulsterbus</w:t>
      </w:r>
      <w:proofErr w:type="spellEnd"/>
      <w:r w:rsidRPr="00A47CCA">
        <w:rPr>
          <w:rFonts w:cs="Arial"/>
          <w:color w:val="000000" w:themeColor="text1"/>
        </w:rPr>
        <w:t xml:space="preserve"> and Metro fleets. All the new buses run on sustainably sourced “green” electricity and offer the latest standards in comfort, quality and accessibility with in-seat USB chargers, </w:t>
      </w:r>
      <w:proofErr w:type="spellStart"/>
      <w:r w:rsidRPr="00A47CCA">
        <w:rPr>
          <w:rFonts w:cs="Arial"/>
          <w:color w:val="000000" w:themeColor="text1"/>
        </w:rPr>
        <w:t>WiFi</w:t>
      </w:r>
      <w:proofErr w:type="spellEnd"/>
      <w:r w:rsidRPr="00A47CCA">
        <w:rPr>
          <w:rFonts w:cs="Arial"/>
          <w:color w:val="000000" w:themeColor="text1"/>
        </w:rPr>
        <w:t xml:space="preserve"> and low-floor accessibility features. </w:t>
      </w:r>
    </w:p>
    <w:p w14:paraId="068C3925" w14:textId="77777777" w:rsidR="00A47CCA" w:rsidRPr="00A47CCA" w:rsidRDefault="00A47CCA" w:rsidP="00A47CCA">
      <w:pPr>
        <w:rPr>
          <w:rFonts w:cs="Arial"/>
          <w:color w:val="000000" w:themeColor="text1"/>
        </w:rPr>
      </w:pPr>
      <w:r w:rsidRPr="00A47CCA">
        <w:rPr>
          <w:rFonts w:cs="Arial"/>
          <w:color w:val="000000" w:themeColor="text1"/>
        </w:rPr>
        <w:t xml:space="preserve"> </w:t>
      </w:r>
    </w:p>
    <w:p w14:paraId="4C78F9B0" w14:textId="77777777" w:rsidR="00A47CCA" w:rsidRPr="00A47CCA" w:rsidRDefault="00A47CCA" w:rsidP="00FF49BF">
      <w:pPr>
        <w:pStyle w:val="Heading3"/>
      </w:pPr>
      <w:bookmarkStart w:id="100" w:name="_Toc213058540"/>
      <w:r w:rsidRPr="00A47CCA">
        <w:t>Rail Fleet - Enterprise</w:t>
      </w:r>
      <w:bookmarkEnd w:id="100"/>
    </w:p>
    <w:p w14:paraId="580FA615" w14:textId="77777777" w:rsidR="00A47CCA" w:rsidRPr="00A47CCA" w:rsidRDefault="00A47CCA" w:rsidP="00A47CCA">
      <w:pPr>
        <w:rPr>
          <w:rFonts w:cs="Arial"/>
          <w:color w:val="000000" w:themeColor="text1"/>
        </w:rPr>
      </w:pPr>
      <w:r w:rsidRPr="00A47CCA">
        <w:rPr>
          <w:rFonts w:cs="Arial"/>
          <w:color w:val="000000" w:themeColor="text1"/>
        </w:rPr>
        <w:t>In late October 2024 we commenced an hourly Enterprise train service between Belfast Grand Central station and Dublin’s Connolly station, with funding provided by the Shared Island fund. Fifteen services now operate in each direction between Belfast and Dublin from Mondays to Saturdays, up from eight each way previously, and eight each way on Sundays (up from six each way previously). This increased level of service offers more choice and flexibility for customers between the two cities and for those that travel to/from interim stations. The enhanced connectivity brings many benefits for business, retail and tourism, help tackle the climate emergency and provide a boost to the thriving all-island economy. Translink and Iarnród Éireann are also actively working on an Enterprise fleet replacement programme.</w:t>
      </w:r>
    </w:p>
    <w:p w14:paraId="6B6368F7" w14:textId="77777777" w:rsidR="00A47CCA" w:rsidRPr="00A47CCA" w:rsidRDefault="00A47CCA" w:rsidP="00A47CCA">
      <w:pPr>
        <w:rPr>
          <w:rFonts w:cs="Arial"/>
          <w:color w:val="000000" w:themeColor="text1"/>
        </w:rPr>
      </w:pPr>
    </w:p>
    <w:p w14:paraId="5FBEB6CD" w14:textId="77777777" w:rsidR="00A47CCA" w:rsidRPr="00A47CCA" w:rsidRDefault="00A47CCA" w:rsidP="00FF49BF">
      <w:pPr>
        <w:pStyle w:val="Heading3"/>
      </w:pPr>
      <w:bookmarkStart w:id="101" w:name="_Toc213058541"/>
      <w:r w:rsidRPr="00A47CCA">
        <w:t>Opening of Belfast Grand Central Station</w:t>
      </w:r>
      <w:bookmarkEnd w:id="101"/>
    </w:p>
    <w:p w14:paraId="3277C60B" w14:textId="77777777" w:rsidR="00A47CCA" w:rsidRDefault="00A47CCA" w:rsidP="00A47CCA">
      <w:pPr>
        <w:rPr>
          <w:rFonts w:cs="Arial"/>
          <w:color w:val="000000" w:themeColor="text1"/>
        </w:rPr>
      </w:pPr>
      <w:r w:rsidRPr="00A47CCA">
        <w:rPr>
          <w:rFonts w:cs="Arial"/>
          <w:color w:val="000000" w:themeColor="text1"/>
        </w:rPr>
        <w:t>In September 2024 we welcomed the bus operational opening of Belfast Grand Central Station, shortly followed by the rail opening in mid-October 2024. Feedback from customers and visitors has been very positive.</w:t>
      </w:r>
    </w:p>
    <w:p w14:paraId="4F39C3CB" w14:textId="77777777" w:rsidR="00A47CCA" w:rsidRPr="00A47CCA" w:rsidRDefault="00A47CCA" w:rsidP="00A47CCA">
      <w:pPr>
        <w:rPr>
          <w:rFonts w:cs="Arial"/>
          <w:color w:val="000000" w:themeColor="text1"/>
        </w:rPr>
      </w:pPr>
    </w:p>
    <w:p w14:paraId="37F5593B" w14:textId="77777777" w:rsidR="00A47CCA" w:rsidRPr="00A47CCA" w:rsidRDefault="00A47CCA" w:rsidP="00A47CCA">
      <w:pPr>
        <w:rPr>
          <w:rFonts w:cs="Arial"/>
          <w:color w:val="000000" w:themeColor="text1"/>
        </w:rPr>
      </w:pPr>
      <w:r w:rsidRPr="00A47CCA">
        <w:rPr>
          <w:rFonts w:cs="Arial"/>
          <w:color w:val="000000" w:themeColor="text1"/>
        </w:rPr>
        <w:t xml:space="preserve">This hugely important NI Executive Flagship project, funded by the Department for Infrastructure, will bring about a step change in public transport.   It is now a major integrated transport gateway to Belfast and Northern Ireland, enhancing local and international connectivity with rail, bus and coach connections across Northern Ireland and beyond. Belfast Grand Central Station is a landmark location, offering an enhanced user experience for over 20 million customer journeys every year. This transformation will help to encourage more people to choose more sustainable travel choices, tackling the climate emergency and creating a cleaner, healthier region for everyone. With a clear focus on active travel, the streets adjoining the station will include allocation of road space to pedestrians and cyclists including the provision of more than 200 spaces for cycle parking. </w:t>
      </w:r>
    </w:p>
    <w:p w14:paraId="5A6CFFFA" w14:textId="77777777" w:rsidR="00A47CCA" w:rsidRPr="00A47CCA" w:rsidRDefault="00A47CCA" w:rsidP="00A47CCA">
      <w:pPr>
        <w:rPr>
          <w:rFonts w:cs="Arial"/>
          <w:color w:val="000000" w:themeColor="text1"/>
        </w:rPr>
      </w:pPr>
    </w:p>
    <w:p w14:paraId="22A507F8" w14:textId="77777777" w:rsidR="00A47CCA" w:rsidRPr="00A47CCA" w:rsidRDefault="00A47CCA" w:rsidP="00FF49BF">
      <w:pPr>
        <w:pStyle w:val="Heading3"/>
      </w:pPr>
      <w:bookmarkStart w:id="102" w:name="_Toc213058542"/>
      <w:r w:rsidRPr="00A47CCA">
        <w:lastRenderedPageBreak/>
        <w:t>Weavers Cross</w:t>
      </w:r>
      <w:bookmarkEnd w:id="102"/>
    </w:p>
    <w:p w14:paraId="302F6905" w14:textId="77777777" w:rsidR="00A47CCA" w:rsidRPr="00A47CCA" w:rsidRDefault="00A47CCA" w:rsidP="00A47CCA">
      <w:pPr>
        <w:rPr>
          <w:rFonts w:cs="Arial"/>
          <w:color w:val="000000" w:themeColor="text1"/>
        </w:rPr>
      </w:pPr>
      <w:r w:rsidRPr="00A47CCA">
        <w:rPr>
          <w:rFonts w:cs="Arial"/>
          <w:color w:val="000000" w:themeColor="text1"/>
        </w:rPr>
        <w:t>In August 2022 we welcomed Belfast City Council’s decision to approve plans for Weavers Cross, a significant transport-led regeneration project around the site of the new Belfast Grand Central station, which promises to bring circa 1.5 million square feet of mixed-use space to a strategic location in central Belfast. The long-term redevelopment presents an opportunity to unlock £1bn of additional spend in the economy and to create a legacy of wider regeneration of surrounding areas of the city.</w:t>
      </w:r>
    </w:p>
    <w:p w14:paraId="1FC5F318" w14:textId="77777777" w:rsidR="00344BF7" w:rsidRPr="00A47CCA" w:rsidRDefault="00344BF7" w:rsidP="00A47CCA">
      <w:pPr>
        <w:rPr>
          <w:rFonts w:cs="Arial"/>
          <w:color w:val="000000" w:themeColor="text1"/>
        </w:rPr>
      </w:pPr>
    </w:p>
    <w:p w14:paraId="440966B8" w14:textId="77777777" w:rsidR="00A47CCA" w:rsidRPr="00A47CCA" w:rsidRDefault="00A47CCA" w:rsidP="00FF49BF">
      <w:pPr>
        <w:pStyle w:val="Heading3"/>
      </w:pPr>
      <w:bookmarkStart w:id="103" w:name="_Toc213058543"/>
      <w:r w:rsidRPr="00A47CCA">
        <w:t>York Street Train Station Transformation</w:t>
      </w:r>
      <w:bookmarkEnd w:id="103"/>
    </w:p>
    <w:p w14:paraId="37B67630" w14:textId="77777777" w:rsidR="00A47CCA" w:rsidRPr="00A47CCA" w:rsidRDefault="00A47CCA" w:rsidP="00A47CCA">
      <w:pPr>
        <w:rPr>
          <w:rFonts w:cs="Arial"/>
          <w:color w:val="000000" w:themeColor="text1"/>
        </w:rPr>
      </w:pPr>
      <w:r w:rsidRPr="00A47CCA">
        <w:rPr>
          <w:rFonts w:cs="Arial"/>
          <w:color w:val="000000" w:themeColor="text1"/>
        </w:rPr>
        <w:t>The new high quality, sustainable train station at York Street in North Belfast station opened in April 2024. The new station provides modern, more accessible facilities for passengers with better links to walking and cycling. Externally the area has been transformed with high quality landscaping and a new public realm area. With connectivity also enhanced, this station now is a key gateway to access the new Ulster University campus and the planned City Quays development and is vital for the regeneration of the local area.</w:t>
      </w:r>
    </w:p>
    <w:p w14:paraId="6DE0E501" w14:textId="77777777" w:rsidR="00A47CCA" w:rsidRPr="00A47CCA" w:rsidRDefault="00A47CCA" w:rsidP="00A47CCA">
      <w:pPr>
        <w:rPr>
          <w:rFonts w:cs="Arial"/>
          <w:color w:val="000000" w:themeColor="text1"/>
        </w:rPr>
      </w:pPr>
    </w:p>
    <w:p w14:paraId="67BE41D6" w14:textId="77777777" w:rsidR="00A47CCA" w:rsidRPr="00A47CCA" w:rsidRDefault="00A47CCA" w:rsidP="00FF49BF">
      <w:pPr>
        <w:pStyle w:val="Heading3"/>
      </w:pPr>
      <w:bookmarkStart w:id="104" w:name="_Toc213058544"/>
      <w:r w:rsidRPr="00A47CCA">
        <w:t>Consultation on Glider Phase 2</w:t>
      </w:r>
      <w:bookmarkEnd w:id="104"/>
    </w:p>
    <w:p w14:paraId="08F08CEE" w14:textId="77777777" w:rsidR="00A47CCA" w:rsidRPr="00A47CCA" w:rsidRDefault="00A47CCA" w:rsidP="00A47CCA">
      <w:pPr>
        <w:rPr>
          <w:rFonts w:cs="Arial"/>
          <w:color w:val="000000" w:themeColor="text1"/>
        </w:rPr>
      </w:pPr>
      <w:r w:rsidRPr="00A47CCA">
        <w:rPr>
          <w:rFonts w:cs="Arial"/>
          <w:color w:val="000000" w:themeColor="text1"/>
        </w:rPr>
        <w:t>In October 2022 the Department published its report on the Bus Rapid Transit 2 (“BRT2”) consultation.</w:t>
      </w:r>
    </w:p>
    <w:p w14:paraId="0F5B464E" w14:textId="77777777" w:rsidR="00A47CCA" w:rsidRPr="00A47CCA" w:rsidRDefault="00A47CCA" w:rsidP="00A47CCA">
      <w:pPr>
        <w:rPr>
          <w:rFonts w:cs="Arial"/>
          <w:color w:val="000000" w:themeColor="text1"/>
        </w:rPr>
      </w:pPr>
    </w:p>
    <w:p w14:paraId="3BA4C885" w14:textId="77777777" w:rsidR="00A47CCA" w:rsidRPr="00A47CCA" w:rsidRDefault="00A47CCA" w:rsidP="00A47CCA">
      <w:pPr>
        <w:rPr>
          <w:rFonts w:cs="Arial"/>
          <w:color w:val="000000" w:themeColor="text1"/>
        </w:rPr>
      </w:pPr>
      <w:r w:rsidRPr="00A47CCA">
        <w:rPr>
          <w:rFonts w:cs="Arial"/>
          <w:color w:val="000000" w:themeColor="text1"/>
        </w:rPr>
        <w:t>The route selection process included assessments to identify the route options capable of delivering a scheme which fulfils the following key objectives of BRT2:</w:t>
      </w:r>
    </w:p>
    <w:p w14:paraId="3BAD7A45" w14:textId="77777777" w:rsidR="00A47CCA" w:rsidRPr="00A47CCA" w:rsidRDefault="00A47CCA" w:rsidP="00A47CCA">
      <w:pPr>
        <w:rPr>
          <w:rFonts w:cs="Arial"/>
          <w:color w:val="000000" w:themeColor="text1"/>
        </w:rPr>
      </w:pPr>
    </w:p>
    <w:p w14:paraId="09388EBF" w14:textId="098ED317" w:rsidR="00A47CCA" w:rsidRPr="00A47CCA" w:rsidRDefault="00A47CCA" w:rsidP="00A47CCA">
      <w:pPr>
        <w:pStyle w:val="ListParagraph"/>
        <w:numPr>
          <w:ilvl w:val="0"/>
          <w:numId w:val="54"/>
        </w:numPr>
        <w:rPr>
          <w:rFonts w:cs="Arial"/>
          <w:color w:val="000000" w:themeColor="text1"/>
        </w:rPr>
      </w:pPr>
      <w:r w:rsidRPr="00A47CCA">
        <w:rPr>
          <w:rFonts w:cs="Arial"/>
          <w:color w:val="000000" w:themeColor="text1"/>
        </w:rPr>
        <w:t xml:space="preserve">Provide a safe, efficient and high-quality public transport </w:t>
      </w:r>
      <w:proofErr w:type="gramStart"/>
      <w:r w:rsidRPr="00A47CCA">
        <w:rPr>
          <w:rFonts w:cs="Arial"/>
          <w:color w:val="000000" w:themeColor="text1"/>
        </w:rPr>
        <w:t>service;</w:t>
      </w:r>
      <w:proofErr w:type="gramEnd"/>
    </w:p>
    <w:p w14:paraId="59C8FB85" w14:textId="4EB02613" w:rsidR="00A47CCA" w:rsidRPr="00A47CCA" w:rsidRDefault="00A47CCA" w:rsidP="00A47CCA">
      <w:pPr>
        <w:pStyle w:val="ListParagraph"/>
        <w:numPr>
          <w:ilvl w:val="0"/>
          <w:numId w:val="54"/>
        </w:numPr>
        <w:rPr>
          <w:rFonts w:cs="Arial"/>
          <w:color w:val="000000" w:themeColor="text1"/>
        </w:rPr>
      </w:pPr>
      <w:r w:rsidRPr="00A47CCA">
        <w:rPr>
          <w:rFonts w:cs="Arial"/>
          <w:color w:val="000000" w:themeColor="text1"/>
        </w:rPr>
        <w:t xml:space="preserve">Support sustainable economic growth and </w:t>
      </w:r>
      <w:proofErr w:type="gramStart"/>
      <w:r w:rsidRPr="00A47CCA">
        <w:rPr>
          <w:rFonts w:cs="Arial"/>
          <w:color w:val="000000" w:themeColor="text1"/>
        </w:rPr>
        <w:t>regeneration;</w:t>
      </w:r>
      <w:proofErr w:type="gramEnd"/>
    </w:p>
    <w:p w14:paraId="0E65F7C2" w14:textId="56B186E2" w:rsidR="00A47CCA" w:rsidRPr="00A47CCA" w:rsidRDefault="00A47CCA" w:rsidP="00A47CCA">
      <w:pPr>
        <w:pStyle w:val="ListParagraph"/>
        <w:numPr>
          <w:ilvl w:val="0"/>
          <w:numId w:val="54"/>
        </w:numPr>
        <w:rPr>
          <w:rFonts w:cs="Arial"/>
          <w:color w:val="000000" w:themeColor="text1"/>
        </w:rPr>
      </w:pPr>
      <w:r w:rsidRPr="00A47CCA">
        <w:rPr>
          <w:rFonts w:cs="Arial"/>
          <w:color w:val="000000" w:themeColor="text1"/>
        </w:rPr>
        <w:t>Provide equality through enhanced accessibility; and</w:t>
      </w:r>
    </w:p>
    <w:p w14:paraId="78DE8A2A" w14:textId="73908016" w:rsidR="00A47CCA" w:rsidRPr="00A47CCA" w:rsidRDefault="00A47CCA" w:rsidP="00A47CCA">
      <w:pPr>
        <w:pStyle w:val="ListParagraph"/>
        <w:numPr>
          <w:ilvl w:val="0"/>
          <w:numId w:val="54"/>
        </w:numPr>
        <w:rPr>
          <w:rFonts w:cs="Arial"/>
          <w:color w:val="000000" w:themeColor="text1"/>
        </w:rPr>
      </w:pPr>
      <w:r w:rsidRPr="00A47CCA">
        <w:rPr>
          <w:rFonts w:cs="Arial"/>
          <w:color w:val="000000" w:themeColor="text1"/>
        </w:rPr>
        <w:t>Support social inclusion and the integration of communities.</w:t>
      </w:r>
    </w:p>
    <w:p w14:paraId="0C677269" w14:textId="77777777" w:rsidR="00A47CCA" w:rsidRPr="00A47CCA" w:rsidRDefault="00A47CCA" w:rsidP="00A47CCA">
      <w:pPr>
        <w:rPr>
          <w:rFonts w:cs="Arial"/>
          <w:color w:val="000000" w:themeColor="text1"/>
        </w:rPr>
      </w:pPr>
    </w:p>
    <w:p w14:paraId="779CD113" w14:textId="77777777" w:rsidR="00A47CCA" w:rsidRPr="00A47CCA" w:rsidRDefault="00A47CCA" w:rsidP="00A47CCA">
      <w:pPr>
        <w:rPr>
          <w:rFonts w:cs="Arial"/>
          <w:color w:val="000000" w:themeColor="text1"/>
        </w:rPr>
      </w:pPr>
      <w:r w:rsidRPr="00A47CCA">
        <w:rPr>
          <w:rFonts w:cs="Arial"/>
          <w:color w:val="000000" w:themeColor="text1"/>
        </w:rPr>
        <w:t>The Glider’s success has been acknowledged both nationally and internationally. Its popularity boosted passenger journeys to record levels. The introduction of the new proposed North to South routes for Phase 2 will further improve connectivity across the city and inspire even more people to make public transport their first choice for travel, today, for tomorrow. We will continue to work with the Department for Infrastructure and key stakeholders to progress this important and exciting scheme for the city.</w:t>
      </w:r>
    </w:p>
    <w:p w14:paraId="560DC92D" w14:textId="77777777" w:rsidR="00A47CCA" w:rsidRPr="00A47CCA" w:rsidRDefault="00A47CCA" w:rsidP="00A47CCA">
      <w:pPr>
        <w:rPr>
          <w:rFonts w:cs="Arial"/>
          <w:color w:val="000000" w:themeColor="text1"/>
        </w:rPr>
      </w:pPr>
      <w:r w:rsidRPr="00A47CCA">
        <w:rPr>
          <w:rFonts w:cs="Arial"/>
          <w:color w:val="000000" w:themeColor="text1"/>
        </w:rPr>
        <w:lastRenderedPageBreak/>
        <w:t xml:space="preserve"> </w:t>
      </w:r>
    </w:p>
    <w:p w14:paraId="69EBA62D" w14:textId="77777777" w:rsidR="00A47CCA" w:rsidRPr="00A47CCA" w:rsidRDefault="00A47CCA" w:rsidP="00A47CCA">
      <w:pPr>
        <w:rPr>
          <w:rFonts w:cs="Arial"/>
          <w:b/>
          <w:bCs/>
          <w:color w:val="000000" w:themeColor="text1"/>
        </w:rPr>
      </w:pPr>
    </w:p>
    <w:p w14:paraId="1052FC98" w14:textId="77777777" w:rsidR="00A47CCA" w:rsidRPr="00A47CCA" w:rsidRDefault="00A47CCA" w:rsidP="00FF49BF">
      <w:pPr>
        <w:pStyle w:val="Heading3"/>
      </w:pPr>
      <w:bookmarkStart w:id="105" w:name="_Toc213058545"/>
      <w:r w:rsidRPr="00A47CCA">
        <w:t>Ticketing Progress and Plans</w:t>
      </w:r>
      <w:bookmarkEnd w:id="105"/>
      <w:r w:rsidRPr="00A47CCA">
        <w:t xml:space="preserve"> </w:t>
      </w:r>
    </w:p>
    <w:p w14:paraId="5AB10A71" w14:textId="77777777" w:rsidR="00A47CCA" w:rsidRPr="00A47CCA" w:rsidRDefault="00A47CCA" w:rsidP="00A47CCA">
      <w:pPr>
        <w:rPr>
          <w:rFonts w:cs="Arial"/>
          <w:color w:val="000000" w:themeColor="text1"/>
        </w:rPr>
      </w:pPr>
      <w:r w:rsidRPr="00A47CCA">
        <w:rPr>
          <w:rFonts w:cs="Arial"/>
          <w:color w:val="000000" w:themeColor="text1"/>
        </w:rPr>
        <w:t xml:space="preserve">In August 2024 we completed our roll out of contactless payments on all </w:t>
      </w:r>
      <w:proofErr w:type="spellStart"/>
      <w:r w:rsidRPr="00A47CCA">
        <w:rPr>
          <w:rFonts w:cs="Arial"/>
          <w:color w:val="000000" w:themeColor="text1"/>
        </w:rPr>
        <w:t>Ulsterbus</w:t>
      </w:r>
      <w:proofErr w:type="spellEnd"/>
      <w:r w:rsidRPr="00A47CCA">
        <w:rPr>
          <w:rFonts w:cs="Arial"/>
          <w:color w:val="000000" w:themeColor="text1"/>
        </w:rPr>
        <w:t xml:space="preserve"> and </w:t>
      </w:r>
      <w:proofErr w:type="spellStart"/>
      <w:r w:rsidRPr="00A47CCA">
        <w:rPr>
          <w:rFonts w:cs="Arial"/>
          <w:color w:val="000000" w:themeColor="text1"/>
        </w:rPr>
        <w:t>Goldline</w:t>
      </w:r>
      <w:proofErr w:type="spellEnd"/>
      <w:r w:rsidRPr="00A47CCA">
        <w:rPr>
          <w:rFonts w:cs="Arial"/>
          <w:color w:val="000000" w:themeColor="text1"/>
        </w:rPr>
        <w:t xml:space="preserve"> services across Northern Ireland, enabling faster boarding and an enhanced customer experience.   Passengers can now choose contactless payments on all bus and train journeys across </w:t>
      </w:r>
      <w:r w:rsidRPr="00A47CCA">
        <w:rPr>
          <w:rFonts w:cs="Arial"/>
          <w:color w:val="000000" w:themeColor="text1"/>
        </w:rPr>
        <w:br/>
        <w:t>the network enhancing integration, convenience and payment flexibility.</w:t>
      </w:r>
    </w:p>
    <w:p w14:paraId="54EA65DE" w14:textId="77777777" w:rsidR="00A47CCA" w:rsidRPr="00A47CCA" w:rsidRDefault="00A47CCA" w:rsidP="00A47CCA">
      <w:pPr>
        <w:rPr>
          <w:rFonts w:cs="Arial"/>
          <w:color w:val="000000" w:themeColor="text1"/>
        </w:rPr>
      </w:pPr>
    </w:p>
    <w:p w14:paraId="3F52E72A" w14:textId="77777777" w:rsidR="00A47CCA" w:rsidRPr="00A47CCA" w:rsidRDefault="00A47CCA" w:rsidP="00A47CCA">
      <w:pPr>
        <w:rPr>
          <w:rFonts w:cs="Arial"/>
          <w:color w:val="000000" w:themeColor="text1"/>
        </w:rPr>
      </w:pPr>
      <w:r w:rsidRPr="00A47CCA">
        <w:rPr>
          <w:rFonts w:cs="Arial"/>
          <w:color w:val="000000" w:themeColor="text1"/>
        </w:rPr>
        <w:t>This quick, easy and secure payment option allows passengers to seamlessly purchase tickets using a variety of methods, including contactless payments through smart devices such as mobile phones and watches, as well as credit or debit cards. In October 2024 we reached one million customers registered for a Translink contactless payment account.</w:t>
      </w:r>
    </w:p>
    <w:p w14:paraId="6A7B1736" w14:textId="77777777" w:rsidR="00A47CCA" w:rsidRPr="00A47CCA" w:rsidRDefault="00A47CCA" w:rsidP="00A47CCA">
      <w:pPr>
        <w:rPr>
          <w:rFonts w:cs="Arial"/>
          <w:color w:val="000000" w:themeColor="text1"/>
        </w:rPr>
      </w:pPr>
    </w:p>
    <w:p w14:paraId="0F367479" w14:textId="77777777" w:rsidR="00A47CCA" w:rsidRPr="00A47CCA" w:rsidRDefault="00A47CCA" w:rsidP="00A47CCA">
      <w:pPr>
        <w:rPr>
          <w:rFonts w:cs="Arial"/>
          <w:color w:val="000000" w:themeColor="text1"/>
        </w:rPr>
      </w:pPr>
      <w:r w:rsidRPr="00A47CCA">
        <w:rPr>
          <w:rFonts w:cs="Arial"/>
          <w:color w:val="000000" w:themeColor="text1"/>
        </w:rPr>
        <w:t>There has also been continued significant growth in the use of mobile ticketing on all bus and rail services with our ‘</w:t>
      </w:r>
      <w:proofErr w:type="spellStart"/>
      <w:r w:rsidRPr="00A47CCA">
        <w:rPr>
          <w:rFonts w:cs="Arial"/>
          <w:color w:val="000000" w:themeColor="text1"/>
        </w:rPr>
        <w:t>mLink</w:t>
      </w:r>
      <w:proofErr w:type="spellEnd"/>
      <w:r w:rsidRPr="00A47CCA">
        <w:rPr>
          <w:rFonts w:cs="Arial"/>
          <w:color w:val="000000" w:themeColor="text1"/>
        </w:rPr>
        <w:t>’ mobile app. In January 2025 we announced the roll out of new self-serve ticket vending machines (TVMs) at bus stations across the network, and to additional Park and Ride locations. The new technology makes it faster, easier and more convenient for passengers to buy their bus ticket before they travel.</w:t>
      </w:r>
    </w:p>
    <w:p w14:paraId="371EF11E" w14:textId="77777777" w:rsidR="00A47CCA" w:rsidRPr="00A47CCA" w:rsidRDefault="00A47CCA" w:rsidP="00A47CCA">
      <w:pPr>
        <w:rPr>
          <w:rFonts w:cs="Arial"/>
          <w:color w:val="000000" w:themeColor="text1"/>
        </w:rPr>
      </w:pPr>
    </w:p>
    <w:p w14:paraId="3914D75A" w14:textId="77777777" w:rsidR="00A47CCA" w:rsidRPr="00A47CCA" w:rsidRDefault="00A47CCA" w:rsidP="00A47CCA">
      <w:pPr>
        <w:rPr>
          <w:rFonts w:cs="Arial"/>
          <w:color w:val="000000" w:themeColor="text1"/>
        </w:rPr>
      </w:pPr>
      <w:r w:rsidRPr="00A47CCA">
        <w:rPr>
          <w:rFonts w:cs="Arial"/>
          <w:color w:val="000000" w:themeColor="text1"/>
        </w:rPr>
        <w:t xml:space="preserve">This follows the successful introduction of TVMs at all train stations and Glider stops as well as other key locations including the two Belfast Airports, marking a further step in the implementation of Translink’s digital-led Future Ticketing System, a strategic project to enhance the customer experience and to support passenger growth. </w:t>
      </w:r>
    </w:p>
    <w:p w14:paraId="6F966E29" w14:textId="77777777" w:rsidR="00A47CCA" w:rsidRPr="00A47CCA" w:rsidRDefault="00A47CCA" w:rsidP="00A47CCA">
      <w:pPr>
        <w:rPr>
          <w:rFonts w:cs="Arial"/>
          <w:color w:val="000000" w:themeColor="text1"/>
        </w:rPr>
      </w:pPr>
    </w:p>
    <w:p w14:paraId="790D0C42" w14:textId="77777777" w:rsidR="00A47CCA" w:rsidRPr="00A47CCA" w:rsidRDefault="00A47CCA" w:rsidP="00FF49BF">
      <w:pPr>
        <w:pStyle w:val="Heading3"/>
      </w:pPr>
      <w:bookmarkStart w:id="106" w:name="_Toc213058546"/>
      <w:r w:rsidRPr="00A47CCA">
        <w:t>Park &amp; Ride and Bus Priority Measures</w:t>
      </w:r>
      <w:bookmarkEnd w:id="106"/>
    </w:p>
    <w:p w14:paraId="049C3970" w14:textId="77777777" w:rsidR="00A47CCA" w:rsidRDefault="00A47CCA" w:rsidP="00A47CCA">
      <w:pPr>
        <w:rPr>
          <w:rFonts w:cs="Arial"/>
          <w:color w:val="000000" w:themeColor="text1"/>
        </w:rPr>
      </w:pPr>
      <w:r w:rsidRPr="00A47CCA">
        <w:rPr>
          <w:rFonts w:cs="Arial"/>
          <w:color w:val="000000" w:themeColor="text1"/>
        </w:rPr>
        <w:t xml:space="preserve">Translink is working with </w:t>
      </w:r>
      <w:proofErr w:type="spellStart"/>
      <w:r w:rsidRPr="00A47CCA">
        <w:rPr>
          <w:rFonts w:cs="Arial"/>
          <w:color w:val="000000" w:themeColor="text1"/>
        </w:rPr>
        <w:t>DfI</w:t>
      </w:r>
      <w:proofErr w:type="spellEnd"/>
      <w:r w:rsidRPr="00A47CCA">
        <w:rPr>
          <w:rFonts w:cs="Arial"/>
          <w:color w:val="000000" w:themeColor="text1"/>
        </w:rPr>
        <w:t xml:space="preserve"> to develop the first Carbon Action Plan for transport in NI. The ongoing investment made in the development of Park &amp; Ride facilities, coupled with the provision of more extensive bus priority and enhanced integration of active travel and public transport, will play a significant role in efforts to reduce the carbon emissions generated by transport. A major enhancement to the park and ride facilities in Moira received approval from Lisburn &amp; Castlereagh City Council’s Planning Committee.   As part of its proposals, Translink will provide an additional, secure 400+ space car park, close to Moira train station, to help facilitate access to the public transport network for a greater number of travellers. Construction of this facility will commence in mid- 2025.</w:t>
      </w:r>
    </w:p>
    <w:p w14:paraId="3922D139" w14:textId="77777777" w:rsidR="00A47CCA" w:rsidRPr="00A47CCA" w:rsidRDefault="00A47CCA" w:rsidP="00A47CCA">
      <w:pPr>
        <w:rPr>
          <w:rFonts w:cs="Arial"/>
          <w:color w:val="000000" w:themeColor="text1"/>
        </w:rPr>
      </w:pPr>
    </w:p>
    <w:p w14:paraId="78544218" w14:textId="77777777" w:rsidR="00A47CCA" w:rsidRPr="00A47CCA" w:rsidRDefault="00A47CCA" w:rsidP="00A47CCA">
      <w:pPr>
        <w:rPr>
          <w:rFonts w:cs="Arial"/>
          <w:color w:val="000000" w:themeColor="text1"/>
        </w:rPr>
      </w:pPr>
      <w:r w:rsidRPr="00A47CCA">
        <w:rPr>
          <w:rFonts w:cs="Arial"/>
          <w:color w:val="000000" w:themeColor="text1"/>
        </w:rPr>
        <w:lastRenderedPageBreak/>
        <w:t xml:space="preserve">These elements will also be key enablers for change within the emerging Transport Plans and Local Development Plans being produced by </w:t>
      </w:r>
      <w:proofErr w:type="spellStart"/>
      <w:r w:rsidRPr="00A47CCA">
        <w:rPr>
          <w:rFonts w:cs="Arial"/>
          <w:color w:val="000000" w:themeColor="text1"/>
        </w:rPr>
        <w:t>DfI</w:t>
      </w:r>
      <w:proofErr w:type="spellEnd"/>
      <w:r w:rsidRPr="00A47CCA">
        <w:rPr>
          <w:rFonts w:cs="Arial"/>
          <w:color w:val="000000" w:themeColor="text1"/>
        </w:rPr>
        <w:t xml:space="preserve"> and councils, respectively.</w:t>
      </w:r>
    </w:p>
    <w:p w14:paraId="5A6CC4E4" w14:textId="77777777" w:rsidR="00A47CCA" w:rsidRDefault="00A47CCA" w:rsidP="00A47CCA">
      <w:pPr>
        <w:rPr>
          <w:rFonts w:cs="Arial"/>
          <w:color w:val="000000" w:themeColor="text1"/>
        </w:rPr>
      </w:pPr>
    </w:p>
    <w:p w14:paraId="53788CB3" w14:textId="2E6E5983" w:rsidR="00A47CCA" w:rsidRPr="00A47CCA" w:rsidRDefault="00A47CCA" w:rsidP="00A47CCA">
      <w:pPr>
        <w:rPr>
          <w:rFonts w:cs="Arial"/>
          <w:color w:val="000000" w:themeColor="text1"/>
        </w:rPr>
      </w:pPr>
      <w:r w:rsidRPr="00A47CCA">
        <w:rPr>
          <w:rFonts w:cs="Arial"/>
          <w:color w:val="000000" w:themeColor="text1"/>
        </w:rPr>
        <w:t>A whole system approach, including new fleet, ticketing, passenger information, service planning and infrastructure, will provide the basis for more people to choose sustainable transport.</w:t>
      </w:r>
    </w:p>
    <w:p w14:paraId="3CB44B82" w14:textId="77777777" w:rsidR="00506AC2" w:rsidRDefault="00506AC2" w:rsidP="00506AC2"/>
    <w:p w14:paraId="2EE8C2B8" w14:textId="0353519B" w:rsidR="00344BF7" w:rsidRPr="00A47CCA" w:rsidRDefault="00344BF7" w:rsidP="00FF49BF">
      <w:pPr>
        <w:pStyle w:val="Heading3"/>
        <w:rPr>
          <w:sz w:val="28"/>
        </w:rPr>
      </w:pPr>
      <w:bookmarkStart w:id="107" w:name="_Toc176774975"/>
      <w:bookmarkStart w:id="108" w:name="_Toc176775358"/>
      <w:bookmarkStart w:id="109" w:name="_Toc213058547"/>
      <w:r w:rsidRPr="00A47CCA">
        <w:t>Park &amp; Ride and Bus Priority Measures</w:t>
      </w:r>
      <w:bookmarkEnd w:id="107"/>
      <w:bookmarkEnd w:id="108"/>
      <w:bookmarkEnd w:id="109"/>
    </w:p>
    <w:p w14:paraId="3282E962" w14:textId="77777777" w:rsidR="00344BF7" w:rsidRPr="00344BF7" w:rsidRDefault="00344BF7" w:rsidP="00506AC2">
      <w:r w:rsidRPr="00344BF7">
        <w:t xml:space="preserve">Translink is working with </w:t>
      </w:r>
      <w:proofErr w:type="spellStart"/>
      <w:r w:rsidRPr="00344BF7">
        <w:t>DfI</w:t>
      </w:r>
      <w:proofErr w:type="spellEnd"/>
      <w:r w:rsidRPr="00344BF7">
        <w:t xml:space="preserve"> to develop the first Carbon Action Plan for transport in NI. The ongoing investment made in the development of Park &amp; Ride facilities, coupled with the provision of more extensive bus priority and enhanced integration of active travel and public transport, will play a significant role in efforts to reduce the carbon emissions generated by transport.</w:t>
      </w:r>
    </w:p>
    <w:p w14:paraId="63401497" w14:textId="77777777" w:rsidR="00344BF7" w:rsidRPr="00344BF7" w:rsidRDefault="00344BF7" w:rsidP="00506AC2"/>
    <w:p w14:paraId="2C62C357" w14:textId="77777777" w:rsidR="00344BF7" w:rsidRPr="00344BF7" w:rsidRDefault="00344BF7" w:rsidP="00506AC2">
      <w:r w:rsidRPr="00344BF7">
        <w:t xml:space="preserve">A major enhancement to the park and ride facilities in Moira has been recommended for approval by Lisburn &amp; Castlereagh City Council’s Planning Committee.  As part of its proposals, Translink will provide an additional, secure 400+ space car park, close to Moira train station, to help facilitate access to the public transport network for a greater number of travellers. </w:t>
      </w:r>
    </w:p>
    <w:p w14:paraId="63ECBC51" w14:textId="77777777" w:rsidR="00344BF7" w:rsidRPr="00344BF7" w:rsidRDefault="00344BF7" w:rsidP="00506AC2"/>
    <w:p w14:paraId="0C0155DB" w14:textId="77777777" w:rsidR="00344BF7" w:rsidRPr="00344BF7" w:rsidRDefault="00344BF7" w:rsidP="00506AC2">
      <w:r w:rsidRPr="00344BF7">
        <w:t xml:space="preserve">These elements will also be key enablers for change within the emerging Transport Plans and Local Development Plans being produced by </w:t>
      </w:r>
      <w:proofErr w:type="spellStart"/>
      <w:r w:rsidRPr="00344BF7">
        <w:t>DfI</w:t>
      </w:r>
      <w:proofErr w:type="spellEnd"/>
      <w:r w:rsidRPr="00344BF7">
        <w:t xml:space="preserve"> and councils, respectively.</w:t>
      </w:r>
    </w:p>
    <w:p w14:paraId="2A4771A6" w14:textId="77777777" w:rsidR="00344BF7" w:rsidRPr="00344BF7" w:rsidRDefault="00344BF7" w:rsidP="00506AC2"/>
    <w:p w14:paraId="11DFC4E6" w14:textId="77777777" w:rsidR="00344BF7" w:rsidRPr="00344BF7" w:rsidRDefault="00344BF7" w:rsidP="00506AC2">
      <w:r w:rsidRPr="00344BF7">
        <w:t>A whole system approach, including new fleet, ticketing, passenger information, service planning and infrastructure, will provide the basis for more people to choose sustainable transport.</w:t>
      </w:r>
    </w:p>
    <w:p w14:paraId="50916BFE" w14:textId="77777777" w:rsidR="00344BF7" w:rsidRPr="00344BF7" w:rsidRDefault="00344BF7" w:rsidP="00506AC2"/>
    <w:p w14:paraId="75E8D134" w14:textId="77777777" w:rsidR="00344BF7" w:rsidRPr="00344BF7" w:rsidRDefault="00344BF7" w:rsidP="00110C58">
      <w:pPr>
        <w:pStyle w:val="Heading3"/>
      </w:pPr>
      <w:bookmarkStart w:id="110" w:name="_Toc176774976"/>
      <w:bookmarkStart w:id="111" w:name="_Toc176775359"/>
      <w:bookmarkStart w:id="112" w:name="_Toc213058548"/>
      <w:r w:rsidRPr="00344BF7">
        <w:t>Rail Infrastructure Improvements</w:t>
      </w:r>
      <w:bookmarkEnd w:id="110"/>
      <w:bookmarkEnd w:id="111"/>
      <w:bookmarkEnd w:id="112"/>
    </w:p>
    <w:p w14:paraId="51BB70DF" w14:textId="154C9E6D" w:rsidR="000A58D1" w:rsidRPr="000A58D1" w:rsidRDefault="000A58D1" w:rsidP="000A58D1">
      <w:pPr>
        <w:rPr>
          <w:color w:val="000000"/>
        </w:rPr>
      </w:pPr>
      <w:r w:rsidRPr="000A58D1">
        <w:rPr>
          <w:color w:val="000000"/>
        </w:rPr>
        <w:t xml:space="preserve">Translink has continued to invest in its rail infrastructure </w:t>
      </w:r>
      <w:proofErr w:type="gramStart"/>
      <w:r w:rsidRPr="000A58D1">
        <w:rPr>
          <w:color w:val="000000"/>
        </w:rPr>
        <w:t>in order to</w:t>
      </w:r>
      <w:proofErr w:type="gramEnd"/>
      <w:r w:rsidRPr="000A58D1">
        <w:rPr>
          <w:color w:val="000000"/>
        </w:rPr>
        <w:t xml:space="preserve"> enhance the safety and reliability of the network. In parallel with the opening of Belfast Grand Central Station, the first phase of the Northern Ireland Regional Operating Centre (NIROC) was completed. NIROC is a modern control hub that integrates signalling, traffic management, and incident response systems to oversee and optimize real-time train operations on Translink’s Network which is being delivered over multiple phases. This new signalling control centre (NIROC) has been constructed at Lanyon Station and covers from north of Lisburn to south of City Hospital, including the new Belfast Grand Central Station. Advance works have also commenced as part of the latest phase of Coleraine to </w:t>
      </w:r>
      <w:proofErr w:type="spellStart"/>
      <w:r w:rsidRPr="000A58D1">
        <w:rPr>
          <w:color w:val="000000"/>
        </w:rPr>
        <w:t>Derry~Londonderry</w:t>
      </w:r>
      <w:proofErr w:type="spellEnd"/>
      <w:r w:rsidRPr="000A58D1">
        <w:rPr>
          <w:color w:val="000000"/>
        </w:rPr>
        <w:t xml:space="preserve"> Track Renewals, alongside design and development work in preparation for the main development phase. The project is essential to maintain operational performance while protecting and where possible, future-proofing the railway network in the area. </w:t>
      </w:r>
    </w:p>
    <w:p w14:paraId="1EE60ABB" w14:textId="77777777" w:rsidR="000A58D1" w:rsidRPr="000A58D1" w:rsidRDefault="000A58D1" w:rsidP="000A58D1">
      <w:pPr>
        <w:rPr>
          <w:color w:val="000000"/>
        </w:rPr>
      </w:pPr>
    </w:p>
    <w:p w14:paraId="7A367B1A" w14:textId="77777777" w:rsidR="000A58D1" w:rsidRPr="000A58D1" w:rsidRDefault="000A58D1" w:rsidP="000A58D1">
      <w:pPr>
        <w:rPr>
          <w:color w:val="000000"/>
        </w:rPr>
      </w:pPr>
      <w:r w:rsidRPr="000A58D1">
        <w:rPr>
          <w:color w:val="000000"/>
        </w:rPr>
        <w:t>Other track, signalling and bridge works to safeguard the existing network were undertaken in the year as well as the continuation of the work to build a comprehensive register of all infrastructure assets with the completion of the structural examinations. During the year, feasibility studies on network expansion projects related to the All-Island Strategic Rail Review including the reopening of the Antrim-</w:t>
      </w:r>
      <w:proofErr w:type="spellStart"/>
      <w:r w:rsidRPr="000A58D1">
        <w:rPr>
          <w:color w:val="000000"/>
        </w:rPr>
        <w:t>Knockmore</w:t>
      </w:r>
      <w:proofErr w:type="spellEnd"/>
      <w:r w:rsidRPr="000A58D1">
        <w:rPr>
          <w:color w:val="000000"/>
        </w:rPr>
        <w:t xml:space="preserve">, Portadown to Armagh and the Portadown to </w:t>
      </w:r>
      <w:proofErr w:type="spellStart"/>
      <w:r w:rsidRPr="000A58D1">
        <w:rPr>
          <w:color w:val="000000"/>
        </w:rPr>
        <w:t>Derry~Londonderry</w:t>
      </w:r>
      <w:proofErr w:type="spellEnd"/>
      <w:r w:rsidRPr="000A58D1">
        <w:rPr>
          <w:color w:val="000000"/>
        </w:rPr>
        <w:t xml:space="preserve"> lines have been </w:t>
      </w:r>
      <w:proofErr w:type="spellStart"/>
      <w:proofErr w:type="gramStart"/>
      <w:r w:rsidRPr="000A58D1">
        <w:rPr>
          <w:color w:val="000000"/>
        </w:rPr>
        <w:t>progressed.Progress</w:t>
      </w:r>
      <w:proofErr w:type="spellEnd"/>
      <w:proofErr w:type="gramEnd"/>
      <w:r w:rsidRPr="000A58D1">
        <w:rPr>
          <w:color w:val="000000"/>
        </w:rPr>
        <w:t xml:space="preserve"> towards Translink’s net zero targets has continued across Translink’s property estate and a programme to decarbonise the rail network has commenced.</w:t>
      </w:r>
    </w:p>
    <w:p w14:paraId="79D39895" w14:textId="77777777" w:rsidR="000C1B69" w:rsidRPr="000A58D1" w:rsidRDefault="000C1B69" w:rsidP="000A58D1"/>
    <w:p w14:paraId="721BBD30" w14:textId="77777777" w:rsidR="00344BF7" w:rsidRPr="00344BF7" w:rsidRDefault="00344BF7" w:rsidP="00506AC2">
      <w:pPr>
        <w:pStyle w:val="Heading2"/>
      </w:pPr>
      <w:bookmarkStart w:id="113" w:name="_Toc176774977"/>
      <w:bookmarkStart w:id="114" w:name="_Toc176775360"/>
      <w:bookmarkStart w:id="115" w:name="_Toc213058549"/>
      <w:r w:rsidRPr="00344BF7">
        <w:t>The Translink SPIRIT</w:t>
      </w:r>
      <w:bookmarkEnd w:id="113"/>
      <w:bookmarkEnd w:id="114"/>
      <w:bookmarkEnd w:id="115"/>
      <w:r w:rsidRPr="00344BF7">
        <w:t xml:space="preserve"> </w:t>
      </w:r>
    </w:p>
    <w:p w14:paraId="03A90B76" w14:textId="77777777" w:rsidR="000A58D1" w:rsidRPr="000A58D1" w:rsidRDefault="000A58D1" w:rsidP="000A58D1">
      <w:pPr>
        <w:rPr>
          <w:color w:val="000000" w:themeColor="text1"/>
        </w:rPr>
      </w:pPr>
      <w:r w:rsidRPr="000A58D1">
        <w:rPr>
          <w:color w:val="000000" w:themeColor="text1"/>
        </w:rPr>
        <w:t xml:space="preserve">We are committed to taking responsibility for the impact of our activities on customers, suppliers, employees, stakeholders and communities as well as our environment. We have a full range of activities based on the following key </w:t>
      </w:r>
      <w:proofErr w:type="gramStart"/>
      <w:r w:rsidRPr="000A58D1">
        <w:rPr>
          <w:color w:val="000000" w:themeColor="text1"/>
        </w:rPr>
        <w:t>themes;</w:t>
      </w:r>
      <w:proofErr w:type="gramEnd"/>
      <w:r w:rsidRPr="000A58D1">
        <w:rPr>
          <w:color w:val="000000" w:themeColor="text1"/>
        </w:rPr>
        <w:t xml:space="preserve"> Safety, Health and Wellbeing, Environment, Community Engagement and Our People.</w:t>
      </w:r>
    </w:p>
    <w:p w14:paraId="0729616C" w14:textId="77777777" w:rsidR="000A58D1" w:rsidRPr="000A58D1" w:rsidRDefault="000A58D1" w:rsidP="000A58D1">
      <w:pPr>
        <w:rPr>
          <w:color w:val="000000" w:themeColor="text1"/>
        </w:rPr>
      </w:pPr>
      <w:r w:rsidRPr="000A58D1">
        <w:rPr>
          <w:color w:val="000000" w:themeColor="text1"/>
        </w:rPr>
        <w:t xml:space="preserve"> </w:t>
      </w:r>
    </w:p>
    <w:p w14:paraId="598B1E83" w14:textId="77777777" w:rsidR="000A58D1" w:rsidRPr="000A58D1" w:rsidRDefault="000A58D1" w:rsidP="000A58D1">
      <w:pPr>
        <w:rPr>
          <w:color w:val="000000" w:themeColor="text1"/>
        </w:rPr>
      </w:pPr>
      <w:r w:rsidRPr="000A58D1">
        <w:rPr>
          <w:color w:val="000000" w:themeColor="text1"/>
        </w:rPr>
        <w:t xml:space="preserve">The safety and wellbeing of our customers, employees and the </w:t>
      </w:r>
      <w:proofErr w:type="gramStart"/>
      <w:r w:rsidRPr="000A58D1">
        <w:rPr>
          <w:color w:val="000000" w:themeColor="text1"/>
        </w:rPr>
        <w:t>general public</w:t>
      </w:r>
      <w:proofErr w:type="gramEnd"/>
      <w:r w:rsidRPr="000A58D1">
        <w:rPr>
          <w:color w:val="000000" w:themeColor="text1"/>
        </w:rPr>
        <w:t xml:space="preserve"> </w:t>
      </w:r>
      <w:proofErr w:type="gramStart"/>
      <w:r w:rsidRPr="000A58D1">
        <w:rPr>
          <w:color w:val="000000" w:themeColor="text1"/>
        </w:rPr>
        <w:t>remains</w:t>
      </w:r>
      <w:proofErr w:type="gramEnd"/>
      <w:r w:rsidRPr="000A58D1">
        <w:rPr>
          <w:color w:val="000000" w:themeColor="text1"/>
        </w:rPr>
        <w:t xml:space="preserve"> central to Translink’s operations. We work with the local community to instil long term support and engagement through specific projects and initiatives. These have included: rail safety campaigns, community projects, agricultural safety, interagency safety events, safety bus activity, seatbelt campaigns and regional school initiatives.</w:t>
      </w:r>
    </w:p>
    <w:p w14:paraId="491E5CDC" w14:textId="77777777" w:rsidR="000A58D1" w:rsidRPr="000A58D1" w:rsidRDefault="000A58D1" w:rsidP="000A58D1">
      <w:pPr>
        <w:rPr>
          <w:color w:val="000000" w:themeColor="text1"/>
        </w:rPr>
      </w:pPr>
      <w:r w:rsidRPr="000A58D1">
        <w:rPr>
          <w:color w:val="000000" w:themeColor="text1"/>
        </w:rPr>
        <w:t xml:space="preserve"> </w:t>
      </w:r>
    </w:p>
    <w:p w14:paraId="2CDD3286" w14:textId="77777777" w:rsidR="000A58D1" w:rsidRPr="000A58D1" w:rsidRDefault="000A58D1" w:rsidP="000A58D1">
      <w:pPr>
        <w:rPr>
          <w:color w:val="000000" w:themeColor="text1"/>
        </w:rPr>
      </w:pPr>
      <w:r w:rsidRPr="000A58D1">
        <w:rPr>
          <w:color w:val="000000" w:themeColor="text1"/>
        </w:rPr>
        <w:t>We are committed to delivering workplace health and wellbeing initiatives to help our employees lead fit and healthy lifestyles. Employee welfare is enhanced by organisational culture as well as attitudes, values, beliefs and daily practices that affect their mental and physical wellbeing.</w:t>
      </w:r>
    </w:p>
    <w:p w14:paraId="3CE806E9" w14:textId="77777777" w:rsidR="000A58D1" w:rsidRPr="000A58D1" w:rsidRDefault="000A58D1" w:rsidP="000A58D1">
      <w:pPr>
        <w:rPr>
          <w:color w:val="000000" w:themeColor="text1"/>
        </w:rPr>
      </w:pPr>
      <w:r w:rsidRPr="000A58D1">
        <w:rPr>
          <w:color w:val="000000" w:themeColor="text1"/>
        </w:rPr>
        <w:t xml:space="preserve"> </w:t>
      </w:r>
    </w:p>
    <w:p w14:paraId="2C5DF662" w14:textId="77777777" w:rsidR="000A58D1" w:rsidRPr="000A58D1" w:rsidRDefault="000A58D1" w:rsidP="000A58D1">
      <w:pPr>
        <w:rPr>
          <w:color w:val="000000" w:themeColor="text1"/>
        </w:rPr>
      </w:pPr>
      <w:r w:rsidRPr="000A58D1">
        <w:rPr>
          <w:color w:val="000000" w:themeColor="text1"/>
        </w:rPr>
        <w:t xml:space="preserve">We continue to support local communities through stakeholder engagement, disability awareness, charity activity, supporting community projects and festivals, youth initiatives, events and sponsorships. </w:t>
      </w:r>
    </w:p>
    <w:p w14:paraId="2BC1C9FF" w14:textId="77777777" w:rsidR="000A58D1" w:rsidRPr="000A58D1" w:rsidRDefault="000A58D1" w:rsidP="000A58D1">
      <w:pPr>
        <w:rPr>
          <w:color w:val="000000" w:themeColor="text1"/>
        </w:rPr>
      </w:pPr>
      <w:r w:rsidRPr="000A58D1">
        <w:rPr>
          <w:color w:val="000000" w:themeColor="text1"/>
        </w:rPr>
        <w:t xml:space="preserve"> </w:t>
      </w:r>
    </w:p>
    <w:p w14:paraId="71282290" w14:textId="77777777" w:rsidR="000A58D1" w:rsidRPr="000A58D1" w:rsidRDefault="000A58D1" w:rsidP="000A58D1">
      <w:pPr>
        <w:rPr>
          <w:color w:val="000000" w:themeColor="text1"/>
        </w:rPr>
      </w:pPr>
      <w:r w:rsidRPr="000A58D1">
        <w:rPr>
          <w:color w:val="000000" w:themeColor="text1"/>
        </w:rPr>
        <w:t>Translink holds a Platinum CORE standard for Corporate Responsibility from Business in the Community (BITC) and again retained its Platinum status in BITC’s Environmental Benchmarking Survey, Northern Ireland’s leading environmental benchmarking exercise.</w:t>
      </w:r>
    </w:p>
    <w:p w14:paraId="2BC2E91F" w14:textId="77777777" w:rsidR="000A58D1" w:rsidRPr="000A58D1" w:rsidRDefault="000A58D1" w:rsidP="000A58D1">
      <w:pPr>
        <w:rPr>
          <w:color w:val="000000" w:themeColor="text1"/>
        </w:rPr>
      </w:pPr>
      <w:r w:rsidRPr="000A58D1">
        <w:rPr>
          <w:color w:val="000000" w:themeColor="text1"/>
        </w:rPr>
        <w:t xml:space="preserve"> </w:t>
      </w:r>
    </w:p>
    <w:p w14:paraId="6F761902" w14:textId="77777777" w:rsidR="000A58D1" w:rsidRPr="000A58D1" w:rsidRDefault="000A58D1" w:rsidP="000A58D1">
      <w:pPr>
        <w:rPr>
          <w:color w:val="000000" w:themeColor="text1"/>
        </w:rPr>
      </w:pPr>
      <w:r w:rsidRPr="000A58D1">
        <w:rPr>
          <w:color w:val="000000" w:themeColor="text1"/>
        </w:rPr>
        <w:t>The Translink SPIRIT is embedded in everything we do, underpinning our efforts to achieve our key objectives.</w:t>
      </w:r>
    </w:p>
    <w:p w14:paraId="20AA5E42" w14:textId="77777777" w:rsidR="000A58D1" w:rsidRPr="000A58D1" w:rsidRDefault="000A58D1" w:rsidP="000A58D1">
      <w:pPr>
        <w:rPr>
          <w:color w:val="000000" w:themeColor="text1"/>
        </w:rPr>
      </w:pPr>
      <w:r w:rsidRPr="000A58D1">
        <w:rPr>
          <w:color w:val="000000" w:themeColor="text1"/>
        </w:rPr>
        <w:lastRenderedPageBreak/>
        <w:t xml:space="preserve"> </w:t>
      </w:r>
    </w:p>
    <w:p w14:paraId="42EEDF78" w14:textId="77777777" w:rsidR="000A58D1" w:rsidRPr="000A58D1" w:rsidRDefault="000A58D1" w:rsidP="00FF49BF">
      <w:pPr>
        <w:pStyle w:val="Heading3"/>
      </w:pPr>
      <w:bookmarkStart w:id="116" w:name="_Toc213058550"/>
      <w:r w:rsidRPr="000A58D1">
        <w:t>Safety</w:t>
      </w:r>
      <w:bookmarkEnd w:id="116"/>
    </w:p>
    <w:p w14:paraId="60FFE219" w14:textId="77777777" w:rsidR="000A58D1" w:rsidRPr="000A58D1" w:rsidRDefault="000A58D1" w:rsidP="000A58D1">
      <w:pPr>
        <w:rPr>
          <w:color w:val="000000" w:themeColor="text1"/>
        </w:rPr>
      </w:pPr>
      <w:r w:rsidRPr="000A58D1">
        <w:rPr>
          <w:color w:val="000000" w:themeColor="text1"/>
        </w:rPr>
        <w:t xml:space="preserve">The safety and wellbeing of our customers, staff and the </w:t>
      </w:r>
      <w:proofErr w:type="gramStart"/>
      <w:r w:rsidRPr="000A58D1">
        <w:rPr>
          <w:color w:val="000000" w:themeColor="text1"/>
        </w:rPr>
        <w:t>general public</w:t>
      </w:r>
      <w:proofErr w:type="gramEnd"/>
      <w:r w:rsidRPr="000A58D1">
        <w:rPr>
          <w:color w:val="000000" w:themeColor="text1"/>
        </w:rPr>
        <w:t xml:space="preserve"> is central to our operations.</w:t>
      </w:r>
    </w:p>
    <w:p w14:paraId="5391BB50" w14:textId="77777777" w:rsidR="000A58D1" w:rsidRPr="000A58D1" w:rsidRDefault="000A58D1" w:rsidP="000A58D1">
      <w:pPr>
        <w:rPr>
          <w:color w:val="000000" w:themeColor="text1"/>
        </w:rPr>
      </w:pPr>
      <w:r w:rsidRPr="000A58D1">
        <w:rPr>
          <w:color w:val="000000" w:themeColor="text1"/>
        </w:rPr>
        <w:t xml:space="preserve"> </w:t>
      </w:r>
    </w:p>
    <w:p w14:paraId="18CBCAED" w14:textId="7C25265B" w:rsidR="000A58D1" w:rsidRPr="000A58D1" w:rsidRDefault="000A58D1" w:rsidP="000A58D1">
      <w:pPr>
        <w:rPr>
          <w:color w:val="000000" w:themeColor="text1"/>
        </w:rPr>
      </w:pPr>
      <w:r w:rsidRPr="000A58D1">
        <w:rPr>
          <w:color w:val="000000" w:themeColor="text1"/>
        </w:rPr>
        <w:t>We are guided by our Safety Management System and are constantly developing our safety capabilities and preparedness. We aim for zero staff or passenger safety incidents.</w:t>
      </w:r>
    </w:p>
    <w:p w14:paraId="5D3497EC" w14:textId="77777777" w:rsidR="000A58D1" w:rsidRPr="000A58D1" w:rsidRDefault="000A58D1" w:rsidP="000A58D1">
      <w:pPr>
        <w:rPr>
          <w:color w:val="000000" w:themeColor="text1"/>
        </w:rPr>
      </w:pPr>
      <w:r w:rsidRPr="000A58D1">
        <w:rPr>
          <w:color w:val="000000" w:themeColor="text1"/>
        </w:rPr>
        <w:t xml:space="preserve"> </w:t>
      </w:r>
    </w:p>
    <w:p w14:paraId="45B530EB" w14:textId="77777777" w:rsidR="000A58D1" w:rsidRPr="000A58D1" w:rsidRDefault="000A58D1" w:rsidP="00FF49BF">
      <w:pPr>
        <w:pStyle w:val="Heading3"/>
      </w:pPr>
      <w:bookmarkStart w:id="117" w:name="_Toc213058551"/>
      <w:r w:rsidRPr="000A58D1">
        <w:t>People</w:t>
      </w:r>
      <w:bookmarkEnd w:id="117"/>
    </w:p>
    <w:p w14:paraId="53228EB2" w14:textId="77777777" w:rsidR="000A58D1" w:rsidRPr="000A58D1" w:rsidRDefault="000A58D1" w:rsidP="000A58D1">
      <w:pPr>
        <w:rPr>
          <w:color w:val="000000" w:themeColor="text1"/>
        </w:rPr>
      </w:pPr>
      <w:r w:rsidRPr="000A58D1">
        <w:rPr>
          <w:color w:val="000000" w:themeColor="text1"/>
        </w:rPr>
        <w:t>Translink was awarded the Silver Diversity Mark in 2022, for advancing Diversity and Inclusion in the Workplace by the awarding body Diversity Mark NI Ltd. Annual progress reports submitted in 2023 and again in 2024 allowed us to retain the Charter Mark certification. To retain the Charter Mark, the assessors reviewed the submission to ensure continued progress against Translink’s plan addressing gender, disability, race and ethnicity.</w:t>
      </w:r>
    </w:p>
    <w:p w14:paraId="6FC92F02" w14:textId="77777777" w:rsidR="000A58D1" w:rsidRPr="000A58D1" w:rsidRDefault="000A58D1" w:rsidP="000A58D1">
      <w:pPr>
        <w:rPr>
          <w:color w:val="000000" w:themeColor="text1"/>
        </w:rPr>
      </w:pPr>
    </w:p>
    <w:p w14:paraId="141D5298" w14:textId="77777777" w:rsidR="000A58D1" w:rsidRDefault="000A58D1" w:rsidP="000A58D1">
      <w:pPr>
        <w:rPr>
          <w:color w:val="000000" w:themeColor="text1"/>
        </w:rPr>
      </w:pPr>
      <w:r w:rsidRPr="000A58D1">
        <w:rPr>
          <w:color w:val="000000" w:themeColor="text1"/>
        </w:rPr>
        <w:t>We are very proud to have reached the high standards required for the Silver Diversity Mark. This accreditation is important to us as it not only acknowledges our achievements so far but demonstrates our ongoing commitment to enhancing diversity and inclusion in Translink, where all employees can feel valued, safe and respected.</w:t>
      </w:r>
    </w:p>
    <w:p w14:paraId="29EC74F8" w14:textId="77777777" w:rsidR="000A58D1" w:rsidRPr="000A58D1" w:rsidRDefault="000A58D1" w:rsidP="000A58D1">
      <w:pPr>
        <w:rPr>
          <w:color w:val="000000" w:themeColor="text1"/>
        </w:rPr>
      </w:pPr>
    </w:p>
    <w:p w14:paraId="6A37864D" w14:textId="43F6563A" w:rsidR="00344BF7" w:rsidRDefault="000A58D1" w:rsidP="000A58D1">
      <w:pPr>
        <w:rPr>
          <w:color w:val="000000" w:themeColor="text1"/>
        </w:rPr>
      </w:pPr>
      <w:r w:rsidRPr="000A58D1">
        <w:rPr>
          <w:color w:val="000000" w:themeColor="text1"/>
        </w:rPr>
        <w:t>We are a people business, and we understand the benefits of having a diverse and inclusive culture in terms of attracting and retaining the best talent, better business decision making and helping us to understand our customers better.</w:t>
      </w:r>
    </w:p>
    <w:p w14:paraId="6D4A5956" w14:textId="77777777" w:rsidR="000A58D1" w:rsidRPr="000A58D1" w:rsidRDefault="000A58D1" w:rsidP="000A58D1">
      <w:pPr>
        <w:rPr>
          <w:color w:val="000000" w:themeColor="text1"/>
        </w:rPr>
      </w:pPr>
    </w:p>
    <w:p w14:paraId="6F281927" w14:textId="77777777" w:rsidR="00344BF7" w:rsidRPr="00344BF7" w:rsidRDefault="00344BF7" w:rsidP="00110C58">
      <w:pPr>
        <w:pStyle w:val="Heading3"/>
      </w:pPr>
      <w:bookmarkStart w:id="118" w:name="_Toc176774980"/>
      <w:bookmarkStart w:id="119" w:name="_Toc176775363"/>
      <w:bookmarkStart w:id="120" w:name="_Toc213058552"/>
      <w:r w:rsidRPr="00344BF7">
        <w:t>Innovation</w:t>
      </w:r>
      <w:bookmarkEnd w:id="118"/>
      <w:bookmarkEnd w:id="119"/>
      <w:bookmarkEnd w:id="120"/>
    </w:p>
    <w:p w14:paraId="178EA66B" w14:textId="77777777" w:rsidR="000A58D1" w:rsidRPr="000A58D1" w:rsidRDefault="000A58D1" w:rsidP="000A58D1">
      <w:r w:rsidRPr="000A58D1">
        <w:t>We have worked to instil a culture of continuous improvement throughout the organisation which challenges everyone to focus on what we do, or could do, to provide an excellent service for our customers and wider stakeholders.</w:t>
      </w:r>
    </w:p>
    <w:p w14:paraId="56931164" w14:textId="77777777" w:rsidR="000A58D1" w:rsidRPr="000A58D1" w:rsidRDefault="000A58D1" w:rsidP="000A58D1">
      <w:r w:rsidRPr="000A58D1">
        <w:t xml:space="preserve"> </w:t>
      </w:r>
    </w:p>
    <w:p w14:paraId="630EFDD8" w14:textId="77777777" w:rsidR="000A58D1" w:rsidRPr="000A58D1" w:rsidRDefault="000A58D1" w:rsidP="000A58D1">
      <w:r w:rsidRPr="000A58D1">
        <w:t>Further formal processes are being introduced to improve service delivery and drive efficiencies throughout the Group.</w:t>
      </w:r>
    </w:p>
    <w:p w14:paraId="512D4379" w14:textId="77777777" w:rsidR="000A58D1" w:rsidRPr="000A58D1" w:rsidRDefault="000A58D1" w:rsidP="000A58D1"/>
    <w:p w14:paraId="50826A66" w14:textId="77777777" w:rsidR="000A58D1" w:rsidRPr="000A58D1" w:rsidRDefault="000A58D1" w:rsidP="00FF49BF">
      <w:pPr>
        <w:pStyle w:val="Heading3"/>
      </w:pPr>
      <w:bookmarkStart w:id="121" w:name="_Toc213058553"/>
      <w:r w:rsidRPr="000A58D1">
        <w:lastRenderedPageBreak/>
        <w:t>Responsibility</w:t>
      </w:r>
      <w:bookmarkEnd w:id="121"/>
    </w:p>
    <w:p w14:paraId="3638A50B" w14:textId="77777777" w:rsidR="000A58D1" w:rsidRPr="000A58D1" w:rsidRDefault="000A58D1" w:rsidP="000A58D1">
      <w:pPr>
        <w:rPr>
          <w:color w:val="000000" w:themeColor="text1"/>
        </w:rPr>
      </w:pPr>
      <w:r w:rsidRPr="000A58D1">
        <w:rPr>
          <w:color w:val="000000" w:themeColor="text1"/>
        </w:rPr>
        <w:t xml:space="preserve"> We believe that Corporate Social Responsibility (CSR) is an important strategic tool for our business. We continue to deliver a comprehensive CSR programme based on the four key themes of Go Safe, Go Eco, Go Healthy and Go Together and have been recognised as one of Northern Ireland’s leading businesses in this area.</w:t>
      </w:r>
    </w:p>
    <w:p w14:paraId="3620769B" w14:textId="77777777" w:rsidR="000A58D1" w:rsidRPr="000A58D1" w:rsidRDefault="000A58D1" w:rsidP="000A58D1">
      <w:pPr>
        <w:rPr>
          <w:color w:val="000000" w:themeColor="text1"/>
        </w:rPr>
      </w:pPr>
      <w:r w:rsidRPr="000A58D1">
        <w:rPr>
          <w:color w:val="000000" w:themeColor="text1"/>
        </w:rPr>
        <w:t xml:space="preserve"> </w:t>
      </w:r>
    </w:p>
    <w:p w14:paraId="1672E975" w14:textId="77777777" w:rsidR="000A58D1" w:rsidRPr="000A58D1" w:rsidRDefault="000A58D1" w:rsidP="000A58D1">
      <w:pPr>
        <w:rPr>
          <w:color w:val="000000" w:themeColor="text1"/>
        </w:rPr>
      </w:pPr>
      <w:r w:rsidRPr="000A58D1">
        <w:rPr>
          <w:color w:val="000000" w:themeColor="text1"/>
        </w:rPr>
        <w:t xml:space="preserve">Along with our continued commitment to our employees’ health through our occupational health programmes, we continue to engage with and contribute to the local community to protect and enhance safety, wellbeing </w:t>
      </w:r>
      <w:r w:rsidRPr="000A58D1">
        <w:rPr>
          <w:color w:val="000000" w:themeColor="text1"/>
        </w:rPr>
        <w:br/>
        <w:t>and the environment.</w:t>
      </w:r>
    </w:p>
    <w:p w14:paraId="5172FC7A" w14:textId="77777777" w:rsidR="000A58D1" w:rsidRPr="000A58D1" w:rsidRDefault="000A58D1" w:rsidP="000A58D1">
      <w:pPr>
        <w:rPr>
          <w:color w:val="000000" w:themeColor="text1"/>
        </w:rPr>
      </w:pPr>
      <w:r w:rsidRPr="000A58D1">
        <w:rPr>
          <w:color w:val="000000" w:themeColor="text1"/>
        </w:rPr>
        <w:t xml:space="preserve"> </w:t>
      </w:r>
    </w:p>
    <w:p w14:paraId="434CBF65" w14:textId="77777777" w:rsidR="000A58D1" w:rsidRPr="000A58D1" w:rsidRDefault="000A58D1" w:rsidP="00FF49BF">
      <w:pPr>
        <w:pStyle w:val="Heading3"/>
      </w:pPr>
      <w:bookmarkStart w:id="122" w:name="_Toc213058554"/>
      <w:r w:rsidRPr="000A58D1">
        <w:t>Integrity</w:t>
      </w:r>
      <w:bookmarkEnd w:id="122"/>
    </w:p>
    <w:p w14:paraId="72574ED2" w14:textId="77777777" w:rsidR="000A58D1" w:rsidRPr="000A58D1" w:rsidRDefault="000A58D1" w:rsidP="000A58D1">
      <w:pPr>
        <w:rPr>
          <w:color w:val="000000" w:themeColor="text1"/>
        </w:rPr>
      </w:pPr>
      <w:r w:rsidRPr="000A58D1">
        <w:rPr>
          <w:color w:val="000000" w:themeColor="text1"/>
        </w:rPr>
        <w:t>We act with integrity in everything we do within a robust Corporate Governance Framework.</w:t>
      </w:r>
    </w:p>
    <w:p w14:paraId="1A77B2EC" w14:textId="77777777" w:rsidR="000A58D1" w:rsidRPr="000A58D1" w:rsidRDefault="000A58D1" w:rsidP="000A58D1">
      <w:pPr>
        <w:rPr>
          <w:color w:val="000000" w:themeColor="text1"/>
        </w:rPr>
      </w:pPr>
      <w:r w:rsidRPr="000A58D1">
        <w:rPr>
          <w:color w:val="000000" w:themeColor="text1"/>
        </w:rPr>
        <w:t xml:space="preserve"> </w:t>
      </w:r>
    </w:p>
    <w:p w14:paraId="7D17B91C" w14:textId="7A928F99" w:rsidR="000A58D1" w:rsidRPr="000A58D1" w:rsidRDefault="000A58D1" w:rsidP="000A58D1">
      <w:pPr>
        <w:rPr>
          <w:color w:val="000000" w:themeColor="text1"/>
        </w:rPr>
      </w:pPr>
      <w:r w:rsidRPr="000A58D1">
        <w:rPr>
          <w:color w:val="000000" w:themeColor="text1"/>
        </w:rPr>
        <w:t>We will continue to work collaboratively with our sponsor Department and other regulators and stakeholders</w:t>
      </w:r>
      <w:r w:rsidR="000525D5">
        <w:rPr>
          <w:color w:val="000000" w:themeColor="text1"/>
        </w:rPr>
        <w:t xml:space="preserve"> </w:t>
      </w:r>
      <w:r w:rsidRPr="000A58D1">
        <w:rPr>
          <w:color w:val="000000" w:themeColor="text1"/>
        </w:rPr>
        <w:t>and governing authorities to ensure compliance with relevant regulations.</w:t>
      </w:r>
    </w:p>
    <w:p w14:paraId="12255BEA" w14:textId="77777777" w:rsidR="000A58D1" w:rsidRPr="000A58D1" w:rsidRDefault="000A58D1" w:rsidP="000A58D1">
      <w:pPr>
        <w:rPr>
          <w:color w:val="000000" w:themeColor="text1"/>
        </w:rPr>
      </w:pPr>
      <w:r w:rsidRPr="000A58D1">
        <w:rPr>
          <w:color w:val="000000" w:themeColor="text1"/>
        </w:rPr>
        <w:t xml:space="preserve"> </w:t>
      </w:r>
    </w:p>
    <w:p w14:paraId="3E43D356" w14:textId="77777777" w:rsidR="000A58D1" w:rsidRPr="000A58D1" w:rsidRDefault="000A58D1" w:rsidP="00FF49BF">
      <w:pPr>
        <w:pStyle w:val="Heading3"/>
      </w:pPr>
      <w:bookmarkStart w:id="123" w:name="_Toc213058555"/>
      <w:r w:rsidRPr="000A58D1">
        <w:t>Teamwork</w:t>
      </w:r>
      <w:bookmarkEnd w:id="123"/>
    </w:p>
    <w:p w14:paraId="4B0F4DFA" w14:textId="77777777" w:rsidR="000A58D1" w:rsidRPr="000A58D1" w:rsidRDefault="000A58D1" w:rsidP="000A58D1">
      <w:pPr>
        <w:rPr>
          <w:color w:val="000000" w:themeColor="text1"/>
        </w:rPr>
      </w:pPr>
      <w:r w:rsidRPr="000A58D1">
        <w:rPr>
          <w:color w:val="000000" w:themeColor="text1"/>
        </w:rPr>
        <w:t>We are committed to creating the right conditions for all our people to contribute as part of a team to deliver our Vision and Values and to be an advocate for public transport.</w:t>
      </w:r>
    </w:p>
    <w:p w14:paraId="252F5174" w14:textId="77777777" w:rsidR="000A58D1" w:rsidRPr="000A58D1" w:rsidRDefault="000A58D1" w:rsidP="000A58D1">
      <w:pPr>
        <w:rPr>
          <w:color w:val="000000" w:themeColor="text1"/>
        </w:rPr>
      </w:pPr>
    </w:p>
    <w:p w14:paraId="23549C9E" w14:textId="77777777" w:rsidR="000A58D1" w:rsidRPr="000A58D1" w:rsidRDefault="000A58D1" w:rsidP="000A58D1">
      <w:pPr>
        <w:rPr>
          <w:color w:val="000000" w:themeColor="text1"/>
        </w:rPr>
      </w:pPr>
      <w:r w:rsidRPr="000A58D1">
        <w:rPr>
          <w:color w:val="000000" w:themeColor="text1"/>
        </w:rPr>
        <w:t xml:space="preserve">We are committed to taking responsibility for the impact of our activities on customers, suppliers, employees, stakeholders and communities as well as our environment. The safety and wellbeing of our customers, employees and the </w:t>
      </w:r>
      <w:proofErr w:type="gramStart"/>
      <w:r w:rsidRPr="000A58D1">
        <w:rPr>
          <w:color w:val="000000" w:themeColor="text1"/>
        </w:rPr>
        <w:t>general public</w:t>
      </w:r>
      <w:proofErr w:type="gramEnd"/>
      <w:r w:rsidRPr="000A58D1">
        <w:rPr>
          <w:color w:val="000000" w:themeColor="text1"/>
        </w:rPr>
        <w:t xml:space="preserve"> </w:t>
      </w:r>
      <w:proofErr w:type="gramStart"/>
      <w:r w:rsidRPr="000A58D1">
        <w:rPr>
          <w:color w:val="000000" w:themeColor="text1"/>
        </w:rPr>
        <w:t>remains</w:t>
      </w:r>
      <w:proofErr w:type="gramEnd"/>
      <w:r w:rsidRPr="000A58D1">
        <w:rPr>
          <w:color w:val="000000" w:themeColor="text1"/>
        </w:rPr>
        <w:t xml:space="preserve"> central to Translink’s operations. We work with the local community to </w:t>
      </w:r>
      <w:proofErr w:type="spellStart"/>
      <w:r w:rsidRPr="000A58D1">
        <w:rPr>
          <w:color w:val="000000" w:themeColor="text1"/>
        </w:rPr>
        <w:t>instill</w:t>
      </w:r>
      <w:proofErr w:type="spellEnd"/>
      <w:r w:rsidRPr="000A58D1">
        <w:rPr>
          <w:color w:val="000000" w:themeColor="text1"/>
        </w:rPr>
        <w:t xml:space="preserve"> long term support and engagement through specific projects and initiatives. These have included: rail safety campaigns, community projects, agricultural safety, interagency safety events, safety bus activity, seatbelt campaigns and regional school initiatives.</w:t>
      </w:r>
    </w:p>
    <w:p w14:paraId="00092C33" w14:textId="77777777" w:rsidR="000A58D1" w:rsidRPr="000A58D1" w:rsidRDefault="000A58D1" w:rsidP="000A58D1">
      <w:pPr>
        <w:rPr>
          <w:color w:val="000000" w:themeColor="text1"/>
        </w:rPr>
      </w:pPr>
    </w:p>
    <w:p w14:paraId="7AF148FC" w14:textId="77777777" w:rsidR="000A58D1" w:rsidRPr="000A58D1" w:rsidRDefault="000A58D1" w:rsidP="000A58D1">
      <w:pPr>
        <w:rPr>
          <w:color w:val="000000" w:themeColor="text1"/>
        </w:rPr>
      </w:pPr>
      <w:r w:rsidRPr="000A58D1">
        <w:rPr>
          <w:color w:val="000000" w:themeColor="text1"/>
        </w:rPr>
        <w:t>We are committed to delivering workplace health and wellbeing initiatives to help our employees lead fit and healthy lifestyles. Employee welfare is enhanced by organisational culture as well as attitudes, values, beliefs and daily practices that affect their mental and physical wellbeing.</w:t>
      </w:r>
    </w:p>
    <w:p w14:paraId="1589EF0D" w14:textId="77777777" w:rsidR="000A58D1" w:rsidRPr="000A58D1" w:rsidRDefault="000A58D1" w:rsidP="000A58D1">
      <w:pPr>
        <w:rPr>
          <w:color w:val="000000" w:themeColor="text1"/>
        </w:rPr>
      </w:pPr>
      <w:r w:rsidRPr="000A58D1">
        <w:rPr>
          <w:color w:val="000000" w:themeColor="text1"/>
        </w:rPr>
        <w:t xml:space="preserve"> </w:t>
      </w:r>
    </w:p>
    <w:p w14:paraId="67A47E71" w14:textId="77777777" w:rsidR="000A58D1" w:rsidRPr="000A58D1" w:rsidRDefault="000A58D1" w:rsidP="000A58D1">
      <w:pPr>
        <w:rPr>
          <w:color w:val="000000" w:themeColor="text1"/>
        </w:rPr>
      </w:pPr>
      <w:r w:rsidRPr="000A58D1">
        <w:rPr>
          <w:color w:val="000000" w:themeColor="text1"/>
        </w:rPr>
        <w:t xml:space="preserve">We continue to support local communities through stakeholder engagement, disability awareness, charity activity, supporting community projects and festivals, youth initiatives, events and </w:t>
      </w:r>
      <w:r w:rsidRPr="000A58D1">
        <w:rPr>
          <w:color w:val="000000" w:themeColor="text1"/>
        </w:rPr>
        <w:lastRenderedPageBreak/>
        <w:t>sponsorships. Translink holds a Platinum CORE standard for Corporate Responsibility from Business in the Community (BITC) and again retained its Platinum status in BITC’s Environmental Benchmarking Survey, Northern Ireland’s leading environmental benchmarking exercise.</w:t>
      </w:r>
    </w:p>
    <w:p w14:paraId="2C93A226" w14:textId="77777777" w:rsidR="000A58D1" w:rsidRPr="000A58D1" w:rsidRDefault="000A58D1" w:rsidP="000A58D1">
      <w:pPr>
        <w:rPr>
          <w:color w:val="000000" w:themeColor="text1"/>
        </w:rPr>
      </w:pPr>
      <w:r w:rsidRPr="000A58D1">
        <w:rPr>
          <w:color w:val="000000" w:themeColor="text1"/>
        </w:rPr>
        <w:t xml:space="preserve"> </w:t>
      </w:r>
    </w:p>
    <w:p w14:paraId="36C05144" w14:textId="77777777" w:rsidR="000A58D1" w:rsidRPr="000A58D1" w:rsidRDefault="000A58D1" w:rsidP="00FF49BF">
      <w:pPr>
        <w:pStyle w:val="Heading3"/>
      </w:pPr>
      <w:bookmarkStart w:id="124" w:name="_Toc213058556"/>
      <w:r w:rsidRPr="000A58D1">
        <w:t>Principal Risks and Uncertainties</w:t>
      </w:r>
      <w:bookmarkEnd w:id="124"/>
    </w:p>
    <w:p w14:paraId="0AFA5FCB" w14:textId="77777777" w:rsidR="000A58D1" w:rsidRPr="000A58D1" w:rsidRDefault="000A58D1" w:rsidP="000A58D1">
      <w:pPr>
        <w:rPr>
          <w:color w:val="000000" w:themeColor="text1"/>
        </w:rPr>
      </w:pPr>
      <w:r w:rsidRPr="000A58D1">
        <w:rPr>
          <w:color w:val="000000" w:themeColor="text1"/>
        </w:rPr>
        <w:t xml:space="preserve">The business faced </w:t>
      </w:r>
      <w:proofErr w:type="gramStart"/>
      <w:r w:rsidRPr="000A58D1">
        <w:rPr>
          <w:color w:val="000000" w:themeColor="text1"/>
        </w:rPr>
        <w:t>a number of</w:t>
      </w:r>
      <w:proofErr w:type="gramEnd"/>
      <w:r w:rsidRPr="000A58D1">
        <w:rPr>
          <w:color w:val="000000" w:themeColor="text1"/>
        </w:rPr>
        <w:t xml:space="preserve"> risks and uncertainties, both internal and external. These encompass:</w:t>
      </w:r>
    </w:p>
    <w:p w14:paraId="4239AA2A" w14:textId="77777777" w:rsidR="000A58D1" w:rsidRPr="000A58D1" w:rsidRDefault="000A58D1" w:rsidP="000A58D1">
      <w:pPr>
        <w:rPr>
          <w:color w:val="000000" w:themeColor="text1"/>
        </w:rPr>
      </w:pPr>
      <w:r w:rsidRPr="000A58D1">
        <w:rPr>
          <w:color w:val="000000" w:themeColor="text1"/>
        </w:rPr>
        <w:t xml:space="preserve"> </w:t>
      </w:r>
    </w:p>
    <w:p w14:paraId="3941E8AC" w14:textId="4B526374" w:rsidR="000A58D1" w:rsidRPr="000A58D1" w:rsidRDefault="000A58D1" w:rsidP="000A58D1">
      <w:pPr>
        <w:pStyle w:val="ListParagraph"/>
        <w:numPr>
          <w:ilvl w:val="0"/>
          <w:numId w:val="55"/>
        </w:numPr>
        <w:rPr>
          <w:color w:val="000000" w:themeColor="text1"/>
        </w:rPr>
      </w:pPr>
      <w:r w:rsidRPr="000A58D1">
        <w:rPr>
          <w:color w:val="000000" w:themeColor="text1"/>
        </w:rPr>
        <w:t xml:space="preserve">Impact of funding shortfalls on Translink’s viability as a going concern in the short to medium term and longer </w:t>
      </w:r>
      <w:proofErr w:type="gramStart"/>
      <w:r w:rsidRPr="000A58D1">
        <w:rPr>
          <w:color w:val="000000" w:themeColor="text1"/>
        </w:rPr>
        <w:t>term;</w:t>
      </w:r>
      <w:proofErr w:type="gramEnd"/>
    </w:p>
    <w:p w14:paraId="3087D90A" w14:textId="732E2D63" w:rsidR="000A58D1" w:rsidRPr="000A58D1" w:rsidRDefault="000A58D1" w:rsidP="000A58D1">
      <w:pPr>
        <w:pStyle w:val="ListParagraph"/>
        <w:numPr>
          <w:ilvl w:val="0"/>
          <w:numId w:val="55"/>
        </w:numPr>
        <w:rPr>
          <w:color w:val="000000" w:themeColor="text1"/>
        </w:rPr>
      </w:pPr>
      <w:r w:rsidRPr="000A58D1">
        <w:rPr>
          <w:color w:val="000000" w:themeColor="text1"/>
        </w:rPr>
        <w:t>Failure to optimally manage and secure sufficient benefit from key service delivery partnerships (such as Education Authority school services and Irish Rail</w:t>
      </w:r>
      <w:proofErr w:type="gramStart"/>
      <w:r w:rsidRPr="000A58D1">
        <w:rPr>
          <w:color w:val="000000" w:themeColor="text1"/>
        </w:rPr>
        <w:t>);</w:t>
      </w:r>
      <w:proofErr w:type="gramEnd"/>
    </w:p>
    <w:p w14:paraId="669E2434" w14:textId="7803E3C5" w:rsidR="000A58D1" w:rsidRPr="000A58D1" w:rsidRDefault="000A58D1" w:rsidP="000A58D1">
      <w:pPr>
        <w:pStyle w:val="ListParagraph"/>
        <w:numPr>
          <w:ilvl w:val="0"/>
          <w:numId w:val="55"/>
        </w:numPr>
        <w:rPr>
          <w:color w:val="000000" w:themeColor="text1"/>
        </w:rPr>
      </w:pPr>
      <w:r w:rsidRPr="000A58D1">
        <w:rPr>
          <w:color w:val="000000" w:themeColor="text1"/>
        </w:rPr>
        <w:t>Key supplier failure/</w:t>
      </w:r>
      <w:proofErr w:type="gramStart"/>
      <w:r w:rsidRPr="000A58D1">
        <w:rPr>
          <w:color w:val="000000" w:themeColor="text1"/>
        </w:rPr>
        <w:t>unavailability;</w:t>
      </w:r>
      <w:proofErr w:type="gramEnd"/>
    </w:p>
    <w:p w14:paraId="5BDFDB58" w14:textId="3DF1CB15" w:rsidR="000A58D1" w:rsidRPr="000A58D1" w:rsidRDefault="000A58D1" w:rsidP="000A58D1">
      <w:pPr>
        <w:pStyle w:val="ListParagraph"/>
        <w:numPr>
          <w:ilvl w:val="0"/>
          <w:numId w:val="55"/>
        </w:numPr>
        <w:rPr>
          <w:color w:val="000000" w:themeColor="text1"/>
        </w:rPr>
      </w:pPr>
      <w:r w:rsidRPr="000A58D1">
        <w:rPr>
          <w:color w:val="000000" w:themeColor="text1"/>
        </w:rPr>
        <w:t xml:space="preserve">Difficulty in maintaining good employee relations impacting on the delivery of </w:t>
      </w:r>
      <w:proofErr w:type="gramStart"/>
      <w:r w:rsidRPr="000A58D1">
        <w:rPr>
          <w:color w:val="000000" w:themeColor="text1"/>
        </w:rPr>
        <w:t>services;</w:t>
      </w:r>
      <w:proofErr w:type="gramEnd"/>
    </w:p>
    <w:p w14:paraId="35EEB3DC" w14:textId="060A5D58" w:rsidR="000A58D1" w:rsidRPr="000A58D1" w:rsidRDefault="000A58D1" w:rsidP="000A58D1">
      <w:pPr>
        <w:pStyle w:val="ListParagraph"/>
        <w:numPr>
          <w:ilvl w:val="0"/>
          <w:numId w:val="55"/>
        </w:numPr>
        <w:rPr>
          <w:color w:val="000000" w:themeColor="text1"/>
        </w:rPr>
      </w:pPr>
      <w:r w:rsidRPr="000A58D1">
        <w:rPr>
          <w:color w:val="000000" w:themeColor="text1"/>
        </w:rPr>
        <w:t xml:space="preserve">Failure to establish and control an effective framework for managing Translink’s capital investment </w:t>
      </w:r>
      <w:proofErr w:type="gramStart"/>
      <w:r w:rsidRPr="000A58D1">
        <w:rPr>
          <w:color w:val="000000" w:themeColor="text1"/>
        </w:rPr>
        <w:t>portfolio;</w:t>
      </w:r>
      <w:proofErr w:type="gramEnd"/>
    </w:p>
    <w:p w14:paraId="2176C030" w14:textId="78366CAD" w:rsidR="000A58D1" w:rsidRPr="000A58D1" w:rsidRDefault="000A58D1" w:rsidP="000A58D1">
      <w:pPr>
        <w:pStyle w:val="ListParagraph"/>
        <w:numPr>
          <w:ilvl w:val="0"/>
          <w:numId w:val="55"/>
        </w:numPr>
        <w:rPr>
          <w:color w:val="000000" w:themeColor="text1"/>
        </w:rPr>
      </w:pPr>
      <w:r w:rsidRPr="000A58D1">
        <w:rPr>
          <w:color w:val="000000" w:themeColor="text1"/>
        </w:rPr>
        <w:t xml:space="preserve">Failure to avoid a catastrophic or major </w:t>
      </w:r>
      <w:proofErr w:type="gramStart"/>
      <w:r w:rsidRPr="000A58D1">
        <w:rPr>
          <w:color w:val="000000" w:themeColor="text1"/>
        </w:rPr>
        <w:t>incident;</w:t>
      </w:r>
      <w:proofErr w:type="gramEnd"/>
    </w:p>
    <w:p w14:paraId="63B7ACEE" w14:textId="6409B561" w:rsidR="000A58D1" w:rsidRPr="000A58D1" w:rsidRDefault="000A58D1" w:rsidP="000A58D1">
      <w:pPr>
        <w:pStyle w:val="ListParagraph"/>
        <w:numPr>
          <w:ilvl w:val="0"/>
          <w:numId w:val="55"/>
        </w:numPr>
        <w:rPr>
          <w:color w:val="000000" w:themeColor="text1"/>
        </w:rPr>
      </w:pPr>
      <w:r w:rsidRPr="000A58D1">
        <w:rPr>
          <w:color w:val="000000" w:themeColor="text1"/>
        </w:rPr>
        <w:t xml:space="preserve">Cyber </w:t>
      </w:r>
      <w:proofErr w:type="gramStart"/>
      <w:r w:rsidRPr="000A58D1">
        <w:rPr>
          <w:color w:val="000000" w:themeColor="text1"/>
        </w:rPr>
        <w:t>security;</w:t>
      </w:r>
      <w:proofErr w:type="gramEnd"/>
    </w:p>
    <w:p w14:paraId="187208D8" w14:textId="122665BD" w:rsidR="000A58D1" w:rsidRPr="000A58D1" w:rsidRDefault="000A58D1" w:rsidP="000A58D1">
      <w:pPr>
        <w:pStyle w:val="ListParagraph"/>
        <w:numPr>
          <w:ilvl w:val="0"/>
          <w:numId w:val="55"/>
        </w:numPr>
        <w:rPr>
          <w:color w:val="000000" w:themeColor="text1"/>
        </w:rPr>
      </w:pPr>
      <w:r w:rsidRPr="000A58D1">
        <w:rPr>
          <w:color w:val="000000" w:themeColor="text1"/>
        </w:rPr>
        <w:t>Impact of Brexit (European Railway Standards</w:t>
      </w:r>
      <w:proofErr w:type="gramStart"/>
      <w:r w:rsidRPr="000A58D1">
        <w:rPr>
          <w:color w:val="000000" w:themeColor="text1"/>
        </w:rPr>
        <w:t>);</w:t>
      </w:r>
      <w:proofErr w:type="gramEnd"/>
    </w:p>
    <w:p w14:paraId="69CA0CE6" w14:textId="0976D717" w:rsidR="000A58D1" w:rsidRPr="000A58D1" w:rsidRDefault="000A58D1" w:rsidP="000A58D1">
      <w:pPr>
        <w:pStyle w:val="ListParagraph"/>
        <w:numPr>
          <w:ilvl w:val="0"/>
          <w:numId w:val="55"/>
        </w:numPr>
        <w:rPr>
          <w:color w:val="000000" w:themeColor="text1"/>
        </w:rPr>
      </w:pPr>
      <w:r w:rsidRPr="000A58D1">
        <w:rPr>
          <w:color w:val="000000" w:themeColor="text1"/>
        </w:rPr>
        <w:t xml:space="preserve">Damage to corporate </w:t>
      </w:r>
      <w:proofErr w:type="gramStart"/>
      <w:r w:rsidRPr="000A58D1">
        <w:rPr>
          <w:color w:val="000000" w:themeColor="text1"/>
        </w:rPr>
        <w:t>brand;</w:t>
      </w:r>
      <w:proofErr w:type="gramEnd"/>
    </w:p>
    <w:p w14:paraId="075DC9DF" w14:textId="13E7C812" w:rsidR="000A58D1" w:rsidRPr="000A58D1" w:rsidRDefault="000A58D1" w:rsidP="000A58D1">
      <w:pPr>
        <w:pStyle w:val="ListParagraph"/>
        <w:numPr>
          <w:ilvl w:val="0"/>
          <w:numId w:val="55"/>
        </w:numPr>
        <w:rPr>
          <w:color w:val="000000" w:themeColor="text1"/>
        </w:rPr>
      </w:pPr>
      <w:proofErr w:type="gramStart"/>
      <w:r w:rsidRPr="000A58D1">
        <w:rPr>
          <w:color w:val="000000" w:themeColor="text1"/>
        </w:rPr>
        <w:t>Pandemic;</w:t>
      </w:r>
      <w:proofErr w:type="gramEnd"/>
    </w:p>
    <w:p w14:paraId="34161C38" w14:textId="092988EF" w:rsidR="000A58D1" w:rsidRPr="000A58D1" w:rsidRDefault="000A58D1" w:rsidP="000A58D1">
      <w:pPr>
        <w:pStyle w:val="ListParagraph"/>
        <w:numPr>
          <w:ilvl w:val="0"/>
          <w:numId w:val="55"/>
        </w:numPr>
        <w:rPr>
          <w:color w:val="000000" w:themeColor="text1"/>
        </w:rPr>
      </w:pPr>
      <w:r w:rsidRPr="000A58D1">
        <w:rPr>
          <w:color w:val="000000" w:themeColor="text1"/>
        </w:rPr>
        <w:t xml:space="preserve">Insufficient whole Lifecycle asset management </w:t>
      </w:r>
      <w:proofErr w:type="gramStart"/>
      <w:r w:rsidRPr="000A58D1">
        <w:rPr>
          <w:color w:val="000000" w:themeColor="text1"/>
        </w:rPr>
        <w:t>funding;</w:t>
      </w:r>
      <w:proofErr w:type="gramEnd"/>
    </w:p>
    <w:p w14:paraId="4F4570A0" w14:textId="7AA463D1" w:rsidR="000A58D1" w:rsidRPr="000A58D1" w:rsidRDefault="000A58D1" w:rsidP="000A58D1">
      <w:pPr>
        <w:pStyle w:val="ListParagraph"/>
        <w:numPr>
          <w:ilvl w:val="0"/>
          <w:numId w:val="55"/>
        </w:numPr>
        <w:rPr>
          <w:color w:val="000000" w:themeColor="text1"/>
        </w:rPr>
      </w:pPr>
      <w:r w:rsidRPr="000A58D1">
        <w:rPr>
          <w:color w:val="000000" w:themeColor="text1"/>
        </w:rPr>
        <w:t>Ability to respond to the adverse effects of Climate Change on Infrastructure and Property Assets; and</w:t>
      </w:r>
    </w:p>
    <w:p w14:paraId="35FE93A0" w14:textId="23A79B09" w:rsidR="000A58D1" w:rsidRPr="000A58D1" w:rsidRDefault="000A58D1" w:rsidP="000A58D1">
      <w:pPr>
        <w:pStyle w:val="ListParagraph"/>
        <w:numPr>
          <w:ilvl w:val="0"/>
          <w:numId w:val="55"/>
        </w:numPr>
        <w:rPr>
          <w:color w:val="000000" w:themeColor="text1"/>
        </w:rPr>
      </w:pPr>
      <w:r w:rsidRPr="000A58D1">
        <w:rPr>
          <w:color w:val="000000" w:themeColor="text1"/>
        </w:rPr>
        <w:t>Contribution to or impact on Climate change.</w:t>
      </w:r>
    </w:p>
    <w:p w14:paraId="02723161" w14:textId="77777777" w:rsidR="000A58D1" w:rsidRPr="000A58D1" w:rsidRDefault="000A58D1" w:rsidP="000A58D1">
      <w:pPr>
        <w:rPr>
          <w:color w:val="000000" w:themeColor="text1"/>
        </w:rPr>
      </w:pPr>
    </w:p>
    <w:p w14:paraId="71DCF7F4" w14:textId="77777777" w:rsidR="000A58D1" w:rsidRPr="000A58D1" w:rsidRDefault="000A58D1" w:rsidP="000A58D1">
      <w:pPr>
        <w:rPr>
          <w:color w:val="000000" w:themeColor="text1"/>
        </w:rPr>
      </w:pPr>
      <w:r w:rsidRPr="000A58D1">
        <w:rPr>
          <w:color w:val="000000" w:themeColor="text1"/>
        </w:rPr>
        <w:t xml:space="preserve">Further information on the key risks and uncertainties faced by the Group are set out in more detail within the Group’s Corporate Risk Register </w:t>
      </w:r>
      <w:proofErr w:type="gramStart"/>
      <w:r w:rsidRPr="000A58D1">
        <w:rPr>
          <w:color w:val="000000" w:themeColor="text1"/>
        </w:rPr>
        <w:t>and also</w:t>
      </w:r>
      <w:proofErr w:type="gramEnd"/>
      <w:r w:rsidRPr="000A58D1">
        <w:rPr>
          <w:color w:val="000000" w:themeColor="text1"/>
        </w:rPr>
        <w:t xml:space="preserve"> the Corporate Governance statement on page 22.</w:t>
      </w:r>
    </w:p>
    <w:p w14:paraId="452141CE" w14:textId="77777777" w:rsidR="000A58D1" w:rsidRPr="000A58D1" w:rsidRDefault="000A58D1" w:rsidP="000A58D1"/>
    <w:p w14:paraId="500A21D2" w14:textId="27E6577A" w:rsidR="00344BF7" w:rsidRPr="000A58D1" w:rsidRDefault="000A58D1" w:rsidP="000A58D1">
      <w:r w:rsidRPr="000A58D1">
        <w:t>Approved by the Board of Directors on 18 June 2025 and signed on behalf of the Board:</w:t>
      </w:r>
    </w:p>
    <w:p w14:paraId="0D367D8B" w14:textId="2926E542" w:rsidR="00344BF7" w:rsidRDefault="00344BF7" w:rsidP="00506AC2">
      <w:r w:rsidRPr="00344BF7">
        <w:t>Mrs Priscilla Rooney</w:t>
      </w:r>
      <w:r>
        <w:t xml:space="preserve">, </w:t>
      </w:r>
      <w:r w:rsidRPr="00344BF7">
        <w:t>Company Secretary</w:t>
      </w:r>
      <w:r>
        <w:t>.</w:t>
      </w:r>
    </w:p>
    <w:p w14:paraId="6B9E6CB3" w14:textId="77777777" w:rsidR="000525D5" w:rsidRDefault="000525D5">
      <w:pPr>
        <w:spacing w:line="240" w:lineRule="auto"/>
        <w:rPr>
          <w:rFonts w:cs="Arial"/>
          <w:b/>
          <w:color w:val="000000" w:themeColor="text1"/>
          <w:sz w:val="52"/>
          <w:szCs w:val="54"/>
        </w:rPr>
      </w:pPr>
      <w:bookmarkStart w:id="125" w:name="_Toc213058557"/>
      <w:r>
        <w:br w:type="page"/>
      </w:r>
    </w:p>
    <w:p w14:paraId="515A2F44" w14:textId="639BD099" w:rsidR="00344BF7" w:rsidRPr="00344BF7" w:rsidRDefault="00344BF7" w:rsidP="00506AC2">
      <w:pPr>
        <w:pStyle w:val="Heading1"/>
      </w:pPr>
      <w:r w:rsidRPr="00344BF7">
        <w:lastRenderedPageBreak/>
        <w:t>Directors’ Report</w:t>
      </w:r>
      <w:bookmarkEnd w:id="125"/>
    </w:p>
    <w:p w14:paraId="113AF0D4" w14:textId="77777777" w:rsidR="000A58D1" w:rsidRPr="000A58D1" w:rsidRDefault="000A58D1" w:rsidP="000A58D1">
      <w:pPr>
        <w:rPr>
          <w:color w:val="000000" w:themeColor="text1"/>
        </w:rPr>
      </w:pPr>
      <w:r w:rsidRPr="000A58D1">
        <w:rPr>
          <w:color w:val="000000" w:themeColor="text1"/>
        </w:rPr>
        <w:t>The Directors present their annual report on the affairs of the Group and parent company, together with the financial statements and auditor’s report, for the year ended 30 March 2025. An indication of likely future developments in the business of the Group and Parent Company is included in the strategic report.</w:t>
      </w:r>
    </w:p>
    <w:p w14:paraId="70C54A99" w14:textId="77777777" w:rsidR="000A58D1" w:rsidRPr="00F45CEC" w:rsidRDefault="000A58D1" w:rsidP="00340DE5">
      <w:pPr>
        <w:pStyle w:val="Heading3"/>
      </w:pPr>
      <w:bookmarkStart w:id="126" w:name="_Toc213058558"/>
      <w:r w:rsidRPr="00F45CEC">
        <w:t>Directors</w:t>
      </w:r>
      <w:bookmarkEnd w:id="126"/>
    </w:p>
    <w:p w14:paraId="5BCBCD29" w14:textId="77777777" w:rsidR="000A58D1" w:rsidRPr="000A58D1" w:rsidRDefault="000A58D1" w:rsidP="000A58D1">
      <w:pPr>
        <w:rPr>
          <w:color w:val="000000"/>
        </w:rPr>
      </w:pPr>
      <w:r w:rsidRPr="000A58D1">
        <w:rPr>
          <w:color w:val="000000"/>
        </w:rPr>
        <w:t xml:space="preserve">The Directors, who served throughout the year and up to the date of approval of the accounts are noted on page 4. </w:t>
      </w:r>
    </w:p>
    <w:p w14:paraId="348A8838" w14:textId="77777777" w:rsidR="000A58D1" w:rsidRPr="000A58D1" w:rsidRDefault="000A58D1" w:rsidP="000A58D1">
      <w:pPr>
        <w:rPr>
          <w:color w:val="000000"/>
        </w:rPr>
      </w:pPr>
    </w:p>
    <w:p w14:paraId="41989C84" w14:textId="77777777" w:rsidR="000A58D1" w:rsidRPr="000A58D1" w:rsidRDefault="000A58D1" w:rsidP="000A58D1">
      <w:pPr>
        <w:rPr>
          <w:color w:val="000000"/>
        </w:rPr>
      </w:pPr>
      <w:r w:rsidRPr="000A58D1">
        <w:rPr>
          <w:color w:val="000000"/>
        </w:rPr>
        <w:t>The following directors were appointed during the year:</w:t>
      </w:r>
    </w:p>
    <w:p w14:paraId="16B95B6F" w14:textId="77777777" w:rsidR="000A58D1" w:rsidRPr="000A58D1" w:rsidRDefault="000A58D1" w:rsidP="000A58D1">
      <w:pPr>
        <w:rPr>
          <w:color w:val="000000"/>
        </w:rPr>
      </w:pPr>
      <w:r w:rsidRPr="000A58D1">
        <w:rPr>
          <w:color w:val="000000"/>
        </w:rPr>
        <w:t>Mr Donald Leeson (appointed 1st October 2024)</w:t>
      </w:r>
    </w:p>
    <w:p w14:paraId="5FF55EE1" w14:textId="77777777" w:rsidR="000A58D1" w:rsidRPr="000A58D1" w:rsidRDefault="000A58D1" w:rsidP="000A58D1">
      <w:pPr>
        <w:rPr>
          <w:color w:val="000000"/>
        </w:rPr>
      </w:pPr>
      <w:r w:rsidRPr="000A58D1">
        <w:rPr>
          <w:color w:val="000000"/>
        </w:rPr>
        <w:t>Mr Manish Gupta (appointed 1st October 2024)</w:t>
      </w:r>
    </w:p>
    <w:p w14:paraId="6345C85C" w14:textId="77777777" w:rsidR="000A58D1" w:rsidRPr="000A58D1" w:rsidRDefault="000A58D1" w:rsidP="000A58D1">
      <w:pPr>
        <w:rPr>
          <w:color w:val="000000"/>
        </w:rPr>
      </w:pPr>
      <w:r w:rsidRPr="000A58D1">
        <w:rPr>
          <w:color w:val="000000"/>
        </w:rPr>
        <w:t>Mr Frank Allen (appointed 1st March 2025)</w:t>
      </w:r>
    </w:p>
    <w:p w14:paraId="07245D79" w14:textId="77777777" w:rsidR="000A58D1" w:rsidRPr="000A58D1" w:rsidRDefault="000A58D1" w:rsidP="000A58D1">
      <w:pPr>
        <w:rPr>
          <w:color w:val="000000"/>
        </w:rPr>
      </w:pPr>
      <w:r w:rsidRPr="000A58D1">
        <w:rPr>
          <w:color w:val="000000"/>
        </w:rPr>
        <w:t>Ms Grainne McVeigh (appointed 1st October 2024)</w:t>
      </w:r>
    </w:p>
    <w:p w14:paraId="19229B97" w14:textId="77777777" w:rsidR="000A58D1" w:rsidRPr="000A58D1" w:rsidRDefault="000A58D1" w:rsidP="000A58D1">
      <w:pPr>
        <w:rPr>
          <w:color w:val="000000"/>
        </w:rPr>
      </w:pPr>
    </w:p>
    <w:p w14:paraId="5FB79EE9" w14:textId="77777777" w:rsidR="000A58D1" w:rsidRPr="000A58D1" w:rsidRDefault="000A58D1" w:rsidP="000A58D1">
      <w:pPr>
        <w:rPr>
          <w:color w:val="000000"/>
        </w:rPr>
      </w:pPr>
      <w:r w:rsidRPr="000A58D1">
        <w:rPr>
          <w:color w:val="000000"/>
        </w:rPr>
        <w:t>The following directors served from 31 March 2024 to the end of their term of office:</w:t>
      </w:r>
    </w:p>
    <w:p w14:paraId="22582D2F" w14:textId="77777777" w:rsidR="000A58D1" w:rsidRPr="000A58D1" w:rsidRDefault="000A58D1" w:rsidP="000A58D1">
      <w:pPr>
        <w:rPr>
          <w:color w:val="000000"/>
        </w:rPr>
      </w:pPr>
      <w:r w:rsidRPr="000A58D1">
        <w:rPr>
          <w:color w:val="000000"/>
        </w:rPr>
        <w:t>Dr Michael Wardlow (appointment ended on 1st March 2025)</w:t>
      </w:r>
    </w:p>
    <w:p w14:paraId="2BCA2411" w14:textId="77777777" w:rsidR="000A58D1" w:rsidRPr="000A58D1" w:rsidRDefault="000A58D1" w:rsidP="000A58D1">
      <w:pPr>
        <w:rPr>
          <w:color w:val="000000"/>
          <w:spacing w:val="-2"/>
        </w:rPr>
      </w:pPr>
      <w:r w:rsidRPr="000A58D1">
        <w:rPr>
          <w:color w:val="000000"/>
        </w:rPr>
        <w:t>Ms Sharon O’Connor (appointment ended on 30th September 2024)</w:t>
      </w:r>
    </w:p>
    <w:p w14:paraId="04D6584D" w14:textId="77777777" w:rsidR="000A58D1" w:rsidRPr="000A58D1" w:rsidRDefault="000A58D1" w:rsidP="000A58D1">
      <w:pPr>
        <w:rPr>
          <w:color w:val="000000"/>
          <w:spacing w:val="-1"/>
        </w:rPr>
      </w:pPr>
      <w:r w:rsidRPr="000A58D1">
        <w:rPr>
          <w:color w:val="000000"/>
          <w:spacing w:val="-1"/>
        </w:rPr>
        <w:t>Ms Marie Mallon (appointment ended on 30th September 2024)</w:t>
      </w:r>
    </w:p>
    <w:p w14:paraId="2E063753" w14:textId="77777777" w:rsidR="000A58D1" w:rsidRPr="000A58D1" w:rsidRDefault="000A58D1" w:rsidP="000A58D1">
      <w:pPr>
        <w:rPr>
          <w:color w:val="000000"/>
        </w:rPr>
      </w:pPr>
    </w:p>
    <w:p w14:paraId="3F852B37" w14:textId="77777777" w:rsidR="000A58D1" w:rsidRPr="00F45CEC" w:rsidRDefault="000A58D1" w:rsidP="00340DE5">
      <w:pPr>
        <w:pStyle w:val="Heading3"/>
      </w:pPr>
      <w:bookmarkStart w:id="127" w:name="_Toc213058559"/>
      <w:r w:rsidRPr="00F45CEC">
        <w:t>Directors’ Indemnities</w:t>
      </w:r>
      <w:bookmarkEnd w:id="127"/>
    </w:p>
    <w:p w14:paraId="72D7C26E" w14:textId="77777777" w:rsidR="000A58D1" w:rsidRPr="000A58D1" w:rsidRDefault="000A58D1" w:rsidP="000A58D1">
      <w:pPr>
        <w:rPr>
          <w:color w:val="000000"/>
        </w:rPr>
      </w:pPr>
      <w:r w:rsidRPr="000A58D1">
        <w:rPr>
          <w:color w:val="000000"/>
        </w:rPr>
        <w:t xml:space="preserve">The Company has made qualifying third-party indemnity provisions for the benefit of its </w:t>
      </w:r>
      <w:proofErr w:type="gramStart"/>
      <w:r w:rsidRPr="000A58D1">
        <w:rPr>
          <w:color w:val="000000"/>
        </w:rPr>
        <w:t>Directors</w:t>
      </w:r>
      <w:proofErr w:type="gramEnd"/>
      <w:r w:rsidRPr="000A58D1">
        <w:rPr>
          <w:color w:val="000000"/>
        </w:rPr>
        <w:t xml:space="preserve"> which were made during the year and remain in force at the date of this report.</w:t>
      </w:r>
    </w:p>
    <w:p w14:paraId="5A4AF3EA" w14:textId="77777777" w:rsidR="000A58D1" w:rsidRPr="000A58D1" w:rsidRDefault="000A58D1" w:rsidP="000A58D1">
      <w:pPr>
        <w:rPr>
          <w:color w:val="000000"/>
        </w:rPr>
      </w:pPr>
    </w:p>
    <w:p w14:paraId="087C3EE3" w14:textId="77777777" w:rsidR="000A58D1" w:rsidRPr="00F45CEC" w:rsidRDefault="000A58D1" w:rsidP="00340DE5">
      <w:pPr>
        <w:pStyle w:val="Heading3"/>
      </w:pPr>
      <w:bookmarkStart w:id="128" w:name="_Toc213058560"/>
      <w:r w:rsidRPr="00F45CEC">
        <w:t>Equal Opportunities</w:t>
      </w:r>
      <w:bookmarkEnd w:id="128"/>
      <w:r w:rsidRPr="00F45CEC">
        <w:t xml:space="preserve"> </w:t>
      </w:r>
    </w:p>
    <w:p w14:paraId="21854D01" w14:textId="77777777" w:rsidR="000A58D1" w:rsidRPr="000A58D1" w:rsidRDefault="000A58D1" w:rsidP="000A58D1">
      <w:pPr>
        <w:rPr>
          <w:color w:val="000000"/>
        </w:rPr>
      </w:pPr>
      <w:r w:rsidRPr="000A58D1">
        <w:rPr>
          <w:color w:val="000000"/>
        </w:rPr>
        <w:t>Reasonable adjustments are considered through the recruitment process for those with a Disability, in line with our equal opportunities policy, ensuring fair and objective assessment against the job criteria.  In the event of members of staff becoming disabled, every effort is made to ensure that their employment with the Company continues, and that appropriate reasonable adjustments are made. It is the policy of the Company that the training, career development and promotion of disabled persons should, as far as possible, be identical to that of other employees.</w:t>
      </w:r>
    </w:p>
    <w:p w14:paraId="11E7DE3B" w14:textId="77777777" w:rsidR="000A58D1" w:rsidRPr="000A58D1" w:rsidRDefault="000A58D1" w:rsidP="000A58D1">
      <w:pPr>
        <w:rPr>
          <w:color w:val="000000"/>
        </w:rPr>
      </w:pPr>
    </w:p>
    <w:p w14:paraId="07454020" w14:textId="77777777" w:rsidR="000A58D1" w:rsidRPr="000A58D1" w:rsidRDefault="000A58D1" w:rsidP="000A58D1"/>
    <w:p w14:paraId="06B9B211" w14:textId="77777777" w:rsidR="000A58D1" w:rsidRPr="00F45CEC" w:rsidRDefault="000A58D1" w:rsidP="00340DE5">
      <w:pPr>
        <w:pStyle w:val="Heading3"/>
      </w:pPr>
      <w:bookmarkStart w:id="129" w:name="_Toc213058561"/>
      <w:r w:rsidRPr="00F45CEC">
        <w:lastRenderedPageBreak/>
        <w:t>Employee Consultation</w:t>
      </w:r>
      <w:bookmarkEnd w:id="129"/>
      <w:r w:rsidRPr="00F45CEC">
        <w:t xml:space="preserve"> </w:t>
      </w:r>
    </w:p>
    <w:p w14:paraId="1CF0F09F" w14:textId="77777777" w:rsidR="000A58D1" w:rsidRPr="000A58D1" w:rsidRDefault="000A58D1" w:rsidP="000A58D1">
      <w:pPr>
        <w:rPr>
          <w:color w:val="000000"/>
        </w:rPr>
      </w:pPr>
      <w:r w:rsidRPr="000A58D1">
        <w:rPr>
          <w:color w:val="000000"/>
        </w:rPr>
        <w:t>Translink recognises four trade unions for pay and collective bargaining purposes: GMB, SIPTU, TSSA and Unite.  Our longstanding employment relations arrangements provide for consultation with staff, through their trade union representatives, on employment and related policies, as well as pay and terms and conditions. This year, wider staff engagement has included a further series of internal employee events, including a leadership conference, the Health and Safety Conference and our Annual Business Review, for all Management and Professional/Technical staff.  Throughout the year, we have continued to provide employees with information and regular updates about the Group via regular Group Chief Executive emails and videos.  We continue to extend our reach of communications through our digital platforms with over 87% of employees now registered on the employee app.  We bolster this digital approach by providing key updates via staff briefs, posters, employee news bulletins and continue to use MS Teams to provide monthly leadership briefings and additional employee events focusing on safety, wellbeing and inclusion.  All employees also have access to learning and development opportunities through our Employee Learning Platform.  We also have a variety of employee EDI (Equality, Diversity &amp; Inclusion) networks and have completed pulse surveys as part of a wider employee listening strategy.</w:t>
      </w:r>
    </w:p>
    <w:p w14:paraId="624BD150" w14:textId="77777777" w:rsidR="000A58D1" w:rsidRPr="000A58D1" w:rsidRDefault="000A58D1" w:rsidP="000A58D1">
      <w:pPr>
        <w:rPr>
          <w:color w:val="000000"/>
        </w:rPr>
      </w:pPr>
      <w:r w:rsidRPr="000A58D1">
        <w:rPr>
          <w:color w:val="000000"/>
        </w:rPr>
        <w:t xml:space="preserve"> </w:t>
      </w:r>
    </w:p>
    <w:p w14:paraId="11A9C3D4" w14:textId="77777777" w:rsidR="000A58D1" w:rsidRPr="00F45CEC" w:rsidRDefault="000A58D1" w:rsidP="00340DE5">
      <w:pPr>
        <w:pStyle w:val="Heading3"/>
      </w:pPr>
      <w:bookmarkStart w:id="130" w:name="_Toc213058562"/>
      <w:r w:rsidRPr="00F45CEC">
        <w:t>Engagement with Suppliers, Customers and Others in a Business Relationship with the Group</w:t>
      </w:r>
      <w:bookmarkEnd w:id="130"/>
      <w:r w:rsidRPr="00F45CEC">
        <w:t xml:space="preserve"> </w:t>
      </w:r>
    </w:p>
    <w:p w14:paraId="38CA66B8" w14:textId="77777777" w:rsidR="000A58D1" w:rsidRPr="000A58D1" w:rsidRDefault="000A58D1" w:rsidP="000A58D1">
      <w:pPr>
        <w:rPr>
          <w:color w:val="000000"/>
        </w:rPr>
      </w:pPr>
      <w:r w:rsidRPr="000A58D1">
        <w:rPr>
          <w:color w:val="000000"/>
        </w:rPr>
        <w:t>The Translink Procurement team regularly participate in events across the Island of Ireland including “Meet the Buyer” opportunities held by NI Chamber of Commerce, Belfast City Council and Invest NI. These events enable us to promote opportunities to work with our organisation and to encourage participation, particularly by SMEs, in our tender competitions.</w:t>
      </w:r>
    </w:p>
    <w:p w14:paraId="47D37E5B" w14:textId="77777777" w:rsidR="000A58D1" w:rsidRPr="000A58D1" w:rsidRDefault="000A58D1" w:rsidP="000A58D1">
      <w:pPr>
        <w:rPr>
          <w:color w:val="000000"/>
        </w:rPr>
      </w:pPr>
    </w:p>
    <w:p w14:paraId="6B7E57EB" w14:textId="77777777" w:rsidR="000A58D1" w:rsidRPr="000A58D1" w:rsidRDefault="000A58D1" w:rsidP="000A58D1">
      <w:pPr>
        <w:rPr>
          <w:color w:val="000000"/>
        </w:rPr>
      </w:pPr>
      <w:r w:rsidRPr="000A58D1">
        <w:rPr>
          <w:color w:val="000000"/>
        </w:rPr>
        <w:t>Our team are focused on the need to monitor the marketplace and gather intelligence, including using various types of proactive market engagement, to assist our colleagues make informed decisions. We recognise the importance of working collaboratively with others, both internal and external to Translink, particularly in relation to the benefits that can be achieved through common procurement approaches. With the implementation of the Procurement Act 2023, we are working with customers across the organisation and beyond to embed the fundamental principles and opportunities this reform of public procurement is intended to bring, and we continue to proactively promote Social Value and its benefits through all stages of the work that we do.</w:t>
      </w:r>
    </w:p>
    <w:p w14:paraId="4D45BC07" w14:textId="77777777" w:rsidR="00F45CEC" w:rsidRDefault="00F45CEC" w:rsidP="000A58D1">
      <w:pPr>
        <w:rPr>
          <w:color w:val="000000"/>
        </w:rPr>
      </w:pPr>
    </w:p>
    <w:p w14:paraId="348119BA" w14:textId="45CFBB00" w:rsidR="000A58D1" w:rsidRPr="000A58D1" w:rsidRDefault="000A58D1" w:rsidP="000A58D1">
      <w:pPr>
        <w:rPr>
          <w:color w:val="000000"/>
        </w:rPr>
      </w:pPr>
      <w:r w:rsidRPr="000A58D1">
        <w:rPr>
          <w:color w:val="000000"/>
        </w:rPr>
        <w:lastRenderedPageBreak/>
        <w:t>Ensuring that suppliers are delivering in accordance with their contracted commitments is of key importance to the Translink organisation. The procurement team regularly engage with our internal customers providing support and guidance with particular focus on supplier relationship management, performance monitoring and resilience.</w:t>
      </w:r>
    </w:p>
    <w:p w14:paraId="57C4BB4D" w14:textId="77777777" w:rsidR="000A58D1" w:rsidRPr="000A58D1" w:rsidRDefault="000A58D1" w:rsidP="000A58D1">
      <w:pPr>
        <w:rPr>
          <w:color w:val="000000"/>
        </w:rPr>
      </w:pPr>
    </w:p>
    <w:p w14:paraId="315264CC" w14:textId="77777777" w:rsidR="000A58D1" w:rsidRPr="000A58D1" w:rsidRDefault="000A58D1" w:rsidP="000A58D1">
      <w:pPr>
        <w:rPr>
          <w:color w:val="000000"/>
        </w:rPr>
      </w:pPr>
      <w:r w:rsidRPr="000A58D1">
        <w:rPr>
          <w:color w:val="000000"/>
        </w:rPr>
        <w:t>As a Centre of Procurement Expertise, we regularly work in collaboration with other similar organisations across the public sector. This engagement has provided Translink the opportunity to influence the development of Northern Ireland Procurement Policy with the aim of ensuring that the policy aligns with the objectives of our organisation.</w:t>
      </w:r>
    </w:p>
    <w:p w14:paraId="40F1A832" w14:textId="77777777" w:rsidR="000A58D1" w:rsidRPr="000A58D1" w:rsidRDefault="000A58D1" w:rsidP="000A58D1">
      <w:pPr>
        <w:rPr>
          <w:color w:val="000000"/>
        </w:rPr>
      </w:pPr>
    </w:p>
    <w:p w14:paraId="11CE67F3" w14:textId="77777777" w:rsidR="000A58D1" w:rsidRPr="000A58D1" w:rsidRDefault="000A58D1" w:rsidP="000A58D1">
      <w:pPr>
        <w:rPr>
          <w:color w:val="000000"/>
        </w:rPr>
      </w:pPr>
      <w:r w:rsidRPr="000A58D1">
        <w:rPr>
          <w:color w:val="000000"/>
        </w:rPr>
        <w:t xml:space="preserve">Translink has once again undertaken a detailed programme of customer satisfaction monitoring. The Group overseeing this work consists of representatives of Translink, </w:t>
      </w:r>
      <w:proofErr w:type="spellStart"/>
      <w:r w:rsidRPr="000A58D1">
        <w:rPr>
          <w:color w:val="000000"/>
        </w:rPr>
        <w:t>DfI</w:t>
      </w:r>
      <w:proofErr w:type="spellEnd"/>
      <w:r w:rsidRPr="000A58D1">
        <w:rPr>
          <w:color w:val="000000"/>
        </w:rPr>
        <w:t xml:space="preserve"> and the Consumer Council for NI. More than 6,000 face to face surveys with passengers were completed </w:t>
      </w:r>
      <w:proofErr w:type="gramStart"/>
      <w:r w:rsidRPr="000A58D1">
        <w:rPr>
          <w:color w:val="000000"/>
        </w:rPr>
        <w:t>during</w:t>
      </w:r>
      <w:proofErr w:type="gramEnd"/>
      <w:r w:rsidRPr="000A58D1">
        <w:rPr>
          <w:color w:val="000000"/>
        </w:rPr>
        <w:t xml:space="preserve"> 48 weeks of 2024/25. Responses were gathered from passengers across all six Translink services, at stations, stops, or on board.</w:t>
      </w:r>
    </w:p>
    <w:p w14:paraId="36768A54" w14:textId="77777777" w:rsidR="000A58D1" w:rsidRPr="000A58D1" w:rsidRDefault="000A58D1" w:rsidP="000A58D1">
      <w:pPr>
        <w:rPr>
          <w:color w:val="000000"/>
        </w:rPr>
      </w:pPr>
      <w:r w:rsidRPr="000A58D1">
        <w:rPr>
          <w:color w:val="000000"/>
        </w:rPr>
        <w:t xml:space="preserve"> </w:t>
      </w:r>
    </w:p>
    <w:p w14:paraId="7CA58311" w14:textId="77777777" w:rsidR="000A58D1" w:rsidRPr="000A58D1" w:rsidRDefault="000A58D1" w:rsidP="000A58D1">
      <w:pPr>
        <w:rPr>
          <w:color w:val="000000"/>
        </w:rPr>
      </w:pPr>
      <w:r w:rsidRPr="000A58D1">
        <w:rPr>
          <w:color w:val="000000"/>
        </w:rPr>
        <w:t xml:space="preserve">Detailed questioning in </w:t>
      </w:r>
      <w:proofErr w:type="gramStart"/>
      <w:r w:rsidRPr="000A58D1">
        <w:rPr>
          <w:color w:val="000000"/>
        </w:rPr>
        <w:t>a number of</w:t>
      </w:r>
      <w:proofErr w:type="gramEnd"/>
      <w:r w:rsidRPr="000A58D1">
        <w:rPr>
          <w:color w:val="000000"/>
        </w:rPr>
        <w:t xml:space="preserve"> areas has allowed comprehensive reporting on Customer Satisfaction scoring and Net Promoter Scoring. </w:t>
      </w:r>
    </w:p>
    <w:p w14:paraId="74A2191C" w14:textId="77777777" w:rsidR="000A58D1" w:rsidRPr="000A58D1" w:rsidRDefault="000A58D1" w:rsidP="000A58D1">
      <w:pPr>
        <w:rPr>
          <w:color w:val="000000"/>
        </w:rPr>
      </w:pPr>
      <w:r w:rsidRPr="000A58D1">
        <w:rPr>
          <w:color w:val="000000"/>
        </w:rPr>
        <w:t xml:space="preserve"> </w:t>
      </w:r>
    </w:p>
    <w:p w14:paraId="09AA43A2" w14:textId="77777777" w:rsidR="000A58D1" w:rsidRPr="000A58D1" w:rsidRDefault="000A58D1" w:rsidP="000A58D1">
      <w:pPr>
        <w:rPr>
          <w:color w:val="000000"/>
        </w:rPr>
      </w:pPr>
      <w:r w:rsidRPr="000A58D1">
        <w:rPr>
          <w:color w:val="000000"/>
        </w:rPr>
        <w:t>The gathering and publishing of this detailed research enables continued learning and understanding where our services could be improved.</w:t>
      </w:r>
    </w:p>
    <w:p w14:paraId="63F14616" w14:textId="77777777" w:rsidR="000A58D1" w:rsidRPr="000A58D1" w:rsidRDefault="000A58D1" w:rsidP="000A58D1">
      <w:pPr>
        <w:rPr>
          <w:color w:val="000000"/>
        </w:rPr>
      </w:pPr>
      <w:r w:rsidRPr="000A58D1">
        <w:rPr>
          <w:color w:val="000000"/>
        </w:rPr>
        <w:t xml:space="preserve"> </w:t>
      </w:r>
    </w:p>
    <w:p w14:paraId="3A1AA896" w14:textId="77777777" w:rsidR="000A58D1" w:rsidRPr="000A58D1" w:rsidRDefault="000A58D1" w:rsidP="000A58D1">
      <w:pPr>
        <w:rPr>
          <w:color w:val="000000"/>
        </w:rPr>
      </w:pPr>
      <w:r w:rsidRPr="000A58D1">
        <w:rPr>
          <w:color w:val="000000"/>
        </w:rPr>
        <w:t xml:space="preserve">Along with regular passenger panel sessions and Translink Youth Forum workshops, regular communication with Consumer Council NI and the Inclusive Mobility and Transport Advisory Committee (IMTAC) who represent customer needs, we also openly engage through social media and invite feedback from all customers as part of our commitment to provide a network and services that benefits the people of Northern Ireland. We have continued with monitoring of social media feedback and sentiment to ensure we can quickly identify and respond to customer needs. In addition, we also continued our use of ‘Happy or Not’ customer feedback devices in </w:t>
      </w:r>
      <w:proofErr w:type="gramStart"/>
      <w:r w:rsidRPr="000A58D1">
        <w:rPr>
          <w:color w:val="000000"/>
        </w:rPr>
        <w:t>a number of</w:t>
      </w:r>
      <w:proofErr w:type="gramEnd"/>
      <w:r w:rsidRPr="000A58D1">
        <w:rPr>
          <w:color w:val="000000"/>
        </w:rPr>
        <w:t xml:space="preserve"> bus and rail stations.</w:t>
      </w:r>
    </w:p>
    <w:p w14:paraId="2BC2603B" w14:textId="77777777" w:rsidR="000A58D1" w:rsidRPr="000A58D1" w:rsidRDefault="000A58D1" w:rsidP="000A58D1">
      <w:pPr>
        <w:rPr>
          <w:color w:val="000000"/>
        </w:rPr>
      </w:pPr>
    </w:p>
    <w:p w14:paraId="5AF273D3" w14:textId="77777777" w:rsidR="000A58D1" w:rsidRPr="000A58D1" w:rsidRDefault="000A58D1" w:rsidP="000A58D1">
      <w:pPr>
        <w:rPr>
          <w:color w:val="000000"/>
        </w:rPr>
      </w:pPr>
    </w:p>
    <w:p w14:paraId="22524EEE" w14:textId="77777777" w:rsidR="000A58D1" w:rsidRPr="000A58D1" w:rsidRDefault="000A58D1" w:rsidP="000A58D1">
      <w:pPr>
        <w:rPr>
          <w:color w:val="000000"/>
        </w:rPr>
      </w:pPr>
      <w:r w:rsidRPr="000A58D1">
        <w:rPr>
          <w:color w:val="000000"/>
        </w:rPr>
        <w:t xml:space="preserve">This year Translink also launched our Translink Insight Panels (TIPs), a new format of waves of focus groups where detailed topical issues are explored with customers </w:t>
      </w:r>
      <w:proofErr w:type="gramStart"/>
      <w:r w:rsidRPr="000A58D1">
        <w:rPr>
          <w:color w:val="000000"/>
        </w:rPr>
        <w:t>in order for</w:t>
      </w:r>
      <w:proofErr w:type="gramEnd"/>
      <w:r w:rsidRPr="000A58D1">
        <w:rPr>
          <w:color w:val="000000"/>
        </w:rPr>
        <w:t xml:space="preserve"> </w:t>
      </w:r>
      <w:r w:rsidRPr="000A58D1">
        <w:rPr>
          <w:color w:val="000000"/>
        </w:rPr>
        <w:br/>
        <w:t>Translink to ensure our action plans are aligned with our customer needs.</w:t>
      </w:r>
    </w:p>
    <w:p w14:paraId="4AAABBCE" w14:textId="77777777" w:rsidR="000A58D1" w:rsidRPr="000A58D1" w:rsidRDefault="000A58D1" w:rsidP="000A58D1">
      <w:pPr>
        <w:rPr>
          <w:color w:val="000000"/>
        </w:rPr>
      </w:pPr>
    </w:p>
    <w:p w14:paraId="12F3A248" w14:textId="77777777" w:rsidR="000A58D1" w:rsidRPr="00F45CEC" w:rsidRDefault="000A58D1" w:rsidP="00340DE5">
      <w:pPr>
        <w:pStyle w:val="Heading3"/>
      </w:pPr>
      <w:bookmarkStart w:id="131" w:name="_Toc213058563"/>
      <w:r w:rsidRPr="00F45CEC">
        <w:t>Corporate Governance Code</w:t>
      </w:r>
      <w:bookmarkEnd w:id="131"/>
    </w:p>
    <w:p w14:paraId="27A572D5" w14:textId="074B27E5" w:rsidR="000A58D1" w:rsidRDefault="000A58D1" w:rsidP="000A58D1">
      <w:pPr>
        <w:rPr>
          <w:color w:val="000000"/>
        </w:rPr>
      </w:pPr>
      <w:r w:rsidRPr="000A58D1">
        <w:rPr>
          <w:color w:val="000000"/>
        </w:rPr>
        <w:t>During the year, the Group has voluntarily complied with applicable provisions contained within the UK Corporate Governance Code 2024, including reporting in the Annual Report and adherence to the five principles and associated provisions.</w:t>
      </w:r>
    </w:p>
    <w:p w14:paraId="46AD8D20" w14:textId="77777777" w:rsidR="00F45CEC" w:rsidRDefault="00F45CEC" w:rsidP="000A58D1">
      <w:pPr>
        <w:rPr>
          <w:color w:val="000000"/>
        </w:rPr>
      </w:pPr>
    </w:p>
    <w:p w14:paraId="061C785D" w14:textId="77777777" w:rsidR="00F45CEC" w:rsidRPr="00F45CEC" w:rsidRDefault="00F45CEC" w:rsidP="00FF49BF">
      <w:pPr>
        <w:pStyle w:val="Heading3"/>
      </w:pPr>
      <w:bookmarkStart w:id="132" w:name="_Toc213058564"/>
      <w:r w:rsidRPr="00F45CEC">
        <w:t>Greenhouse Gas Emissions</w:t>
      </w:r>
      <w:bookmarkEnd w:id="132"/>
      <w:r w:rsidRPr="00F45CEC">
        <w:t xml:space="preserve"> </w:t>
      </w:r>
    </w:p>
    <w:p w14:paraId="0D424C0C" w14:textId="77777777" w:rsidR="00F45CEC" w:rsidRPr="00F45CEC" w:rsidRDefault="00F45CEC" w:rsidP="00FF49BF">
      <w:pPr>
        <w:pStyle w:val="Heading3"/>
        <w:rPr>
          <w:bCs/>
        </w:rPr>
      </w:pPr>
      <w:bookmarkStart w:id="133" w:name="_Toc213058565"/>
      <w:r w:rsidRPr="00F45CEC">
        <w:rPr>
          <w:bCs/>
        </w:rPr>
        <w:t>UK Energy Use and Total Emissions</w:t>
      </w:r>
      <w:bookmarkEnd w:id="133"/>
    </w:p>
    <w:p w14:paraId="436C2E0B" w14:textId="77777777" w:rsidR="00F45CEC" w:rsidRDefault="00F45CEC" w:rsidP="00F45CEC">
      <w:pPr>
        <w:rPr>
          <w:color w:val="000000" w:themeColor="text1"/>
        </w:rPr>
      </w:pPr>
      <w:r w:rsidRPr="00F45CEC">
        <w:rPr>
          <w:color w:val="000000" w:themeColor="text1"/>
        </w:rPr>
        <w:t xml:space="preserve">The Group’s total energy consumption and the respective emissions associated for 2024/25 and 2023/24 is summarised below; 2018/19 is the baseline year:  </w:t>
      </w:r>
    </w:p>
    <w:p w14:paraId="071D8235" w14:textId="77777777" w:rsidR="00F45CEC" w:rsidRDefault="00F45CEC" w:rsidP="00F45CEC">
      <w:pPr>
        <w:rPr>
          <w:color w:val="000000" w:themeColor="text1"/>
        </w:rPr>
      </w:pPr>
    </w:p>
    <w:p w14:paraId="4FB318BC" w14:textId="77777777" w:rsidR="00F45CEC" w:rsidRDefault="00F45CEC" w:rsidP="00F45CEC">
      <w:pPr>
        <w:rPr>
          <w:b/>
          <w:bCs/>
        </w:rPr>
      </w:pPr>
      <w:r w:rsidRPr="00F45CEC">
        <w:rPr>
          <w:b/>
          <w:bCs/>
        </w:rPr>
        <w:t xml:space="preserve">Energy  </w:t>
      </w:r>
    </w:p>
    <w:tbl>
      <w:tblPr>
        <w:tblStyle w:val="TableGrid"/>
        <w:tblW w:w="10490" w:type="dxa"/>
        <w:tblLayout w:type="fixed"/>
        <w:tblLook w:val="0000" w:firstRow="0" w:lastRow="0" w:firstColumn="0" w:lastColumn="0" w:noHBand="0" w:noVBand="0"/>
      </w:tblPr>
      <w:tblGrid>
        <w:gridCol w:w="2395"/>
        <w:gridCol w:w="1503"/>
        <w:gridCol w:w="1493"/>
        <w:gridCol w:w="1502"/>
        <w:gridCol w:w="1503"/>
        <w:gridCol w:w="2094"/>
      </w:tblGrid>
      <w:tr w:rsidR="00F45CEC" w:rsidRPr="00F45CEC" w14:paraId="1F149FD4" w14:textId="77777777" w:rsidTr="00F45CEC">
        <w:trPr>
          <w:trHeight w:val="283"/>
        </w:trPr>
        <w:tc>
          <w:tcPr>
            <w:tcW w:w="2395" w:type="dxa"/>
            <w:vAlign w:val="center"/>
          </w:tcPr>
          <w:p w14:paraId="68911576" w14:textId="77777777" w:rsidR="00F45CEC" w:rsidRPr="0036221E" w:rsidRDefault="00F45CEC" w:rsidP="00F45CEC">
            <w:pPr>
              <w:spacing w:line="240" w:lineRule="auto"/>
              <w:rPr>
                <w:b/>
                <w:bCs/>
                <w:sz w:val="20"/>
                <w:szCs w:val="20"/>
              </w:rPr>
            </w:pPr>
            <w:r w:rsidRPr="0036221E">
              <w:rPr>
                <w:b/>
                <w:bCs/>
                <w:sz w:val="20"/>
                <w:szCs w:val="20"/>
              </w:rPr>
              <w:t>Actual Energy (kWh)</w:t>
            </w:r>
          </w:p>
        </w:tc>
        <w:tc>
          <w:tcPr>
            <w:tcW w:w="1503" w:type="dxa"/>
            <w:vAlign w:val="center"/>
          </w:tcPr>
          <w:p w14:paraId="20F132DA" w14:textId="77777777" w:rsidR="00F45CEC" w:rsidRPr="0036221E" w:rsidRDefault="00F45CEC" w:rsidP="00F45CEC">
            <w:pPr>
              <w:spacing w:line="240" w:lineRule="auto"/>
              <w:rPr>
                <w:b/>
                <w:bCs/>
                <w:sz w:val="20"/>
                <w:szCs w:val="20"/>
              </w:rPr>
            </w:pPr>
            <w:r w:rsidRPr="0036221E">
              <w:rPr>
                <w:b/>
                <w:bCs/>
                <w:sz w:val="20"/>
                <w:szCs w:val="20"/>
              </w:rPr>
              <w:t xml:space="preserve">FY1819 </w:t>
            </w:r>
          </w:p>
          <w:p w14:paraId="603886A5" w14:textId="77777777" w:rsidR="00F45CEC" w:rsidRPr="0036221E" w:rsidRDefault="00F45CEC" w:rsidP="00F45CEC">
            <w:pPr>
              <w:spacing w:line="240" w:lineRule="auto"/>
              <w:rPr>
                <w:b/>
                <w:bCs/>
                <w:sz w:val="20"/>
                <w:szCs w:val="20"/>
              </w:rPr>
            </w:pPr>
            <w:r w:rsidRPr="0036221E">
              <w:rPr>
                <w:b/>
                <w:bCs/>
                <w:sz w:val="20"/>
                <w:szCs w:val="20"/>
              </w:rPr>
              <w:t>(Baseline)</w:t>
            </w:r>
          </w:p>
        </w:tc>
        <w:tc>
          <w:tcPr>
            <w:tcW w:w="1493" w:type="dxa"/>
            <w:vAlign w:val="center"/>
          </w:tcPr>
          <w:p w14:paraId="739263A5" w14:textId="77777777" w:rsidR="00F45CEC" w:rsidRPr="0036221E" w:rsidRDefault="00F45CEC" w:rsidP="00F45CEC">
            <w:pPr>
              <w:spacing w:line="240" w:lineRule="auto"/>
              <w:rPr>
                <w:b/>
                <w:bCs/>
                <w:sz w:val="20"/>
                <w:szCs w:val="20"/>
              </w:rPr>
            </w:pPr>
            <w:r w:rsidRPr="0036221E">
              <w:rPr>
                <w:b/>
                <w:bCs/>
                <w:sz w:val="20"/>
                <w:szCs w:val="20"/>
              </w:rPr>
              <w:t>FY2324</w:t>
            </w:r>
          </w:p>
          <w:p w14:paraId="5205ACDF" w14:textId="77777777" w:rsidR="00F45CEC" w:rsidRPr="0036221E" w:rsidRDefault="00F45CEC" w:rsidP="00F45CEC">
            <w:pPr>
              <w:spacing w:line="240" w:lineRule="auto"/>
              <w:rPr>
                <w:b/>
                <w:bCs/>
                <w:sz w:val="20"/>
                <w:szCs w:val="20"/>
              </w:rPr>
            </w:pPr>
            <w:r w:rsidRPr="0036221E">
              <w:rPr>
                <w:b/>
                <w:bCs/>
                <w:sz w:val="20"/>
                <w:szCs w:val="20"/>
              </w:rPr>
              <w:t xml:space="preserve"> (Previous Period)</w:t>
            </w:r>
          </w:p>
        </w:tc>
        <w:tc>
          <w:tcPr>
            <w:tcW w:w="1502" w:type="dxa"/>
            <w:vAlign w:val="center"/>
          </w:tcPr>
          <w:p w14:paraId="3EC5D17C" w14:textId="77777777" w:rsidR="00F45CEC" w:rsidRPr="0036221E" w:rsidRDefault="00F45CEC" w:rsidP="00F45CEC">
            <w:pPr>
              <w:spacing w:line="240" w:lineRule="auto"/>
              <w:rPr>
                <w:b/>
                <w:bCs/>
                <w:sz w:val="20"/>
                <w:szCs w:val="20"/>
              </w:rPr>
            </w:pPr>
            <w:r w:rsidRPr="0036221E">
              <w:rPr>
                <w:b/>
                <w:bCs/>
                <w:sz w:val="20"/>
                <w:szCs w:val="20"/>
              </w:rPr>
              <w:t>FY2425</w:t>
            </w:r>
          </w:p>
          <w:p w14:paraId="46026028" w14:textId="77777777" w:rsidR="00F45CEC" w:rsidRPr="0036221E" w:rsidRDefault="00F45CEC" w:rsidP="00F45CEC">
            <w:pPr>
              <w:spacing w:line="240" w:lineRule="auto"/>
              <w:rPr>
                <w:b/>
                <w:bCs/>
                <w:sz w:val="20"/>
                <w:szCs w:val="20"/>
              </w:rPr>
            </w:pPr>
            <w:r w:rsidRPr="0036221E">
              <w:rPr>
                <w:b/>
                <w:bCs/>
                <w:sz w:val="20"/>
                <w:szCs w:val="20"/>
              </w:rPr>
              <w:t xml:space="preserve"> (Present Period)</w:t>
            </w:r>
          </w:p>
        </w:tc>
        <w:tc>
          <w:tcPr>
            <w:tcW w:w="1503" w:type="dxa"/>
            <w:vAlign w:val="center"/>
          </w:tcPr>
          <w:p w14:paraId="642FBDC3" w14:textId="77777777" w:rsidR="00F45CEC" w:rsidRPr="0036221E" w:rsidRDefault="00F45CEC" w:rsidP="00F45CEC">
            <w:pPr>
              <w:spacing w:line="240" w:lineRule="auto"/>
              <w:rPr>
                <w:b/>
                <w:bCs/>
                <w:sz w:val="20"/>
                <w:szCs w:val="20"/>
              </w:rPr>
            </w:pPr>
            <w:r w:rsidRPr="0036221E">
              <w:rPr>
                <w:b/>
                <w:bCs/>
                <w:sz w:val="20"/>
                <w:szCs w:val="20"/>
              </w:rPr>
              <w:t>Impact on</w:t>
            </w:r>
          </w:p>
          <w:p w14:paraId="168FDCE0" w14:textId="77777777" w:rsidR="00F45CEC" w:rsidRPr="0036221E" w:rsidRDefault="00F45CEC" w:rsidP="00F45CEC">
            <w:pPr>
              <w:spacing w:line="240" w:lineRule="auto"/>
              <w:rPr>
                <w:b/>
                <w:bCs/>
                <w:sz w:val="20"/>
                <w:szCs w:val="20"/>
              </w:rPr>
            </w:pPr>
            <w:r w:rsidRPr="0036221E">
              <w:rPr>
                <w:b/>
                <w:bCs/>
                <w:sz w:val="20"/>
                <w:szCs w:val="20"/>
              </w:rPr>
              <w:t xml:space="preserve"> Baseline </w:t>
            </w:r>
          </w:p>
        </w:tc>
        <w:tc>
          <w:tcPr>
            <w:tcW w:w="2094" w:type="dxa"/>
            <w:vAlign w:val="center"/>
          </w:tcPr>
          <w:p w14:paraId="28193A98" w14:textId="77777777" w:rsidR="00F45CEC" w:rsidRPr="0036221E" w:rsidRDefault="00F45CEC" w:rsidP="00F45CEC">
            <w:pPr>
              <w:spacing w:line="240" w:lineRule="auto"/>
              <w:rPr>
                <w:b/>
                <w:bCs/>
                <w:sz w:val="20"/>
                <w:szCs w:val="20"/>
              </w:rPr>
            </w:pPr>
            <w:r w:rsidRPr="0036221E">
              <w:rPr>
                <w:b/>
                <w:bCs/>
                <w:sz w:val="20"/>
                <w:szCs w:val="20"/>
              </w:rPr>
              <w:t xml:space="preserve">Impact on </w:t>
            </w:r>
          </w:p>
          <w:p w14:paraId="6AE99C0D" w14:textId="77777777" w:rsidR="00F45CEC" w:rsidRPr="0036221E" w:rsidRDefault="00F45CEC" w:rsidP="00F45CEC">
            <w:pPr>
              <w:spacing w:line="240" w:lineRule="auto"/>
              <w:rPr>
                <w:b/>
                <w:bCs/>
                <w:sz w:val="20"/>
                <w:szCs w:val="20"/>
              </w:rPr>
            </w:pPr>
            <w:r w:rsidRPr="0036221E">
              <w:rPr>
                <w:b/>
                <w:bCs/>
                <w:sz w:val="20"/>
                <w:szCs w:val="20"/>
              </w:rPr>
              <w:t xml:space="preserve">Previous Period </w:t>
            </w:r>
          </w:p>
        </w:tc>
      </w:tr>
      <w:tr w:rsidR="00F45CEC" w:rsidRPr="00F45CEC" w14:paraId="2EFD3515" w14:textId="77777777" w:rsidTr="00F45CEC">
        <w:trPr>
          <w:trHeight w:val="283"/>
        </w:trPr>
        <w:tc>
          <w:tcPr>
            <w:tcW w:w="2395" w:type="dxa"/>
            <w:vAlign w:val="center"/>
          </w:tcPr>
          <w:p w14:paraId="75443A4A" w14:textId="77777777" w:rsidR="00F45CEC" w:rsidRPr="00F45CEC" w:rsidRDefault="00F45CEC" w:rsidP="00F45CEC">
            <w:pPr>
              <w:spacing w:line="240" w:lineRule="auto"/>
              <w:rPr>
                <w:color w:val="000000"/>
                <w:sz w:val="20"/>
                <w:szCs w:val="20"/>
              </w:rPr>
            </w:pPr>
            <w:r w:rsidRPr="00F45CEC">
              <w:rPr>
                <w:color w:val="000000"/>
                <w:sz w:val="20"/>
                <w:szCs w:val="20"/>
              </w:rPr>
              <w:t>Transport</w:t>
            </w:r>
          </w:p>
        </w:tc>
        <w:tc>
          <w:tcPr>
            <w:tcW w:w="1503" w:type="dxa"/>
            <w:vAlign w:val="center"/>
          </w:tcPr>
          <w:p w14:paraId="557D2483" w14:textId="77777777" w:rsidR="00F45CEC" w:rsidRPr="00F45CEC" w:rsidRDefault="00F45CEC" w:rsidP="00F45CEC">
            <w:pPr>
              <w:spacing w:line="240" w:lineRule="auto"/>
              <w:rPr>
                <w:color w:val="000000"/>
                <w:sz w:val="20"/>
                <w:szCs w:val="20"/>
              </w:rPr>
            </w:pPr>
            <w:r w:rsidRPr="00F45CEC">
              <w:rPr>
                <w:color w:val="000000"/>
                <w:sz w:val="20"/>
                <w:szCs w:val="20"/>
              </w:rPr>
              <w:t xml:space="preserve"> 411,077,129 </w:t>
            </w:r>
          </w:p>
        </w:tc>
        <w:tc>
          <w:tcPr>
            <w:tcW w:w="1493" w:type="dxa"/>
            <w:vAlign w:val="center"/>
          </w:tcPr>
          <w:p w14:paraId="3CEEAA8E" w14:textId="77777777" w:rsidR="00F45CEC" w:rsidRPr="00F45CEC" w:rsidRDefault="00F45CEC" w:rsidP="00F45CEC">
            <w:pPr>
              <w:spacing w:line="240" w:lineRule="auto"/>
              <w:rPr>
                <w:color w:val="000000"/>
                <w:sz w:val="20"/>
                <w:szCs w:val="20"/>
              </w:rPr>
            </w:pPr>
            <w:r w:rsidRPr="00F45CEC">
              <w:rPr>
                <w:color w:val="000000"/>
                <w:sz w:val="20"/>
                <w:szCs w:val="20"/>
              </w:rPr>
              <w:t xml:space="preserve"> 377,549,644 </w:t>
            </w:r>
          </w:p>
        </w:tc>
        <w:tc>
          <w:tcPr>
            <w:tcW w:w="1502" w:type="dxa"/>
            <w:vAlign w:val="center"/>
          </w:tcPr>
          <w:p w14:paraId="2B11D1D2" w14:textId="77777777" w:rsidR="00F45CEC" w:rsidRPr="00F45CEC" w:rsidRDefault="00F45CEC" w:rsidP="00F45CEC">
            <w:pPr>
              <w:spacing w:line="240" w:lineRule="auto"/>
              <w:rPr>
                <w:color w:val="000000"/>
                <w:sz w:val="20"/>
                <w:szCs w:val="20"/>
              </w:rPr>
            </w:pPr>
            <w:r w:rsidRPr="00F45CEC">
              <w:rPr>
                <w:color w:val="000000"/>
                <w:sz w:val="20"/>
                <w:szCs w:val="20"/>
              </w:rPr>
              <w:t xml:space="preserve">366,262,063 </w:t>
            </w:r>
          </w:p>
        </w:tc>
        <w:tc>
          <w:tcPr>
            <w:tcW w:w="1503" w:type="dxa"/>
            <w:vAlign w:val="center"/>
          </w:tcPr>
          <w:p w14:paraId="65AB1CA9" w14:textId="77777777" w:rsidR="00F45CEC" w:rsidRPr="00F45CEC" w:rsidRDefault="00F45CEC" w:rsidP="00F45CEC">
            <w:pPr>
              <w:spacing w:line="240" w:lineRule="auto"/>
              <w:rPr>
                <w:color w:val="000000"/>
                <w:sz w:val="20"/>
                <w:szCs w:val="20"/>
              </w:rPr>
            </w:pPr>
            <w:r w:rsidRPr="00F45CEC">
              <w:rPr>
                <w:color w:val="000000"/>
                <w:sz w:val="20"/>
                <w:szCs w:val="20"/>
              </w:rPr>
              <w:t>-10.90%</w:t>
            </w:r>
          </w:p>
        </w:tc>
        <w:tc>
          <w:tcPr>
            <w:tcW w:w="2094" w:type="dxa"/>
            <w:vAlign w:val="center"/>
          </w:tcPr>
          <w:p w14:paraId="70776226" w14:textId="77777777" w:rsidR="00F45CEC" w:rsidRPr="00F45CEC" w:rsidRDefault="00F45CEC" w:rsidP="00F45CEC">
            <w:pPr>
              <w:spacing w:line="240" w:lineRule="auto"/>
              <w:rPr>
                <w:color w:val="000000"/>
                <w:sz w:val="20"/>
                <w:szCs w:val="20"/>
              </w:rPr>
            </w:pPr>
            <w:r w:rsidRPr="00F45CEC">
              <w:rPr>
                <w:color w:val="000000"/>
                <w:sz w:val="20"/>
                <w:szCs w:val="20"/>
              </w:rPr>
              <w:t>-2.99%</w:t>
            </w:r>
          </w:p>
        </w:tc>
      </w:tr>
      <w:tr w:rsidR="00F45CEC" w:rsidRPr="00F45CEC" w14:paraId="74841540" w14:textId="77777777" w:rsidTr="00F45CEC">
        <w:trPr>
          <w:trHeight w:val="283"/>
        </w:trPr>
        <w:tc>
          <w:tcPr>
            <w:tcW w:w="2395" w:type="dxa"/>
            <w:vAlign w:val="center"/>
          </w:tcPr>
          <w:p w14:paraId="42EA220C" w14:textId="77777777" w:rsidR="00F45CEC" w:rsidRPr="00F45CEC" w:rsidRDefault="00F45CEC" w:rsidP="00F45CEC">
            <w:pPr>
              <w:spacing w:line="240" w:lineRule="auto"/>
              <w:rPr>
                <w:color w:val="000000"/>
                <w:sz w:val="20"/>
                <w:szCs w:val="20"/>
              </w:rPr>
            </w:pPr>
            <w:r w:rsidRPr="00F45CEC">
              <w:rPr>
                <w:color w:val="000000"/>
                <w:sz w:val="20"/>
                <w:szCs w:val="20"/>
              </w:rPr>
              <w:t>Electricity</w:t>
            </w:r>
          </w:p>
        </w:tc>
        <w:tc>
          <w:tcPr>
            <w:tcW w:w="1503" w:type="dxa"/>
            <w:vAlign w:val="center"/>
          </w:tcPr>
          <w:p w14:paraId="2B2901C6" w14:textId="77777777" w:rsidR="00F45CEC" w:rsidRPr="00F45CEC" w:rsidRDefault="00F45CEC" w:rsidP="00F45CEC">
            <w:pPr>
              <w:spacing w:line="240" w:lineRule="auto"/>
              <w:rPr>
                <w:color w:val="000000"/>
                <w:sz w:val="20"/>
                <w:szCs w:val="20"/>
              </w:rPr>
            </w:pPr>
            <w:r w:rsidRPr="00F45CEC">
              <w:rPr>
                <w:color w:val="000000"/>
                <w:sz w:val="20"/>
                <w:szCs w:val="20"/>
              </w:rPr>
              <w:t xml:space="preserve"> 13,603,167 </w:t>
            </w:r>
          </w:p>
        </w:tc>
        <w:tc>
          <w:tcPr>
            <w:tcW w:w="1493" w:type="dxa"/>
            <w:vAlign w:val="center"/>
          </w:tcPr>
          <w:p w14:paraId="5F35D37B" w14:textId="77777777" w:rsidR="00F45CEC" w:rsidRPr="00F45CEC" w:rsidRDefault="00F45CEC" w:rsidP="00F45CEC">
            <w:pPr>
              <w:spacing w:line="240" w:lineRule="auto"/>
              <w:rPr>
                <w:color w:val="000000"/>
                <w:sz w:val="20"/>
                <w:szCs w:val="20"/>
              </w:rPr>
            </w:pPr>
            <w:r w:rsidRPr="00F45CEC">
              <w:rPr>
                <w:color w:val="000000"/>
                <w:sz w:val="20"/>
                <w:szCs w:val="20"/>
              </w:rPr>
              <w:t xml:space="preserve"> 20,699,799 </w:t>
            </w:r>
          </w:p>
        </w:tc>
        <w:tc>
          <w:tcPr>
            <w:tcW w:w="1502" w:type="dxa"/>
            <w:vAlign w:val="center"/>
          </w:tcPr>
          <w:p w14:paraId="2EFF0B9F" w14:textId="77777777" w:rsidR="00F45CEC" w:rsidRPr="00F45CEC" w:rsidRDefault="00F45CEC" w:rsidP="00F45CEC">
            <w:pPr>
              <w:spacing w:line="240" w:lineRule="auto"/>
              <w:rPr>
                <w:color w:val="000000"/>
                <w:sz w:val="20"/>
                <w:szCs w:val="20"/>
              </w:rPr>
            </w:pPr>
            <w:r w:rsidRPr="00F45CEC">
              <w:rPr>
                <w:color w:val="000000"/>
                <w:sz w:val="20"/>
                <w:szCs w:val="20"/>
              </w:rPr>
              <w:t xml:space="preserve">23,981,269 </w:t>
            </w:r>
          </w:p>
        </w:tc>
        <w:tc>
          <w:tcPr>
            <w:tcW w:w="1503" w:type="dxa"/>
            <w:vAlign w:val="center"/>
          </w:tcPr>
          <w:p w14:paraId="096DA8DC" w14:textId="77777777" w:rsidR="00F45CEC" w:rsidRPr="00F45CEC" w:rsidRDefault="00F45CEC" w:rsidP="00F45CEC">
            <w:pPr>
              <w:spacing w:line="240" w:lineRule="auto"/>
              <w:rPr>
                <w:color w:val="000000"/>
                <w:sz w:val="20"/>
                <w:szCs w:val="20"/>
              </w:rPr>
            </w:pPr>
            <w:r w:rsidRPr="00F45CEC">
              <w:rPr>
                <w:color w:val="000000"/>
                <w:sz w:val="20"/>
                <w:szCs w:val="20"/>
              </w:rPr>
              <w:t>76.29%</w:t>
            </w:r>
          </w:p>
        </w:tc>
        <w:tc>
          <w:tcPr>
            <w:tcW w:w="2094" w:type="dxa"/>
            <w:vAlign w:val="center"/>
          </w:tcPr>
          <w:p w14:paraId="4EF3A815" w14:textId="77777777" w:rsidR="00F45CEC" w:rsidRPr="00F45CEC" w:rsidRDefault="00F45CEC" w:rsidP="00F45CEC">
            <w:pPr>
              <w:spacing w:line="240" w:lineRule="auto"/>
              <w:rPr>
                <w:color w:val="000000"/>
                <w:sz w:val="20"/>
                <w:szCs w:val="20"/>
              </w:rPr>
            </w:pPr>
            <w:r w:rsidRPr="00F45CEC">
              <w:rPr>
                <w:color w:val="000000"/>
                <w:sz w:val="20"/>
                <w:szCs w:val="20"/>
              </w:rPr>
              <w:t>15.85%</w:t>
            </w:r>
          </w:p>
        </w:tc>
      </w:tr>
      <w:tr w:rsidR="00F45CEC" w:rsidRPr="00F45CEC" w14:paraId="0E571C1B" w14:textId="77777777" w:rsidTr="00F45CEC">
        <w:trPr>
          <w:trHeight w:val="283"/>
        </w:trPr>
        <w:tc>
          <w:tcPr>
            <w:tcW w:w="2395" w:type="dxa"/>
            <w:vAlign w:val="center"/>
          </w:tcPr>
          <w:p w14:paraId="0A304079" w14:textId="77777777" w:rsidR="00F45CEC" w:rsidRPr="00F45CEC" w:rsidRDefault="00F45CEC" w:rsidP="00F45CEC">
            <w:pPr>
              <w:spacing w:line="240" w:lineRule="auto"/>
              <w:rPr>
                <w:color w:val="000000"/>
                <w:sz w:val="20"/>
                <w:szCs w:val="20"/>
              </w:rPr>
            </w:pPr>
            <w:r w:rsidRPr="00F45CEC">
              <w:rPr>
                <w:color w:val="000000"/>
                <w:sz w:val="20"/>
                <w:szCs w:val="20"/>
              </w:rPr>
              <w:t>Gas</w:t>
            </w:r>
          </w:p>
        </w:tc>
        <w:tc>
          <w:tcPr>
            <w:tcW w:w="1503" w:type="dxa"/>
            <w:vAlign w:val="center"/>
          </w:tcPr>
          <w:p w14:paraId="78261DF9" w14:textId="77777777" w:rsidR="00F45CEC" w:rsidRPr="00F45CEC" w:rsidRDefault="00F45CEC" w:rsidP="00F45CEC">
            <w:pPr>
              <w:spacing w:line="240" w:lineRule="auto"/>
              <w:rPr>
                <w:color w:val="000000"/>
                <w:sz w:val="20"/>
                <w:szCs w:val="20"/>
              </w:rPr>
            </w:pPr>
            <w:r w:rsidRPr="00F45CEC">
              <w:rPr>
                <w:color w:val="000000"/>
                <w:sz w:val="20"/>
                <w:szCs w:val="20"/>
              </w:rPr>
              <w:t xml:space="preserve"> 12,913,438 </w:t>
            </w:r>
          </w:p>
        </w:tc>
        <w:tc>
          <w:tcPr>
            <w:tcW w:w="1493" w:type="dxa"/>
            <w:vAlign w:val="center"/>
          </w:tcPr>
          <w:p w14:paraId="6958C640" w14:textId="77777777" w:rsidR="00F45CEC" w:rsidRPr="00F45CEC" w:rsidRDefault="00F45CEC" w:rsidP="00F45CEC">
            <w:pPr>
              <w:spacing w:line="240" w:lineRule="auto"/>
              <w:rPr>
                <w:color w:val="000000"/>
                <w:sz w:val="20"/>
                <w:szCs w:val="20"/>
              </w:rPr>
            </w:pPr>
            <w:r w:rsidRPr="00F45CEC">
              <w:rPr>
                <w:color w:val="000000"/>
                <w:sz w:val="20"/>
                <w:szCs w:val="20"/>
              </w:rPr>
              <w:t xml:space="preserve"> 13,521,849 </w:t>
            </w:r>
          </w:p>
        </w:tc>
        <w:tc>
          <w:tcPr>
            <w:tcW w:w="1502" w:type="dxa"/>
            <w:vAlign w:val="center"/>
          </w:tcPr>
          <w:p w14:paraId="0DBA7B91" w14:textId="77777777" w:rsidR="00F45CEC" w:rsidRPr="00F45CEC" w:rsidRDefault="00F45CEC" w:rsidP="00F45CEC">
            <w:pPr>
              <w:spacing w:line="240" w:lineRule="auto"/>
              <w:rPr>
                <w:color w:val="000000"/>
                <w:sz w:val="20"/>
                <w:szCs w:val="20"/>
              </w:rPr>
            </w:pPr>
            <w:r w:rsidRPr="00F45CEC">
              <w:rPr>
                <w:color w:val="000000"/>
                <w:sz w:val="20"/>
                <w:szCs w:val="20"/>
              </w:rPr>
              <w:t xml:space="preserve"> 15,403,304 </w:t>
            </w:r>
          </w:p>
        </w:tc>
        <w:tc>
          <w:tcPr>
            <w:tcW w:w="1503" w:type="dxa"/>
            <w:vAlign w:val="center"/>
          </w:tcPr>
          <w:p w14:paraId="462315E2" w14:textId="77777777" w:rsidR="00F45CEC" w:rsidRPr="00F45CEC" w:rsidRDefault="00F45CEC" w:rsidP="00F45CEC">
            <w:pPr>
              <w:spacing w:line="240" w:lineRule="auto"/>
              <w:rPr>
                <w:color w:val="000000"/>
                <w:sz w:val="20"/>
                <w:szCs w:val="20"/>
              </w:rPr>
            </w:pPr>
            <w:r w:rsidRPr="00F45CEC">
              <w:rPr>
                <w:color w:val="000000"/>
                <w:sz w:val="20"/>
                <w:szCs w:val="20"/>
              </w:rPr>
              <w:t>19.28%</w:t>
            </w:r>
          </w:p>
        </w:tc>
        <w:tc>
          <w:tcPr>
            <w:tcW w:w="2094" w:type="dxa"/>
            <w:vAlign w:val="center"/>
          </w:tcPr>
          <w:p w14:paraId="4B0B5F62" w14:textId="77777777" w:rsidR="00F45CEC" w:rsidRPr="00F45CEC" w:rsidRDefault="00F45CEC" w:rsidP="00F45CEC">
            <w:pPr>
              <w:spacing w:line="240" w:lineRule="auto"/>
              <w:rPr>
                <w:color w:val="000000"/>
                <w:sz w:val="20"/>
                <w:szCs w:val="20"/>
              </w:rPr>
            </w:pPr>
            <w:r w:rsidRPr="00F45CEC">
              <w:rPr>
                <w:color w:val="000000"/>
                <w:sz w:val="20"/>
                <w:szCs w:val="20"/>
              </w:rPr>
              <w:t>13.91%</w:t>
            </w:r>
          </w:p>
        </w:tc>
      </w:tr>
      <w:tr w:rsidR="00F45CEC" w:rsidRPr="00F45CEC" w14:paraId="7D373E9A" w14:textId="77777777" w:rsidTr="00F45CEC">
        <w:trPr>
          <w:trHeight w:val="283"/>
        </w:trPr>
        <w:tc>
          <w:tcPr>
            <w:tcW w:w="2395" w:type="dxa"/>
            <w:vAlign w:val="center"/>
          </w:tcPr>
          <w:p w14:paraId="3EDDE1B2" w14:textId="77777777" w:rsidR="00F45CEC" w:rsidRPr="00F45CEC" w:rsidRDefault="00F45CEC" w:rsidP="00F45CEC">
            <w:pPr>
              <w:spacing w:line="240" w:lineRule="auto"/>
              <w:rPr>
                <w:color w:val="000000"/>
                <w:sz w:val="20"/>
                <w:szCs w:val="20"/>
              </w:rPr>
            </w:pPr>
            <w:r w:rsidRPr="00F45CEC">
              <w:rPr>
                <w:color w:val="000000"/>
                <w:sz w:val="20"/>
                <w:szCs w:val="20"/>
              </w:rPr>
              <w:t xml:space="preserve">Oil </w:t>
            </w:r>
          </w:p>
        </w:tc>
        <w:tc>
          <w:tcPr>
            <w:tcW w:w="1503" w:type="dxa"/>
            <w:vAlign w:val="center"/>
          </w:tcPr>
          <w:p w14:paraId="612831BE" w14:textId="77777777" w:rsidR="00F45CEC" w:rsidRPr="00F45CEC" w:rsidRDefault="00F45CEC" w:rsidP="00F45CEC">
            <w:pPr>
              <w:spacing w:line="240" w:lineRule="auto"/>
              <w:rPr>
                <w:color w:val="000000"/>
                <w:sz w:val="20"/>
                <w:szCs w:val="20"/>
              </w:rPr>
            </w:pPr>
            <w:r w:rsidRPr="00F45CEC">
              <w:rPr>
                <w:color w:val="000000"/>
                <w:sz w:val="20"/>
                <w:szCs w:val="20"/>
              </w:rPr>
              <w:t xml:space="preserve"> 7,233,129 </w:t>
            </w:r>
          </w:p>
        </w:tc>
        <w:tc>
          <w:tcPr>
            <w:tcW w:w="1493" w:type="dxa"/>
            <w:vAlign w:val="center"/>
          </w:tcPr>
          <w:p w14:paraId="5E093C2F" w14:textId="77777777" w:rsidR="00F45CEC" w:rsidRPr="00F45CEC" w:rsidRDefault="00F45CEC" w:rsidP="00F45CEC">
            <w:pPr>
              <w:spacing w:line="240" w:lineRule="auto"/>
              <w:rPr>
                <w:color w:val="000000"/>
                <w:sz w:val="20"/>
                <w:szCs w:val="20"/>
              </w:rPr>
            </w:pPr>
            <w:r w:rsidRPr="00F45CEC">
              <w:rPr>
                <w:color w:val="000000"/>
                <w:sz w:val="20"/>
                <w:szCs w:val="20"/>
              </w:rPr>
              <w:t xml:space="preserve"> 5,780,231 </w:t>
            </w:r>
          </w:p>
        </w:tc>
        <w:tc>
          <w:tcPr>
            <w:tcW w:w="1502" w:type="dxa"/>
            <w:vAlign w:val="center"/>
          </w:tcPr>
          <w:p w14:paraId="2356C213" w14:textId="77777777" w:rsidR="00F45CEC" w:rsidRPr="00F45CEC" w:rsidRDefault="00F45CEC" w:rsidP="00F45CEC">
            <w:pPr>
              <w:spacing w:line="240" w:lineRule="auto"/>
              <w:rPr>
                <w:color w:val="000000"/>
                <w:sz w:val="20"/>
                <w:szCs w:val="20"/>
              </w:rPr>
            </w:pPr>
            <w:r w:rsidRPr="00F45CEC">
              <w:rPr>
                <w:color w:val="000000"/>
                <w:sz w:val="20"/>
                <w:szCs w:val="20"/>
              </w:rPr>
              <w:t xml:space="preserve">5,221,745 </w:t>
            </w:r>
          </w:p>
        </w:tc>
        <w:tc>
          <w:tcPr>
            <w:tcW w:w="1503" w:type="dxa"/>
            <w:vAlign w:val="center"/>
          </w:tcPr>
          <w:p w14:paraId="52601510" w14:textId="77777777" w:rsidR="00F45CEC" w:rsidRPr="00F45CEC" w:rsidRDefault="00F45CEC" w:rsidP="00F45CEC">
            <w:pPr>
              <w:spacing w:line="240" w:lineRule="auto"/>
              <w:rPr>
                <w:color w:val="000000"/>
                <w:sz w:val="20"/>
                <w:szCs w:val="20"/>
              </w:rPr>
            </w:pPr>
            <w:r w:rsidRPr="00F45CEC">
              <w:rPr>
                <w:color w:val="000000"/>
                <w:sz w:val="20"/>
                <w:szCs w:val="20"/>
              </w:rPr>
              <w:t>-27.81%</w:t>
            </w:r>
          </w:p>
        </w:tc>
        <w:tc>
          <w:tcPr>
            <w:tcW w:w="2094" w:type="dxa"/>
            <w:vAlign w:val="center"/>
          </w:tcPr>
          <w:p w14:paraId="4B14EF90" w14:textId="77777777" w:rsidR="00F45CEC" w:rsidRPr="00F45CEC" w:rsidRDefault="00F45CEC" w:rsidP="00F45CEC">
            <w:pPr>
              <w:spacing w:line="240" w:lineRule="auto"/>
              <w:rPr>
                <w:color w:val="000000"/>
                <w:sz w:val="20"/>
                <w:szCs w:val="20"/>
              </w:rPr>
            </w:pPr>
            <w:r w:rsidRPr="00F45CEC">
              <w:rPr>
                <w:color w:val="000000"/>
                <w:sz w:val="20"/>
                <w:szCs w:val="20"/>
              </w:rPr>
              <w:t>-9.66%</w:t>
            </w:r>
          </w:p>
        </w:tc>
      </w:tr>
      <w:tr w:rsidR="00F45CEC" w:rsidRPr="00F45CEC" w14:paraId="06FE974C" w14:textId="77777777" w:rsidTr="00F45CEC">
        <w:trPr>
          <w:trHeight w:val="283"/>
        </w:trPr>
        <w:tc>
          <w:tcPr>
            <w:tcW w:w="2395" w:type="dxa"/>
            <w:vAlign w:val="center"/>
          </w:tcPr>
          <w:p w14:paraId="4B698B3D" w14:textId="77777777" w:rsidR="00F45CEC" w:rsidRPr="00F45CEC" w:rsidRDefault="00F45CEC" w:rsidP="00F45CEC">
            <w:pPr>
              <w:spacing w:line="240" w:lineRule="auto"/>
              <w:rPr>
                <w:b/>
                <w:bCs/>
                <w:color w:val="000000"/>
                <w:sz w:val="20"/>
                <w:szCs w:val="20"/>
              </w:rPr>
            </w:pPr>
            <w:r w:rsidRPr="00F45CEC">
              <w:rPr>
                <w:b/>
                <w:bCs/>
                <w:color w:val="000000"/>
                <w:sz w:val="20"/>
                <w:szCs w:val="20"/>
              </w:rPr>
              <w:t>Total</w:t>
            </w:r>
          </w:p>
        </w:tc>
        <w:tc>
          <w:tcPr>
            <w:tcW w:w="1503" w:type="dxa"/>
            <w:vAlign w:val="center"/>
          </w:tcPr>
          <w:p w14:paraId="2B0F6F37" w14:textId="77777777" w:rsidR="00F45CEC" w:rsidRPr="00F45CEC" w:rsidRDefault="00F45CEC" w:rsidP="00F45CEC">
            <w:pPr>
              <w:spacing w:line="240" w:lineRule="auto"/>
              <w:rPr>
                <w:b/>
                <w:bCs/>
                <w:color w:val="000000"/>
                <w:sz w:val="20"/>
                <w:szCs w:val="20"/>
              </w:rPr>
            </w:pPr>
            <w:r w:rsidRPr="00F45CEC">
              <w:rPr>
                <w:b/>
                <w:bCs/>
                <w:color w:val="000000"/>
                <w:sz w:val="20"/>
                <w:szCs w:val="20"/>
              </w:rPr>
              <w:t xml:space="preserve"> 444,826,863 </w:t>
            </w:r>
          </w:p>
        </w:tc>
        <w:tc>
          <w:tcPr>
            <w:tcW w:w="1493" w:type="dxa"/>
            <w:vAlign w:val="center"/>
          </w:tcPr>
          <w:p w14:paraId="0A2A5279" w14:textId="77777777" w:rsidR="00F45CEC" w:rsidRPr="00F45CEC" w:rsidRDefault="00F45CEC" w:rsidP="00F45CEC">
            <w:pPr>
              <w:spacing w:line="240" w:lineRule="auto"/>
              <w:rPr>
                <w:b/>
                <w:bCs/>
                <w:color w:val="000000"/>
                <w:sz w:val="20"/>
                <w:szCs w:val="20"/>
              </w:rPr>
            </w:pPr>
            <w:r w:rsidRPr="00F45CEC">
              <w:rPr>
                <w:b/>
                <w:bCs/>
                <w:color w:val="000000"/>
                <w:sz w:val="20"/>
                <w:szCs w:val="20"/>
              </w:rPr>
              <w:t xml:space="preserve"> 417,551,523 </w:t>
            </w:r>
          </w:p>
        </w:tc>
        <w:tc>
          <w:tcPr>
            <w:tcW w:w="1502" w:type="dxa"/>
            <w:vAlign w:val="center"/>
          </w:tcPr>
          <w:p w14:paraId="14AA95FF" w14:textId="77777777" w:rsidR="00F45CEC" w:rsidRPr="00F45CEC" w:rsidRDefault="00F45CEC" w:rsidP="00F45CEC">
            <w:pPr>
              <w:spacing w:line="240" w:lineRule="auto"/>
              <w:rPr>
                <w:b/>
                <w:bCs/>
                <w:color w:val="000000"/>
                <w:sz w:val="20"/>
                <w:szCs w:val="20"/>
              </w:rPr>
            </w:pPr>
            <w:r w:rsidRPr="00F45CEC">
              <w:rPr>
                <w:b/>
                <w:bCs/>
                <w:color w:val="000000"/>
                <w:sz w:val="20"/>
                <w:szCs w:val="20"/>
              </w:rPr>
              <w:t xml:space="preserve"> 410,868,381 </w:t>
            </w:r>
          </w:p>
        </w:tc>
        <w:tc>
          <w:tcPr>
            <w:tcW w:w="1503" w:type="dxa"/>
            <w:vAlign w:val="center"/>
          </w:tcPr>
          <w:p w14:paraId="6F49074A" w14:textId="77777777" w:rsidR="00F45CEC" w:rsidRPr="00F45CEC" w:rsidRDefault="00F45CEC" w:rsidP="00F45CEC">
            <w:pPr>
              <w:spacing w:line="240" w:lineRule="auto"/>
              <w:rPr>
                <w:b/>
                <w:bCs/>
                <w:color w:val="000000"/>
                <w:sz w:val="20"/>
                <w:szCs w:val="20"/>
              </w:rPr>
            </w:pPr>
            <w:r w:rsidRPr="00F45CEC">
              <w:rPr>
                <w:b/>
                <w:bCs/>
                <w:color w:val="000000"/>
                <w:sz w:val="20"/>
                <w:szCs w:val="20"/>
              </w:rPr>
              <w:t>-7.63%</w:t>
            </w:r>
          </w:p>
        </w:tc>
        <w:tc>
          <w:tcPr>
            <w:tcW w:w="2094" w:type="dxa"/>
            <w:vAlign w:val="center"/>
          </w:tcPr>
          <w:p w14:paraId="5FA98FCD" w14:textId="77777777" w:rsidR="00F45CEC" w:rsidRPr="00F45CEC" w:rsidRDefault="00F45CEC" w:rsidP="00F45CEC">
            <w:pPr>
              <w:spacing w:line="240" w:lineRule="auto"/>
              <w:rPr>
                <w:b/>
                <w:bCs/>
                <w:color w:val="000000"/>
                <w:sz w:val="20"/>
                <w:szCs w:val="20"/>
              </w:rPr>
            </w:pPr>
            <w:r w:rsidRPr="00F45CEC">
              <w:rPr>
                <w:b/>
                <w:bCs/>
                <w:color w:val="000000"/>
                <w:sz w:val="20"/>
                <w:szCs w:val="20"/>
              </w:rPr>
              <w:t>-1.60%</w:t>
            </w:r>
          </w:p>
        </w:tc>
      </w:tr>
      <w:tr w:rsidR="00F45CEC" w:rsidRPr="00F45CEC" w14:paraId="5547C1E2" w14:textId="77777777" w:rsidTr="00F45CEC">
        <w:trPr>
          <w:trHeight w:val="283"/>
        </w:trPr>
        <w:tc>
          <w:tcPr>
            <w:tcW w:w="2395" w:type="dxa"/>
            <w:vAlign w:val="center"/>
          </w:tcPr>
          <w:p w14:paraId="6FFF00B2" w14:textId="77777777" w:rsidR="00F45CEC" w:rsidRPr="00F45CEC" w:rsidRDefault="00F45CEC" w:rsidP="00F45CEC">
            <w:pPr>
              <w:spacing w:line="240" w:lineRule="auto"/>
              <w:rPr>
                <w:sz w:val="20"/>
                <w:szCs w:val="20"/>
              </w:rPr>
            </w:pPr>
          </w:p>
        </w:tc>
        <w:tc>
          <w:tcPr>
            <w:tcW w:w="1503" w:type="dxa"/>
            <w:vAlign w:val="center"/>
          </w:tcPr>
          <w:p w14:paraId="24CA8E73" w14:textId="77777777" w:rsidR="00F45CEC" w:rsidRPr="00F45CEC" w:rsidRDefault="00F45CEC" w:rsidP="00F45CEC">
            <w:pPr>
              <w:spacing w:line="240" w:lineRule="auto"/>
              <w:rPr>
                <w:sz w:val="20"/>
                <w:szCs w:val="20"/>
              </w:rPr>
            </w:pPr>
          </w:p>
        </w:tc>
        <w:tc>
          <w:tcPr>
            <w:tcW w:w="1493" w:type="dxa"/>
            <w:vAlign w:val="center"/>
          </w:tcPr>
          <w:p w14:paraId="09C786E8" w14:textId="77777777" w:rsidR="00F45CEC" w:rsidRPr="00F45CEC" w:rsidRDefault="00F45CEC" w:rsidP="00F45CEC">
            <w:pPr>
              <w:spacing w:line="240" w:lineRule="auto"/>
              <w:rPr>
                <w:sz w:val="20"/>
                <w:szCs w:val="20"/>
              </w:rPr>
            </w:pPr>
          </w:p>
        </w:tc>
        <w:tc>
          <w:tcPr>
            <w:tcW w:w="1502" w:type="dxa"/>
            <w:vAlign w:val="center"/>
          </w:tcPr>
          <w:p w14:paraId="468F1D71" w14:textId="77777777" w:rsidR="00F45CEC" w:rsidRPr="00F45CEC" w:rsidRDefault="00F45CEC" w:rsidP="00F45CEC">
            <w:pPr>
              <w:spacing w:line="240" w:lineRule="auto"/>
              <w:rPr>
                <w:sz w:val="20"/>
                <w:szCs w:val="20"/>
              </w:rPr>
            </w:pPr>
          </w:p>
        </w:tc>
        <w:tc>
          <w:tcPr>
            <w:tcW w:w="1503" w:type="dxa"/>
            <w:vAlign w:val="center"/>
          </w:tcPr>
          <w:p w14:paraId="7B694380" w14:textId="77777777" w:rsidR="00F45CEC" w:rsidRPr="00F45CEC" w:rsidRDefault="00F45CEC" w:rsidP="00F45CEC">
            <w:pPr>
              <w:spacing w:line="240" w:lineRule="auto"/>
              <w:rPr>
                <w:sz w:val="20"/>
                <w:szCs w:val="20"/>
              </w:rPr>
            </w:pPr>
          </w:p>
        </w:tc>
        <w:tc>
          <w:tcPr>
            <w:tcW w:w="2094" w:type="dxa"/>
            <w:vAlign w:val="center"/>
          </w:tcPr>
          <w:p w14:paraId="104F8255" w14:textId="77777777" w:rsidR="00F45CEC" w:rsidRPr="00F45CEC" w:rsidRDefault="00F45CEC" w:rsidP="00F45CEC">
            <w:pPr>
              <w:spacing w:line="240" w:lineRule="auto"/>
              <w:rPr>
                <w:sz w:val="20"/>
                <w:szCs w:val="20"/>
              </w:rPr>
            </w:pPr>
          </w:p>
        </w:tc>
      </w:tr>
      <w:tr w:rsidR="00F45CEC" w:rsidRPr="00F45CEC" w14:paraId="46DFC120" w14:textId="77777777" w:rsidTr="00F45CEC">
        <w:trPr>
          <w:trHeight w:val="283"/>
        </w:trPr>
        <w:tc>
          <w:tcPr>
            <w:tcW w:w="2395" w:type="dxa"/>
            <w:vAlign w:val="center"/>
          </w:tcPr>
          <w:p w14:paraId="3CE5CE1F" w14:textId="77777777" w:rsidR="00F45CEC" w:rsidRPr="0036221E" w:rsidRDefault="00F45CEC" w:rsidP="00F45CEC">
            <w:pPr>
              <w:spacing w:line="240" w:lineRule="auto"/>
              <w:rPr>
                <w:b/>
                <w:bCs/>
                <w:sz w:val="20"/>
                <w:szCs w:val="20"/>
              </w:rPr>
            </w:pPr>
            <w:r w:rsidRPr="0036221E">
              <w:rPr>
                <w:b/>
                <w:bCs/>
                <w:sz w:val="20"/>
                <w:szCs w:val="20"/>
              </w:rPr>
              <w:t>Normalised Energy (kWh)</w:t>
            </w:r>
          </w:p>
        </w:tc>
        <w:tc>
          <w:tcPr>
            <w:tcW w:w="1503" w:type="dxa"/>
            <w:vAlign w:val="center"/>
          </w:tcPr>
          <w:p w14:paraId="57215EFD" w14:textId="77777777" w:rsidR="00F45CEC" w:rsidRPr="0036221E" w:rsidRDefault="00F45CEC" w:rsidP="00F45CEC">
            <w:pPr>
              <w:spacing w:line="240" w:lineRule="auto"/>
              <w:rPr>
                <w:b/>
                <w:bCs/>
                <w:sz w:val="20"/>
                <w:szCs w:val="20"/>
              </w:rPr>
            </w:pPr>
            <w:r w:rsidRPr="0036221E">
              <w:rPr>
                <w:b/>
                <w:bCs/>
                <w:sz w:val="20"/>
                <w:szCs w:val="20"/>
              </w:rPr>
              <w:t>FY1819</w:t>
            </w:r>
          </w:p>
          <w:p w14:paraId="3646070C" w14:textId="77777777" w:rsidR="00F45CEC" w:rsidRPr="0036221E" w:rsidRDefault="00F45CEC" w:rsidP="00F45CEC">
            <w:pPr>
              <w:spacing w:line="240" w:lineRule="auto"/>
              <w:rPr>
                <w:b/>
                <w:bCs/>
                <w:sz w:val="20"/>
                <w:szCs w:val="20"/>
              </w:rPr>
            </w:pPr>
            <w:r w:rsidRPr="0036221E">
              <w:rPr>
                <w:b/>
                <w:bCs/>
                <w:sz w:val="20"/>
                <w:szCs w:val="20"/>
              </w:rPr>
              <w:t xml:space="preserve"> (Baseline)</w:t>
            </w:r>
          </w:p>
        </w:tc>
        <w:tc>
          <w:tcPr>
            <w:tcW w:w="1493" w:type="dxa"/>
            <w:vAlign w:val="center"/>
          </w:tcPr>
          <w:p w14:paraId="378929DB" w14:textId="77777777" w:rsidR="00F45CEC" w:rsidRPr="0036221E" w:rsidRDefault="00F45CEC" w:rsidP="00F45CEC">
            <w:pPr>
              <w:spacing w:line="240" w:lineRule="auto"/>
              <w:rPr>
                <w:b/>
                <w:bCs/>
                <w:sz w:val="20"/>
                <w:szCs w:val="20"/>
              </w:rPr>
            </w:pPr>
            <w:r w:rsidRPr="0036221E">
              <w:rPr>
                <w:b/>
                <w:bCs/>
                <w:sz w:val="20"/>
                <w:szCs w:val="20"/>
              </w:rPr>
              <w:t xml:space="preserve">FY2324 </w:t>
            </w:r>
          </w:p>
          <w:p w14:paraId="24178FE0" w14:textId="77777777" w:rsidR="00F45CEC" w:rsidRPr="0036221E" w:rsidRDefault="00F45CEC" w:rsidP="00F45CEC">
            <w:pPr>
              <w:spacing w:line="240" w:lineRule="auto"/>
              <w:rPr>
                <w:b/>
                <w:bCs/>
                <w:sz w:val="20"/>
                <w:szCs w:val="20"/>
              </w:rPr>
            </w:pPr>
            <w:r w:rsidRPr="0036221E">
              <w:rPr>
                <w:b/>
                <w:bCs/>
                <w:sz w:val="20"/>
                <w:szCs w:val="20"/>
              </w:rPr>
              <w:t>(Previous Period)</w:t>
            </w:r>
          </w:p>
        </w:tc>
        <w:tc>
          <w:tcPr>
            <w:tcW w:w="1502" w:type="dxa"/>
            <w:vAlign w:val="center"/>
          </w:tcPr>
          <w:p w14:paraId="36F74BA2" w14:textId="77777777" w:rsidR="00F45CEC" w:rsidRPr="0036221E" w:rsidRDefault="00F45CEC" w:rsidP="00F45CEC">
            <w:pPr>
              <w:spacing w:line="240" w:lineRule="auto"/>
              <w:rPr>
                <w:b/>
                <w:bCs/>
                <w:sz w:val="20"/>
                <w:szCs w:val="20"/>
              </w:rPr>
            </w:pPr>
            <w:r w:rsidRPr="0036221E">
              <w:rPr>
                <w:b/>
                <w:bCs/>
                <w:sz w:val="20"/>
                <w:szCs w:val="20"/>
              </w:rPr>
              <w:t>FY2425</w:t>
            </w:r>
          </w:p>
          <w:p w14:paraId="481D55BA" w14:textId="77777777" w:rsidR="00F45CEC" w:rsidRPr="0036221E" w:rsidRDefault="00F45CEC" w:rsidP="00F45CEC">
            <w:pPr>
              <w:spacing w:line="240" w:lineRule="auto"/>
              <w:rPr>
                <w:b/>
                <w:bCs/>
                <w:sz w:val="20"/>
                <w:szCs w:val="20"/>
              </w:rPr>
            </w:pPr>
            <w:r w:rsidRPr="0036221E">
              <w:rPr>
                <w:b/>
                <w:bCs/>
                <w:sz w:val="20"/>
                <w:szCs w:val="20"/>
              </w:rPr>
              <w:t xml:space="preserve"> (Present Period)</w:t>
            </w:r>
          </w:p>
        </w:tc>
        <w:tc>
          <w:tcPr>
            <w:tcW w:w="1503" w:type="dxa"/>
            <w:vAlign w:val="center"/>
          </w:tcPr>
          <w:p w14:paraId="286E8C2D" w14:textId="77777777" w:rsidR="00F45CEC" w:rsidRPr="0036221E" w:rsidRDefault="00F45CEC" w:rsidP="00F45CEC">
            <w:pPr>
              <w:spacing w:line="240" w:lineRule="auto"/>
              <w:rPr>
                <w:b/>
                <w:bCs/>
                <w:sz w:val="20"/>
                <w:szCs w:val="20"/>
              </w:rPr>
            </w:pPr>
            <w:r w:rsidRPr="0036221E">
              <w:rPr>
                <w:b/>
                <w:bCs/>
                <w:sz w:val="20"/>
                <w:szCs w:val="20"/>
              </w:rPr>
              <w:t xml:space="preserve">Impact on </w:t>
            </w:r>
          </w:p>
          <w:p w14:paraId="34045864" w14:textId="77777777" w:rsidR="00F45CEC" w:rsidRPr="0036221E" w:rsidRDefault="00F45CEC" w:rsidP="00F45CEC">
            <w:pPr>
              <w:spacing w:line="240" w:lineRule="auto"/>
              <w:rPr>
                <w:b/>
                <w:bCs/>
                <w:sz w:val="20"/>
                <w:szCs w:val="20"/>
              </w:rPr>
            </w:pPr>
            <w:r w:rsidRPr="0036221E">
              <w:rPr>
                <w:b/>
                <w:bCs/>
                <w:sz w:val="20"/>
                <w:szCs w:val="20"/>
              </w:rPr>
              <w:t xml:space="preserve">Baseline </w:t>
            </w:r>
          </w:p>
        </w:tc>
        <w:tc>
          <w:tcPr>
            <w:tcW w:w="2094" w:type="dxa"/>
            <w:vAlign w:val="center"/>
          </w:tcPr>
          <w:p w14:paraId="25BFB717" w14:textId="77777777" w:rsidR="00F45CEC" w:rsidRPr="0036221E" w:rsidRDefault="00F45CEC" w:rsidP="00F45CEC">
            <w:pPr>
              <w:spacing w:line="240" w:lineRule="auto"/>
              <w:rPr>
                <w:b/>
                <w:bCs/>
                <w:sz w:val="20"/>
                <w:szCs w:val="20"/>
              </w:rPr>
            </w:pPr>
            <w:r w:rsidRPr="0036221E">
              <w:rPr>
                <w:b/>
                <w:bCs/>
                <w:sz w:val="20"/>
                <w:szCs w:val="20"/>
              </w:rPr>
              <w:t xml:space="preserve">Impact on </w:t>
            </w:r>
            <w:r w:rsidRPr="0036221E">
              <w:rPr>
                <w:b/>
                <w:bCs/>
                <w:sz w:val="20"/>
                <w:szCs w:val="20"/>
              </w:rPr>
              <w:br/>
              <w:t xml:space="preserve">Previous  </w:t>
            </w:r>
          </w:p>
        </w:tc>
      </w:tr>
      <w:tr w:rsidR="00F45CEC" w:rsidRPr="00F45CEC" w14:paraId="13CE3BBD" w14:textId="77777777" w:rsidTr="00F45CEC">
        <w:trPr>
          <w:trHeight w:val="283"/>
        </w:trPr>
        <w:tc>
          <w:tcPr>
            <w:tcW w:w="2395" w:type="dxa"/>
            <w:vAlign w:val="center"/>
          </w:tcPr>
          <w:p w14:paraId="1100C551" w14:textId="77777777" w:rsidR="00F45CEC" w:rsidRPr="00F45CEC" w:rsidRDefault="00F45CEC" w:rsidP="00F45CEC">
            <w:pPr>
              <w:spacing w:line="240" w:lineRule="auto"/>
              <w:rPr>
                <w:color w:val="000000"/>
                <w:sz w:val="20"/>
                <w:szCs w:val="20"/>
              </w:rPr>
            </w:pPr>
            <w:r w:rsidRPr="00F45CEC">
              <w:rPr>
                <w:color w:val="000000"/>
                <w:sz w:val="20"/>
                <w:szCs w:val="20"/>
              </w:rPr>
              <w:t>Transport</w:t>
            </w:r>
          </w:p>
        </w:tc>
        <w:tc>
          <w:tcPr>
            <w:tcW w:w="1503" w:type="dxa"/>
            <w:vAlign w:val="center"/>
          </w:tcPr>
          <w:p w14:paraId="659E5BFC" w14:textId="77777777" w:rsidR="00F45CEC" w:rsidRPr="00F45CEC" w:rsidRDefault="00F45CEC" w:rsidP="00F45CEC">
            <w:pPr>
              <w:spacing w:line="240" w:lineRule="auto"/>
              <w:rPr>
                <w:color w:val="000000"/>
                <w:sz w:val="20"/>
                <w:szCs w:val="20"/>
              </w:rPr>
            </w:pPr>
            <w:r w:rsidRPr="00F45CEC">
              <w:rPr>
                <w:color w:val="000000"/>
                <w:sz w:val="20"/>
                <w:szCs w:val="20"/>
              </w:rPr>
              <w:t>411,077,129</w:t>
            </w:r>
          </w:p>
        </w:tc>
        <w:tc>
          <w:tcPr>
            <w:tcW w:w="1493" w:type="dxa"/>
            <w:vAlign w:val="center"/>
          </w:tcPr>
          <w:p w14:paraId="073BCF28" w14:textId="77777777" w:rsidR="00F45CEC" w:rsidRPr="00F45CEC" w:rsidRDefault="00F45CEC" w:rsidP="00F45CEC">
            <w:pPr>
              <w:spacing w:line="240" w:lineRule="auto"/>
              <w:rPr>
                <w:color w:val="000000"/>
                <w:sz w:val="20"/>
                <w:szCs w:val="20"/>
              </w:rPr>
            </w:pPr>
            <w:r w:rsidRPr="00F45CEC">
              <w:rPr>
                <w:color w:val="000000"/>
                <w:sz w:val="20"/>
                <w:szCs w:val="20"/>
              </w:rPr>
              <w:t>377,549,644</w:t>
            </w:r>
          </w:p>
        </w:tc>
        <w:tc>
          <w:tcPr>
            <w:tcW w:w="1502" w:type="dxa"/>
            <w:vAlign w:val="center"/>
          </w:tcPr>
          <w:p w14:paraId="1C86E7A2" w14:textId="77777777" w:rsidR="00F45CEC" w:rsidRPr="00F45CEC" w:rsidRDefault="00F45CEC" w:rsidP="00F45CEC">
            <w:pPr>
              <w:spacing w:line="240" w:lineRule="auto"/>
              <w:rPr>
                <w:color w:val="000000"/>
                <w:sz w:val="20"/>
                <w:szCs w:val="20"/>
              </w:rPr>
            </w:pPr>
            <w:r w:rsidRPr="00F45CEC">
              <w:rPr>
                <w:color w:val="000000"/>
                <w:sz w:val="20"/>
                <w:szCs w:val="20"/>
              </w:rPr>
              <w:t>366,262,063</w:t>
            </w:r>
          </w:p>
        </w:tc>
        <w:tc>
          <w:tcPr>
            <w:tcW w:w="1503" w:type="dxa"/>
            <w:vAlign w:val="center"/>
          </w:tcPr>
          <w:p w14:paraId="7E70EADE" w14:textId="77777777" w:rsidR="00F45CEC" w:rsidRPr="00F45CEC" w:rsidRDefault="00F45CEC" w:rsidP="00F45CEC">
            <w:pPr>
              <w:spacing w:line="240" w:lineRule="auto"/>
              <w:rPr>
                <w:color w:val="000000"/>
                <w:sz w:val="20"/>
                <w:szCs w:val="20"/>
              </w:rPr>
            </w:pPr>
            <w:r w:rsidRPr="00F45CEC">
              <w:rPr>
                <w:color w:val="000000"/>
                <w:sz w:val="20"/>
                <w:szCs w:val="20"/>
              </w:rPr>
              <w:t>-10.90%</w:t>
            </w:r>
          </w:p>
        </w:tc>
        <w:tc>
          <w:tcPr>
            <w:tcW w:w="2094" w:type="dxa"/>
            <w:vAlign w:val="center"/>
          </w:tcPr>
          <w:p w14:paraId="4CEF4F9E" w14:textId="77777777" w:rsidR="00F45CEC" w:rsidRPr="00F45CEC" w:rsidRDefault="00F45CEC" w:rsidP="00F45CEC">
            <w:pPr>
              <w:spacing w:line="240" w:lineRule="auto"/>
              <w:rPr>
                <w:color w:val="000000"/>
                <w:sz w:val="20"/>
                <w:szCs w:val="20"/>
              </w:rPr>
            </w:pPr>
            <w:r w:rsidRPr="00F45CEC">
              <w:rPr>
                <w:color w:val="000000"/>
                <w:sz w:val="20"/>
                <w:szCs w:val="20"/>
              </w:rPr>
              <w:t>-2.99%</w:t>
            </w:r>
          </w:p>
        </w:tc>
      </w:tr>
      <w:tr w:rsidR="00F45CEC" w:rsidRPr="00F45CEC" w14:paraId="4CD3B3C3" w14:textId="77777777" w:rsidTr="00F45CEC">
        <w:trPr>
          <w:trHeight w:val="283"/>
        </w:trPr>
        <w:tc>
          <w:tcPr>
            <w:tcW w:w="2395" w:type="dxa"/>
            <w:vAlign w:val="center"/>
          </w:tcPr>
          <w:p w14:paraId="69D6853E" w14:textId="77777777" w:rsidR="00F45CEC" w:rsidRPr="00F45CEC" w:rsidRDefault="00F45CEC" w:rsidP="00F45CEC">
            <w:pPr>
              <w:spacing w:line="240" w:lineRule="auto"/>
              <w:rPr>
                <w:color w:val="000000"/>
                <w:sz w:val="20"/>
                <w:szCs w:val="20"/>
              </w:rPr>
            </w:pPr>
            <w:r w:rsidRPr="00F45CEC">
              <w:rPr>
                <w:color w:val="000000"/>
                <w:sz w:val="20"/>
                <w:szCs w:val="20"/>
              </w:rPr>
              <w:t>Electricity</w:t>
            </w:r>
          </w:p>
        </w:tc>
        <w:tc>
          <w:tcPr>
            <w:tcW w:w="1503" w:type="dxa"/>
            <w:vAlign w:val="center"/>
          </w:tcPr>
          <w:p w14:paraId="65C29594" w14:textId="77777777" w:rsidR="00F45CEC" w:rsidRPr="00F45CEC" w:rsidRDefault="00F45CEC" w:rsidP="00F45CEC">
            <w:pPr>
              <w:spacing w:line="240" w:lineRule="auto"/>
              <w:rPr>
                <w:color w:val="000000"/>
                <w:sz w:val="20"/>
                <w:szCs w:val="20"/>
              </w:rPr>
            </w:pPr>
            <w:r w:rsidRPr="00F45CEC">
              <w:rPr>
                <w:color w:val="000000"/>
                <w:sz w:val="20"/>
                <w:szCs w:val="20"/>
              </w:rPr>
              <w:t>13,603,167</w:t>
            </w:r>
          </w:p>
        </w:tc>
        <w:tc>
          <w:tcPr>
            <w:tcW w:w="1493" w:type="dxa"/>
            <w:vAlign w:val="center"/>
          </w:tcPr>
          <w:p w14:paraId="74F14AD8" w14:textId="77777777" w:rsidR="00F45CEC" w:rsidRPr="00F45CEC" w:rsidRDefault="00F45CEC" w:rsidP="00F45CEC">
            <w:pPr>
              <w:spacing w:line="240" w:lineRule="auto"/>
              <w:rPr>
                <w:color w:val="000000"/>
                <w:sz w:val="20"/>
                <w:szCs w:val="20"/>
              </w:rPr>
            </w:pPr>
            <w:r w:rsidRPr="00F45CEC">
              <w:rPr>
                <w:color w:val="000000"/>
                <w:sz w:val="20"/>
                <w:szCs w:val="20"/>
              </w:rPr>
              <w:t>20,699,799</w:t>
            </w:r>
          </w:p>
        </w:tc>
        <w:tc>
          <w:tcPr>
            <w:tcW w:w="1502" w:type="dxa"/>
            <w:vAlign w:val="center"/>
          </w:tcPr>
          <w:p w14:paraId="67D138E0" w14:textId="77777777" w:rsidR="00F45CEC" w:rsidRPr="00F45CEC" w:rsidRDefault="00F45CEC" w:rsidP="00F45CEC">
            <w:pPr>
              <w:spacing w:line="240" w:lineRule="auto"/>
              <w:rPr>
                <w:color w:val="000000"/>
                <w:sz w:val="20"/>
                <w:szCs w:val="20"/>
              </w:rPr>
            </w:pPr>
            <w:r w:rsidRPr="00F45CEC">
              <w:rPr>
                <w:color w:val="000000"/>
                <w:sz w:val="20"/>
                <w:szCs w:val="20"/>
              </w:rPr>
              <w:t>23,981,269</w:t>
            </w:r>
          </w:p>
        </w:tc>
        <w:tc>
          <w:tcPr>
            <w:tcW w:w="1503" w:type="dxa"/>
            <w:vAlign w:val="center"/>
          </w:tcPr>
          <w:p w14:paraId="607FE5AE" w14:textId="77777777" w:rsidR="00F45CEC" w:rsidRPr="00F45CEC" w:rsidRDefault="00F45CEC" w:rsidP="00F45CEC">
            <w:pPr>
              <w:spacing w:line="240" w:lineRule="auto"/>
              <w:rPr>
                <w:color w:val="000000"/>
                <w:sz w:val="20"/>
                <w:szCs w:val="20"/>
              </w:rPr>
            </w:pPr>
            <w:r w:rsidRPr="00F45CEC">
              <w:rPr>
                <w:color w:val="000000"/>
                <w:sz w:val="20"/>
                <w:szCs w:val="20"/>
              </w:rPr>
              <w:t>76.29%</w:t>
            </w:r>
          </w:p>
        </w:tc>
        <w:tc>
          <w:tcPr>
            <w:tcW w:w="2094" w:type="dxa"/>
            <w:vAlign w:val="center"/>
          </w:tcPr>
          <w:p w14:paraId="259B2B2A" w14:textId="77777777" w:rsidR="00F45CEC" w:rsidRPr="00F45CEC" w:rsidRDefault="00F45CEC" w:rsidP="00F45CEC">
            <w:pPr>
              <w:spacing w:line="240" w:lineRule="auto"/>
              <w:rPr>
                <w:color w:val="000000"/>
                <w:sz w:val="20"/>
                <w:szCs w:val="20"/>
              </w:rPr>
            </w:pPr>
            <w:r w:rsidRPr="00F45CEC">
              <w:rPr>
                <w:color w:val="000000"/>
                <w:sz w:val="20"/>
                <w:szCs w:val="20"/>
              </w:rPr>
              <w:t>15.85%</w:t>
            </w:r>
          </w:p>
        </w:tc>
      </w:tr>
      <w:tr w:rsidR="00F45CEC" w:rsidRPr="00F45CEC" w14:paraId="299A9097" w14:textId="77777777" w:rsidTr="00F45CEC">
        <w:trPr>
          <w:trHeight w:val="283"/>
        </w:trPr>
        <w:tc>
          <w:tcPr>
            <w:tcW w:w="2395" w:type="dxa"/>
            <w:vAlign w:val="center"/>
          </w:tcPr>
          <w:p w14:paraId="70A420F2" w14:textId="77777777" w:rsidR="00F45CEC" w:rsidRPr="00F45CEC" w:rsidRDefault="00F45CEC" w:rsidP="00F45CEC">
            <w:pPr>
              <w:spacing w:line="240" w:lineRule="auto"/>
              <w:rPr>
                <w:color w:val="000000"/>
                <w:sz w:val="20"/>
                <w:szCs w:val="20"/>
              </w:rPr>
            </w:pPr>
            <w:r w:rsidRPr="00F45CEC">
              <w:rPr>
                <w:color w:val="000000"/>
                <w:sz w:val="20"/>
                <w:szCs w:val="20"/>
              </w:rPr>
              <w:t>Gas</w:t>
            </w:r>
          </w:p>
        </w:tc>
        <w:tc>
          <w:tcPr>
            <w:tcW w:w="1503" w:type="dxa"/>
            <w:vAlign w:val="center"/>
          </w:tcPr>
          <w:p w14:paraId="6390CD56" w14:textId="77777777" w:rsidR="00F45CEC" w:rsidRPr="00F45CEC" w:rsidRDefault="00F45CEC" w:rsidP="00F45CEC">
            <w:pPr>
              <w:spacing w:line="240" w:lineRule="auto"/>
              <w:rPr>
                <w:color w:val="000000"/>
                <w:sz w:val="20"/>
                <w:szCs w:val="20"/>
              </w:rPr>
            </w:pPr>
            <w:r w:rsidRPr="00F45CEC">
              <w:rPr>
                <w:color w:val="000000"/>
                <w:sz w:val="20"/>
                <w:szCs w:val="20"/>
              </w:rPr>
              <w:t>13,616,189</w:t>
            </w:r>
          </w:p>
        </w:tc>
        <w:tc>
          <w:tcPr>
            <w:tcW w:w="1493" w:type="dxa"/>
            <w:vAlign w:val="center"/>
          </w:tcPr>
          <w:p w14:paraId="45224BF6" w14:textId="77777777" w:rsidR="00F45CEC" w:rsidRPr="00F45CEC" w:rsidRDefault="00F45CEC" w:rsidP="00F45CEC">
            <w:pPr>
              <w:spacing w:line="240" w:lineRule="auto"/>
              <w:rPr>
                <w:color w:val="000000"/>
                <w:sz w:val="20"/>
                <w:szCs w:val="20"/>
              </w:rPr>
            </w:pPr>
            <w:r w:rsidRPr="00F45CEC">
              <w:rPr>
                <w:color w:val="000000"/>
                <w:sz w:val="20"/>
                <w:szCs w:val="20"/>
              </w:rPr>
              <w:t>13,916,474</w:t>
            </w:r>
          </w:p>
        </w:tc>
        <w:tc>
          <w:tcPr>
            <w:tcW w:w="1502" w:type="dxa"/>
            <w:vAlign w:val="center"/>
          </w:tcPr>
          <w:p w14:paraId="4FC8EF89" w14:textId="77777777" w:rsidR="00F45CEC" w:rsidRPr="00F45CEC" w:rsidRDefault="00F45CEC" w:rsidP="00F45CEC">
            <w:pPr>
              <w:spacing w:line="240" w:lineRule="auto"/>
              <w:rPr>
                <w:color w:val="000000"/>
                <w:sz w:val="20"/>
                <w:szCs w:val="20"/>
              </w:rPr>
            </w:pPr>
            <w:r w:rsidRPr="00F45CEC">
              <w:rPr>
                <w:color w:val="000000"/>
                <w:sz w:val="20"/>
                <w:szCs w:val="20"/>
              </w:rPr>
              <w:t>15,860,628</w:t>
            </w:r>
          </w:p>
        </w:tc>
        <w:tc>
          <w:tcPr>
            <w:tcW w:w="1503" w:type="dxa"/>
            <w:vAlign w:val="center"/>
          </w:tcPr>
          <w:p w14:paraId="6A9A4C6F" w14:textId="77777777" w:rsidR="00F45CEC" w:rsidRPr="00F45CEC" w:rsidRDefault="00F45CEC" w:rsidP="00F45CEC">
            <w:pPr>
              <w:spacing w:line="240" w:lineRule="auto"/>
              <w:rPr>
                <w:color w:val="000000"/>
                <w:sz w:val="20"/>
                <w:szCs w:val="20"/>
              </w:rPr>
            </w:pPr>
            <w:r w:rsidRPr="00F45CEC">
              <w:rPr>
                <w:color w:val="000000"/>
                <w:sz w:val="20"/>
                <w:szCs w:val="20"/>
              </w:rPr>
              <w:t>16.48%</w:t>
            </w:r>
          </w:p>
        </w:tc>
        <w:tc>
          <w:tcPr>
            <w:tcW w:w="2094" w:type="dxa"/>
            <w:vAlign w:val="center"/>
          </w:tcPr>
          <w:p w14:paraId="3C732D38" w14:textId="77777777" w:rsidR="00F45CEC" w:rsidRPr="00F45CEC" w:rsidRDefault="00F45CEC" w:rsidP="00F45CEC">
            <w:pPr>
              <w:spacing w:line="240" w:lineRule="auto"/>
              <w:rPr>
                <w:color w:val="000000"/>
                <w:sz w:val="20"/>
                <w:szCs w:val="20"/>
              </w:rPr>
            </w:pPr>
            <w:r w:rsidRPr="00F45CEC">
              <w:rPr>
                <w:color w:val="000000"/>
                <w:sz w:val="20"/>
                <w:szCs w:val="20"/>
              </w:rPr>
              <w:t>13.97%</w:t>
            </w:r>
          </w:p>
        </w:tc>
      </w:tr>
      <w:tr w:rsidR="00F45CEC" w:rsidRPr="00F45CEC" w14:paraId="4962A407" w14:textId="77777777" w:rsidTr="00F45CEC">
        <w:trPr>
          <w:trHeight w:val="283"/>
        </w:trPr>
        <w:tc>
          <w:tcPr>
            <w:tcW w:w="2395" w:type="dxa"/>
            <w:vAlign w:val="center"/>
          </w:tcPr>
          <w:p w14:paraId="29A9C321" w14:textId="77777777" w:rsidR="00F45CEC" w:rsidRPr="00F45CEC" w:rsidRDefault="00F45CEC" w:rsidP="00F45CEC">
            <w:pPr>
              <w:spacing w:line="240" w:lineRule="auto"/>
              <w:rPr>
                <w:color w:val="000000"/>
                <w:sz w:val="20"/>
                <w:szCs w:val="20"/>
              </w:rPr>
            </w:pPr>
            <w:r w:rsidRPr="00F45CEC">
              <w:rPr>
                <w:color w:val="000000"/>
                <w:sz w:val="20"/>
                <w:szCs w:val="20"/>
              </w:rPr>
              <w:t xml:space="preserve">Oil </w:t>
            </w:r>
          </w:p>
        </w:tc>
        <w:tc>
          <w:tcPr>
            <w:tcW w:w="1503" w:type="dxa"/>
            <w:vAlign w:val="center"/>
          </w:tcPr>
          <w:p w14:paraId="70AF8D65" w14:textId="77777777" w:rsidR="00F45CEC" w:rsidRPr="00F45CEC" w:rsidRDefault="00F45CEC" w:rsidP="00F45CEC">
            <w:pPr>
              <w:spacing w:line="240" w:lineRule="auto"/>
              <w:rPr>
                <w:color w:val="000000"/>
                <w:sz w:val="20"/>
                <w:szCs w:val="20"/>
              </w:rPr>
            </w:pPr>
            <w:r w:rsidRPr="00F45CEC">
              <w:rPr>
                <w:color w:val="000000"/>
                <w:sz w:val="20"/>
                <w:szCs w:val="20"/>
              </w:rPr>
              <w:t>7,580,526</w:t>
            </w:r>
          </w:p>
        </w:tc>
        <w:tc>
          <w:tcPr>
            <w:tcW w:w="1493" w:type="dxa"/>
            <w:vAlign w:val="center"/>
          </w:tcPr>
          <w:p w14:paraId="19D055AD" w14:textId="77777777" w:rsidR="00F45CEC" w:rsidRPr="00F45CEC" w:rsidRDefault="00F45CEC" w:rsidP="00F45CEC">
            <w:pPr>
              <w:spacing w:line="240" w:lineRule="auto"/>
              <w:rPr>
                <w:color w:val="000000"/>
                <w:sz w:val="20"/>
                <w:szCs w:val="20"/>
              </w:rPr>
            </w:pPr>
            <w:r w:rsidRPr="00F45CEC">
              <w:rPr>
                <w:color w:val="000000"/>
                <w:sz w:val="20"/>
                <w:szCs w:val="20"/>
              </w:rPr>
              <w:t>5,916,870</w:t>
            </w:r>
          </w:p>
        </w:tc>
        <w:tc>
          <w:tcPr>
            <w:tcW w:w="1502" w:type="dxa"/>
            <w:vAlign w:val="center"/>
          </w:tcPr>
          <w:p w14:paraId="68739C98" w14:textId="77777777" w:rsidR="00F45CEC" w:rsidRPr="00F45CEC" w:rsidRDefault="00F45CEC" w:rsidP="00F45CEC">
            <w:pPr>
              <w:spacing w:line="240" w:lineRule="auto"/>
              <w:rPr>
                <w:color w:val="000000"/>
                <w:sz w:val="20"/>
                <w:szCs w:val="20"/>
              </w:rPr>
            </w:pPr>
            <w:r w:rsidRPr="00F45CEC">
              <w:rPr>
                <w:color w:val="000000"/>
                <w:sz w:val="20"/>
                <w:szCs w:val="20"/>
              </w:rPr>
              <w:t>5,339,772</w:t>
            </w:r>
          </w:p>
        </w:tc>
        <w:tc>
          <w:tcPr>
            <w:tcW w:w="1503" w:type="dxa"/>
            <w:vAlign w:val="center"/>
          </w:tcPr>
          <w:p w14:paraId="364B6FC0" w14:textId="77777777" w:rsidR="00F45CEC" w:rsidRPr="00F45CEC" w:rsidRDefault="00F45CEC" w:rsidP="00F45CEC">
            <w:pPr>
              <w:spacing w:line="240" w:lineRule="auto"/>
              <w:rPr>
                <w:color w:val="000000"/>
                <w:sz w:val="20"/>
                <w:szCs w:val="20"/>
              </w:rPr>
            </w:pPr>
            <w:r w:rsidRPr="00F45CEC">
              <w:rPr>
                <w:color w:val="000000"/>
                <w:sz w:val="20"/>
                <w:szCs w:val="20"/>
              </w:rPr>
              <w:t>-29.56%</w:t>
            </w:r>
          </w:p>
        </w:tc>
        <w:tc>
          <w:tcPr>
            <w:tcW w:w="2094" w:type="dxa"/>
            <w:vAlign w:val="center"/>
          </w:tcPr>
          <w:p w14:paraId="070AEE3F" w14:textId="77777777" w:rsidR="00F45CEC" w:rsidRPr="00F45CEC" w:rsidRDefault="00F45CEC" w:rsidP="00F45CEC">
            <w:pPr>
              <w:spacing w:line="240" w:lineRule="auto"/>
              <w:rPr>
                <w:color w:val="000000"/>
                <w:sz w:val="20"/>
                <w:szCs w:val="20"/>
              </w:rPr>
            </w:pPr>
            <w:r w:rsidRPr="00F45CEC">
              <w:rPr>
                <w:color w:val="000000"/>
                <w:sz w:val="20"/>
                <w:szCs w:val="20"/>
              </w:rPr>
              <w:t>-9.75%</w:t>
            </w:r>
          </w:p>
        </w:tc>
      </w:tr>
      <w:tr w:rsidR="00F45CEC" w:rsidRPr="00F45CEC" w14:paraId="330FAD1E" w14:textId="77777777" w:rsidTr="00F45CEC">
        <w:trPr>
          <w:trHeight w:val="283"/>
        </w:trPr>
        <w:tc>
          <w:tcPr>
            <w:tcW w:w="2395" w:type="dxa"/>
            <w:vAlign w:val="center"/>
          </w:tcPr>
          <w:p w14:paraId="683B82C6" w14:textId="77777777" w:rsidR="00F45CEC" w:rsidRPr="00F45CEC" w:rsidRDefault="00F45CEC" w:rsidP="00F45CEC">
            <w:pPr>
              <w:spacing w:line="240" w:lineRule="auto"/>
              <w:rPr>
                <w:b/>
                <w:bCs/>
                <w:color w:val="000000"/>
                <w:sz w:val="20"/>
                <w:szCs w:val="20"/>
              </w:rPr>
            </w:pPr>
            <w:r w:rsidRPr="00F45CEC">
              <w:rPr>
                <w:b/>
                <w:bCs/>
                <w:color w:val="000000"/>
                <w:sz w:val="20"/>
                <w:szCs w:val="20"/>
              </w:rPr>
              <w:t>Total</w:t>
            </w:r>
          </w:p>
        </w:tc>
        <w:tc>
          <w:tcPr>
            <w:tcW w:w="1503" w:type="dxa"/>
            <w:vAlign w:val="center"/>
          </w:tcPr>
          <w:p w14:paraId="4E14C4CA" w14:textId="77777777" w:rsidR="00F45CEC" w:rsidRPr="00F45CEC" w:rsidRDefault="00F45CEC" w:rsidP="00F45CEC">
            <w:pPr>
              <w:spacing w:line="240" w:lineRule="auto"/>
              <w:rPr>
                <w:b/>
                <w:bCs/>
                <w:color w:val="000000"/>
                <w:sz w:val="20"/>
                <w:szCs w:val="20"/>
              </w:rPr>
            </w:pPr>
            <w:r w:rsidRPr="00F45CEC">
              <w:rPr>
                <w:b/>
                <w:bCs/>
                <w:color w:val="000000"/>
                <w:sz w:val="20"/>
                <w:szCs w:val="20"/>
              </w:rPr>
              <w:t>445,877,011</w:t>
            </w:r>
          </w:p>
        </w:tc>
        <w:tc>
          <w:tcPr>
            <w:tcW w:w="1493" w:type="dxa"/>
            <w:vAlign w:val="center"/>
          </w:tcPr>
          <w:p w14:paraId="0DCE5194" w14:textId="77777777" w:rsidR="00F45CEC" w:rsidRPr="00F45CEC" w:rsidRDefault="00F45CEC" w:rsidP="00F45CEC">
            <w:pPr>
              <w:spacing w:line="240" w:lineRule="auto"/>
              <w:rPr>
                <w:b/>
                <w:bCs/>
                <w:color w:val="000000"/>
                <w:sz w:val="20"/>
                <w:szCs w:val="20"/>
              </w:rPr>
            </w:pPr>
            <w:r w:rsidRPr="00F45CEC">
              <w:rPr>
                <w:b/>
                <w:bCs/>
                <w:color w:val="000000"/>
                <w:sz w:val="20"/>
                <w:szCs w:val="20"/>
              </w:rPr>
              <w:t>418,082,787</w:t>
            </w:r>
          </w:p>
        </w:tc>
        <w:tc>
          <w:tcPr>
            <w:tcW w:w="1502" w:type="dxa"/>
            <w:vAlign w:val="center"/>
          </w:tcPr>
          <w:p w14:paraId="3F1C4639" w14:textId="77777777" w:rsidR="00F45CEC" w:rsidRPr="00F45CEC" w:rsidRDefault="00F45CEC" w:rsidP="00F45CEC">
            <w:pPr>
              <w:spacing w:line="240" w:lineRule="auto"/>
              <w:rPr>
                <w:b/>
                <w:bCs/>
                <w:color w:val="000000"/>
                <w:sz w:val="20"/>
                <w:szCs w:val="20"/>
              </w:rPr>
            </w:pPr>
            <w:r w:rsidRPr="00F45CEC">
              <w:rPr>
                <w:b/>
                <w:bCs/>
                <w:color w:val="000000"/>
                <w:sz w:val="20"/>
                <w:szCs w:val="20"/>
              </w:rPr>
              <w:t>411,443,732</w:t>
            </w:r>
          </w:p>
        </w:tc>
        <w:tc>
          <w:tcPr>
            <w:tcW w:w="1503" w:type="dxa"/>
            <w:vAlign w:val="center"/>
          </w:tcPr>
          <w:p w14:paraId="3ABEE009" w14:textId="77777777" w:rsidR="00F45CEC" w:rsidRPr="00F45CEC" w:rsidRDefault="00F45CEC" w:rsidP="00F45CEC">
            <w:pPr>
              <w:spacing w:line="240" w:lineRule="auto"/>
              <w:rPr>
                <w:b/>
                <w:bCs/>
                <w:color w:val="000000"/>
                <w:sz w:val="20"/>
                <w:szCs w:val="20"/>
              </w:rPr>
            </w:pPr>
            <w:r w:rsidRPr="00F45CEC">
              <w:rPr>
                <w:b/>
                <w:bCs/>
                <w:color w:val="000000"/>
                <w:sz w:val="20"/>
                <w:szCs w:val="20"/>
              </w:rPr>
              <w:t>-7.72%</w:t>
            </w:r>
          </w:p>
        </w:tc>
        <w:tc>
          <w:tcPr>
            <w:tcW w:w="2094" w:type="dxa"/>
            <w:vAlign w:val="center"/>
          </w:tcPr>
          <w:p w14:paraId="47A57F41" w14:textId="77777777" w:rsidR="00F45CEC" w:rsidRPr="00F45CEC" w:rsidRDefault="00F45CEC" w:rsidP="00F45CEC">
            <w:pPr>
              <w:spacing w:line="240" w:lineRule="auto"/>
              <w:rPr>
                <w:b/>
                <w:bCs/>
                <w:color w:val="000000"/>
                <w:sz w:val="20"/>
                <w:szCs w:val="20"/>
              </w:rPr>
            </w:pPr>
            <w:r w:rsidRPr="00F45CEC">
              <w:rPr>
                <w:b/>
                <w:bCs/>
                <w:color w:val="000000"/>
                <w:sz w:val="20"/>
                <w:szCs w:val="20"/>
              </w:rPr>
              <w:t>-1.59%</w:t>
            </w:r>
          </w:p>
        </w:tc>
      </w:tr>
    </w:tbl>
    <w:p w14:paraId="5EA1438E" w14:textId="77777777" w:rsidR="00F45CEC" w:rsidRDefault="00F45CEC" w:rsidP="00F45CEC">
      <w:pPr>
        <w:rPr>
          <w:b/>
          <w:bCs/>
        </w:rPr>
      </w:pPr>
    </w:p>
    <w:p w14:paraId="3961E13E" w14:textId="77777777" w:rsidR="00983B4F" w:rsidRDefault="00983B4F" w:rsidP="00983B4F">
      <w:pPr>
        <w:rPr>
          <w:color w:val="000000" w:themeColor="text1"/>
        </w:rPr>
      </w:pPr>
      <w:r w:rsidRPr="00983B4F">
        <w:rPr>
          <w:color w:val="000000" w:themeColor="text1"/>
        </w:rPr>
        <w:t xml:space="preserve">There has been a 7.63% reduction in actual energy consumption within the Translink Organisation Boundary, in relation to the baseline figures.  When adjustments such as Degree Day Normalisation is applied this reduction in energy consumption equates </w:t>
      </w:r>
      <w:r w:rsidRPr="00983B4F">
        <w:rPr>
          <w:color w:val="000000" w:themeColor="text1"/>
        </w:rPr>
        <w:br/>
        <w:t xml:space="preserve">to 7.72%.  </w:t>
      </w:r>
    </w:p>
    <w:p w14:paraId="7C3782A0" w14:textId="77777777" w:rsidR="00983B4F" w:rsidRPr="00983B4F" w:rsidRDefault="00983B4F" w:rsidP="00983B4F">
      <w:pPr>
        <w:rPr>
          <w:rFonts w:cs="Arial"/>
          <w:color w:val="000000" w:themeColor="text1"/>
        </w:rPr>
      </w:pPr>
    </w:p>
    <w:p w14:paraId="094497C9" w14:textId="77777777" w:rsidR="00983B4F" w:rsidRDefault="00983B4F" w:rsidP="00983B4F">
      <w:pPr>
        <w:tabs>
          <w:tab w:val="left" w:pos="198"/>
        </w:tabs>
        <w:suppressAutoHyphens/>
        <w:autoSpaceDE w:val="0"/>
        <w:autoSpaceDN w:val="0"/>
        <w:adjustRightInd w:val="0"/>
        <w:spacing w:line="240" w:lineRule="atLeast"/>
        <w:textAlignment w:val="center"/>
        <w:rPr>
          <w:rFonts w:cs="Arial"/>
          <w:b/>
          <w:bCs/>
          <w:color w:val="000000" w:themeColor="text1"/>
        </w:rPr>
        <w:sectPr w:rsidR="00983B4F" w:rsidSect="00E253EE">
          <w:pgSz w:w="11900" w:h="16840"/>
          <w:pgMar w:top="720" w:right="720" w:bottom="720" w:left="720" w:header="709" w:footer="709" w:gutter="0"/>
          <w:cols w:space="708"/>
          <w:docGrid w:linePitch="360"/>
        </w:sectPr>
      </w:pPr>
    </w:p>
    <w:p w14:paraId="69496622" w14:textId="77777777" w:rsidR="00983B4F" w:rsidRDefault="00983B4F" w:rsidP="00983B4F">
      <w:pPr>
        <w:tabs>
          <w:tab w:val="left" w:pos="198"/>
        </w:tabs>
        <w:suppressAutoHyphens/>
        <w:autoSpaceDE w:val="0"/>
        <w:autoSpaceDN w:val="0"/>
        <w:adjustRightInd w:val="0"/>
        <w:spacing w:line="240" w:lineRule="atLeast"/>
        <w:textAlignment w:val="center"/>
        <w:rPr>
          <w:rFonts w:cs="Arial"/>
          <w:b/>
          <w:bCs/>
          <w:color w:val="000000" w:themeColor="text1"/>
        </w:rPr>
      </w:pPr>
      <w:r w:rsidRPr="00983B4F">
        <w:rPr>
          <w:rFonts w:cs="Arial"/>
          <w:b/>
          <w:bCs/>
          <w:color w:val="000000" w:themeColor="text1"/>
        </w:rPr>
        <w:lastRenderedPageBreak/>
        <w:t xml:space="preserve">Carbon </w:t>
      </w:r>
    </w:p>
    <w:p w14:paraId="121A8AF4" w14:textId="77777777" w:rsidR="00983B4F" w:rsidRDefault="00983B4F" w:rsidP="00983B4F">
      <w:pPr>
        <w:tabs>
          <w:tab w:val="left" w:pos="198"/>
        </w:tabs>
        <w:suppressAutoHyphens/>
        <w:autoSpaceDE w:val="0"/>
        <w:autoSpaceDN w:val="0"/>
        <w:adjustRightInd w:val="0"/>
        <w:spacing w:line="240" w:lineRule="atLeast"/>
        <w:textAlignment w:val="center"/>
        <w:rPr>
          <w:rFonts w:cs="Arial"/>
          <w:b/>
          <w:bCs/>
          <w:color w:val="000000" w:themeColor="text1"/>
        </w:rPr>
      </w:pPr>
    </w:p>
    <w:tbl>
      <w:tblPr>
        <w:tblStyle w:val="TableGrid"/>
        <w:tblW w:w="0" w:type="auto"/>
        <w:tblLayout w:type="fixed"/>
        <w:tblLook w:val="0000" w:firstRow="0" w:lastRow="0" w:firstColumn="0" w:lastColumn="0" w:noHBand="0" w:noVBand="0"/>
      </w:tblPr>
      <w:tblGrid>
        <w:gridCol w:w="2390"/>
        <w:gridCol w:w="1503"/>
        <w:gridCol w:w="1502"/>
        <w:gridCol w:w="1502"/>
        <w:gridCol w:w="1503"/>
        <w:gridCol w:w="1502"/>
      </w:tblGrid>
      <w:tr w:rsidR="00983B4F" w:rsidRPr="00983B4F" w14:paraId="1C8F2E49" w14:textId="77777777" w:rsidTr="00983B4F">
        <w:trPr>
          <w:trHeight w:val="340"/>
        </w:trPr>
        <w:tc>
          <w:tcPr>
            <w:tcW w:w="2390" w:type="dxa"/>
            <w:vAlign w:val="center"/>
          </w:tcPr>
          <w:p w14:paraId="2BE97C6F"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Actual Emissions (TCO2e)</w:t>
            </w:r>
          </w:p>
        </w:tc>
        <w:tc>
          <w:tcPr>
            <w:tcW w:w="1503" w:type="dxa"/>
            <w:vAlign w:val="center"/>
          </w:tcPr>
          <w:p w14:paraId="3757726F"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FY1819</w:t>
            </w:r>
          </w:p>
          <w:p w14:paraId="30CDEA6F"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(Baseline)</w:t>
            </w:r>
          </w:p>
        </w:tc>
        <w:tc>
          <w:tcPr>
            <w:tcW w:w="1502" w:type="dxa"/>
            <w:vAlign w:val="center"/>
          </w:tcPr>
          <w:p w14:paraId="66A7838E"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FY2324 </w:t>
            </w:r>
          </w:p>
          <w:p w14:paraId="436ED99E"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(Previous Period)</w:t>
            </w:r>
          </w:p>
        </w:tc>
        <w:tc>
          <w:tcPr>
            <w:tcW w:w="1502" w:type="dxa"/>
            <w:vAlign w:val="center"/>
          </w:tcPr>
          <w:p w14:paraId="0E9F65FB"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FY2425 </w:t>
            </w:r>
          </w:p>
          <w:p w14:paraId="14181106"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(Present Period)</w:t>
            </w:r>
          </w:p>
        </w:tc>
        <w:tc>
          <w:tcPr>
            <w:tcW w:w="1503" w:type="dxa"/>
            <w:vAlign w:val="center"/>
          </w:tcPr>
          <w:p w14:paraId="7A51C78D"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Impact on </w:t>
            </w:r>
          </w:p>
          <w:p w14:paraId="2E616B27"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Baseline </w:t>
            </w:r>
          </w:p>
        </w:tc>
        <w:tc>
          <w:tcPr>
            <w:tcW w:w="1502" w:type="dxa"/>
            <w:vAlign w:val="center"/>
          </w:tcPr>
          <w:p w14:paraId="6A588577"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Impact on </w:t>
            </w:r>
          </w:p>
          <w:p w14:paraId="61051F50"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 xml:space="preserve">Previous Period </w:t>
            </w:r>
          </w:p>
        </w:tc>
      </w:tr>
      <w:tr w:rsidR="00983B4F" w:rsidRPr="00983B4F" w14:paraId="0DD35171" w14:textId="77777777" w:rsidTr="00983B4F">
        <w:trPr>
          <w:trHeight w:val="340"/>
        </w:trPr>
        <w:tc>
          <w:tcPr>
            <w:tcW w:w="2390" w:type="dxa"/>
            <w:vAlign w:val="center"/>
          </w:tcPr>
          <w:p w14:paraId="3BEF616A"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Transport</w:t>
            </w:r>
          </w:p>
        </w:tc>
        <w:tc>
          <w:tcPr>
            <w:tcW w:w="1503" w:type="dxa"/>
            <w:vAlign w:val="center"/>
          </w:tcPr>
          <w:p w14:paraId="6978F081"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103,986</w:t>
            </w:r>
          </w:p>
        </w:tc>
        <w:tc>
          <w:tcPr>
            <w:tcW w:w="1502" w:type="dxa"/>
            <w:vAlign w:val="center"/>
          </w:tcPr>
          <w:p w14:paraId="5FAF6C43"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90,263</w:t>
            </w:r>
          </w:p>
        </w:tc>
        <w:tc>
          <w:tcPr>
            <w:tcW w:w="1502" w:type="dxa"/>
            <w:vAlign w:val="center"/>
          </w:tcPr>
          <w:p w14:paraId="67D939A7"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87,564</w:t>
            </w:r>
          </w:p>
        </w:tc>
        <w:tc>
          <w:tcPr>
            <w:tcW w:w="1503" w:type="dxa"/>
            <w:vAlign w:val="center"/>
          </w:tcPr>
          <w:p w14:paraId="1385AA6A"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-15.79%</w:t>
            </w:r>
          </w:p>
        </w:tc>
        <w:tc>
          <w:tcPr>
            <w:tcW w:w="1502" w:type="dxa"/>
            <w:vAlign w:val="center"/>
          </w:tcPr>
          <w:p w14:paraId="09E769D2"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-2.99%</w:t>
            </w:r>
          </w:p>
        </w:tc>
      </w:tr>
      <w:tr w:rsidR="00983B4F" w:rsidRPr="00983B4F" w14:paraId="1BBF5DCB" w14:textId="77777777" w:rsidTr="00983B4F">
        <w:trPr>
          <w:trHeight w:val="340"/>
        </w:trPr>
        <w:tc>
          <w:tcPr>
            <w:tcW w:w="2390" w:type="dxa"/>
            <w:vAlign w:val="center"/>
          </w:tcPr>
          <w:p w14:paraId="7EE81FB5"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Electricity</w:t>
            </w:r>
          </w:p>
        </w:tc>
        <w:tc>
          <w:tcPr>
            <w:tcW w:w="1503" w:type="dxa"/>
            <w:vAlign w:val="center"/>
          </w:tcPr>
          <w:p w14:paraId="2A1563C8"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4,063</w:t>
            </w:r>
          </w:p>
        </w:tc>
        <w:tc>
          <w:tcPr>
            <w:tcW w:w="1502" w:type="dxa"/>
            <w:vAlign w:val="center"/>
          </w:tcPr>
          <w:p w14:paraId="11A1C142"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4,286</w:t>
            </w:r>
          </w:p>
        </w:tc>
        <w:tc>
          <w:tcPr>
            <w:tcW w:w="1502" w:type="dxa"/>
            <w:vAlign w:val="center"/>
          </w:tcPr>
          <w:p w14:paraId="057FAD0A"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4,965</w:t>
            </w:r>
          </w:p>
        </w:tc>
        <w:tc>
          <w:tcPr>
            <w:tcW w:w="1503" w:type="dxa"/>
            <w:vAlign w:val="center"/>
          </w:tcPr>
          <w:p w14:paraId="0E1E049E"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22.20%</w:t>
            </w:r>
          </w:p>
        </w:tc>
        <w:tc>
          <w:tcPr>
            <w:tcW w:w="1502" w:type="dxa"/>
            <w:vAlign w:val="center"/>
          </w:tcPr>
          <w:p w14:paraId="30A3ECC7"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15.84%</w:t>
            </w:r>
          </w:p>
        </w:tc>
      </w:tr>
      <w:tr w:rsidR="00983B4F" w:rsidRPr="00983B4F" w14:paraId="3E52FECF" w14:textId="77777777" w:rsidTr="00983B4F">
        <w:trPr>
          <w:trHeight w:val="340"/>
        </w:trPr>
        <w:tc>
          <w:tcPr>
            <w:tcW w:w="2390" w:type="dxa"/>
            <w:vAlign w:val="center"/>
          </w:tcPr>
          <w:p w14:paraId="177E03E0"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Gas</w:t>
            </w:r>
          </w:p>
        </w:tc>
        <w:tc>
          <w:tcPr>
            <w:tcW w:w="1503" w:type="dxa"/>
            <w:vAlign w:val="center"/>
          </w:tcPr>
          <w:p w14:paraId="586754A8"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2,376</w:t>
            </w:r>
          </w:p>
        </w:tc>
        <w:tc>
          <w:tcPr>
            <w:tcW w:w="1502" w:type="dxa"/>
            <w:vAlign w:val="center"/>
          </w:tcPr>
          <w:p w14:paraId="0F279849"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2,100</w:t>
            </w:r>
          </w:p>
        </w:tc>
        <w:tc>
          <w:tcPr>
            <w:tcW w:w="1502" w:type="dxa"/>
            <w:vAlign w:val="center"/>
          </w:tcPr>
          <w:p w14:paraId="7D09E788"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2,166</w:t>
            </w:r>
          </w:p>
        </w:tc>
        <w:tc>
          <w:tcPr>
            <w:tcW w:w="1503" w:type="dxa"/>
            <w:vAlign w:val="center"/>
          </w:tcPr>
          <w:p w14:paraId="00044366"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-8.84%</w:t>
            </w:r>
          </w:p>
        </w:tc>
        <w:tc>
          <w:tcPr>
            <w:tcW w:w="1502" w:type="dxa"/>
            <w:vAlign w:val="center"/>
          </w:tcPr>
          <w:p w14:paraId="3E9A3E40"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3.14%</w:t>
            </w:r>
          </w:p>
        </w:tc>
      </w:tr>
      <w:tr w:rsidR="00983B4F" w:rsidRPr="00983B4F" w14:paraId="70CBFAF2" w14:textId="77777777" w:rsidTr="00983B4F">
        <w:trPr>
          <w:trHeight w:val="340"/>
        </w:trPr>
        <w:tc>
          <w:tcPr>
            <w:tcW w:w="2390" w:type="dxa"/>
            <w:vAlign w:val="center"/>
          </w:tcPr>
          <w:p w14:paraId="11061F92"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 xml:space="preserve">Oil </w:t>
            </w:r>
          </w:p>
        </w:tc>
        <w:tc>
          <w:tcPr>
            <w:tcW w:w="1503" w:type="dxa"/>
            <w:vAlign w:val="center"/>
          </w:tcPr>
          <w:p w14:paraId="32F5EBBF"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1,784</w:t>
            </w:r>
          </w:p>
        </w:tc>
        <w:tc>
          <w:tcPr>
            <w:tcW w:w="1502" w:type="dxa"/>
            <w:vAlign w:val="center"/>
          </w:tcPr>
          <w:p w14:paraId="1F61D1B6"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1,426</w:t>
            </w:r>
          </w:p>
        </w:tc>
        <w:tc>
          <w:tcPr>
            <w:tcW w:w="1502" w:type="dxa"/>
            <w:vAlign w:val="center"/>
          </w:tcPr>
          <w:p w14:paraId="06B6E5FF"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1,289</w:t>
            </w:r>
          </w:p>
        </w:tc>
        <w:tc>
          <w:tcPr>
            <w:tcW w:w="1503" w:type="dxa"/>
            <w:vAlign w:val="center"/>
          </w:tcPr>
          <w:p w14:paraId="31A227ED"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-27.75%</w:t>
            </w:r>
          </w:p>
        </w:tc>
        <w:tc>
          <w:tcPr>
            <w:tcW w:w="1502" w:type="dxa"/>
            <w:vAlign w:val="center"/>
          </w:tcPr>
          <w:p w14:paraId="34E28318"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color w:val="000000" w:themeColor="text1"/>
                <w:sz w:val="20"/>
                <w:szCs w:val="20"/>
              </w:rPr>
              <w:t>-9.61%</w:t>
            </w:r>
          </w:p>
        </w:tc>
      </w:tr>
      <w:tr w:rsidR="00983B4F" w:rsidRPr="00983B4F" w14:paraId="5B95A209" w14:textId="77777777" w:rsidTr="00983B4F">
        <w:trPr>
          <w:trHeight w:val="340"/>
        </w:trPr>
        <w:tc>
          <w:tcPr>
            <w:tcW w:w="2390" w:type="dxa"/>
            <w:vAlign w:val="center"/>
          </w:tcPr>
          <w:p w14:paraId="5C66FDD7"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Total</w:t>
            </w:r>
          </w:p>
        </w:tc>
        <w:tc>
          <w:tcPr>
            <w:tcW w:w="1503" w:type="dxa"/>
            <w:vAlign w:val="center"/>
          </w:tcPr>
          <w:p w14:paraId="7624F88B"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112,209</w:t>
            </w:r>
          </w:p>
        </w:tc>
        <w:tc>
          <w:tcPr>
            <w:tcW w:w="1502" w:type="dxa"/>
            <w:vAlign w:val="center"/>
          </w:tcPr>
          <w:p w14:paraId="035FEBBA"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98,075</w:t>
            </w:r>
          </w:p>
        </w:tc>
        <w:tc>
          <w:tcPr>
            <w:tcW w:w="1502" w:type="dxa"/>
            <w:vAlign w:val="center"/>
          </w:tcPr>
          <w:p w14:paraId="11E30262"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95,984</w:t>
            </w:r>
          </w:p>
        </w:tc>
        <w:tc>
          <w:tcPr>
            <w:tcW w:w="1503" w:type="dxa"/>
            <w:vAlign w:val="center"/>
          </w:tcPr>
          <w:p w14:paraId="4CDF2BD6"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-14.46%</w:t>
            </w:r>
          </w:p>
        </w:tc>
        <w:tc>
          <w:tcPr>
            <w:tcW w:w="1502" w:type="dxa"/>
            <w:vAlign w:val="center"/>
          </w:tcPr>
          <w:p w14:paraId="28A1A076" w14:textId="77777777" w:rsidR="00983B4F" w:rsidRPr="00983B4F" w:rsidRDefault="00983B4F" w:rsidP="00983B4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83B4F">
              <w:rPr>
                <w:rFonts w:cs="Arial"/>
                <w:b/>
                <w:bCs/>
                <w:color w:val="000000" w:themeColor="text1"/>
                <w:sz w:val="20"/>
                <w:szCs w:val="20"/>
              </w:rPr>
              <w:t>-2.13%</w:t>
            </w:r>
          </w:p>
        </w:tc>
      </w:tr>
    </w:tbl>
    <w:p w14:paraId="23B0AB4F" w14:textId="3FE011E0" w:rsidR="00983B4F" w:rsidRDefault="00983B4F" w:rsidP="00983B4F">
      <w:pPr>
        <w:tabs>
          <w:tab w:val="left" w:pos="198"/>
        </w:tabs>
        <w:suppressAutoHyphens/>
        <w:autoSpaceDE w:val="0"/>
        <w:autoSpaceDN w:val="0"/>
        <w:adjustRightInd w:val="0"/>
        <w:spacing w:line="240" w:lineRule="atLeast"/>
        <w:textAlignment w:val="center"/>
        <w:rPr>
          <w:rFonts w:cs="Arial"/>
          <w:b/>
          <w:bCs/>
          <w:color w:val="000000" w:themeColor="text1"/>
        </w:rPr>
      </w:pPr>
      <w:r w:rsidRPr="00983B4F">
        <w:rPr>
          <w:rFonts w:cs="Arial"/>
          <w:b/>
          <w:bCs/>
          <w:color w:val="000000" w:themeColor="text1"/>
        </w:rPr>
        <w:t xml:space="preserve"> </w:t>
      </w:r>
    </w:p>
    <w:tbl>
      <w:tblPr>
        <w:tblStyle w:val="TableGrid"/>
        <w:tblW w:w="0" w:type="auto"/>
        <w:tblLayout w:type="fixed"/>
        <w:tblLook w:val="0000" w:firstRow="0" w:lastRow="0" w:firstColumn="0" w:lastColumn="0" w:noHBand="0" w:noVBand="0"/>
      </w:tblPr>
      <w:tblGrid>
        <w:gridCol w:w="2385"/>
        <w:gridCol w:w="1503"/>
        <w:gridCol w:w="1502"/>
        <w:gridCol w:w="1502"/>
        <w:gridCol w:w="1503"/>
        <w:gridCol w:w="1502"/>
      </w:tblGrid>
      <w:tr w:rsidR="0090580F" w:rsidRPr="0090580F" w14:paraId="20317B85" w14:textId="77777777" w:rsidTr="0090580F">
        <w:trPr>
          <w:trHeight w:val="340"/>
        </w:trPr>
        <w:tc>
          <w:tcPr>
            <w:tcW w:w="2385" w:type="dxa"/>
            <w:vAlign w:val="center"/>
          </w:tcPr>
          <w:p w14:paraId="0B7C3D0F"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Normalised Emissions (TCO2e)</w:t>
            </w:r>
          </w:p>
        </w:tc>
        <w:tc>
          <w:tcPr>
            <w:tcW w:w="1503" w:type="dxa"/>
            <w:vAlign w:val="center"/>
          </w:tcPr>
          <w:p w14:paraId="383F21B2"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FY1819 </w:t>
            </w:r>
          </w:p>
          <w:p w14:paraId="68FC7ACF"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(Baseline)</w:t>
            </w:r>
          </w:p>
        </w:tc>
        <w:tc>
          <w:tcPr>
            <w:tcW w:w="1502" w:type="dxa"/>
            <w:vAlign w:val="center"/>
          </w:tcPr>
          <w:p w14:paraId="39004C8A"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FY2324</w:t>
            </w:r>
          </w:p>
          <w:p w14:paraId="5B850ED7"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 (Previous Period)</w:t>
            </w:r>
          </w:p>
        </w:tc>
        <w:tc>
          <w:tcPr>
            <w:tcW w:w="1502" w:type="dxa"/>
            <w:vAlign w:val="center"/>
          </w:tcPr>
          <w:p w14:paraId="1A973D9A"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FY2425</w:t>
            </w:r>
          </w:p>
          <w:p w14:paraId="3722FB36"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 (Present Period)</w:t>
            </w:r>
          </w:p>
        </w:tc>
        <w:tc>
          <w:tcPr>
            <w:tcW w:w="1503" w:type="dxa"/>
            <w:vAlign w:val="center"/>
          </w:tcPr>
          <w:p w14:paraId="540C1E48"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Impact on</w:t>
            </w:r>
          </w:p>
          <w:p w14:paraId="6FF29DEC"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 Baseline </w:t>
            </w:r>
          </w:p>
        </w:tc>
        <w:tc>
          <w:tcPr>
            <w:tcW w:w="1502" w:type="dxa"/>
            <w:vAlign w:val="center"/>
          </w:tcPr>
          <w:p w14:paraId="49A16AE8"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Impact on </w:t>
            </w:r>
          </w:p>
          <w:p w14:paraId="508F3001" w14:textId="77777777" w:rsidR="0090580F" w:rsidRPr="0090580F" w:rsidRDefault="0090580F" w:rsidP="0090580F">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 xml:space="preserve">Previous Period </w:t>
            </w:r>
          </w:p>
        </w:tc>
      </w:tr>
      <w:tr w:rsidR="0090580F" w:rsidRPr="0090580F" w14:paraId="73DD6D0F" w14:textId="77777777" w:rsidTr="000525D5">
        <w:trPr>
          <w:trHeight w:val="340"/>
        </w:trPr>
        <w:tc>
          <w:tcPr>
            <w:tcW w:w="2385" w:type="dxa"/>
            <w:vAlign w:val="center"/>
          </w:tcPr>
          <w:p w14:paraId="255C5909"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Transport</w:t>
            </w:r>
          </w:p>
        </w:tc>
        <w:tc>
          <w:tcPr>
            <w:tcW w:w="1503" w:type="dxa"/>
            <w:vAlign w:val="center"/>
          </w:tcPr>
          <w:p w14:paraId="62D07F31"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103,986</w:t>
            </w:r>
          </w:p>
        </w:tc>
        <w:tc>
          <w:tcPr>
            <w:tcW w:w="1502" w:type="dxa"/>
            <w:vAlign w:val="center"/>
          </w:tcPr>
          <w:p w14:paraId="73AC5B3B"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90,263</w:t>
            </w:r>
          </w:p>
        </w:tc>
        <w:tc>
          <w:tcPr>
            <w:tcW w:w="1502" w:type="dxa"/>
            <w:vAlign w:val="center"/>
          </w:tcPr>
          <w:p w14:paraId="3634DDDF"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87,564</w:t>
            </w:r>
          </w:p>
        </w:tc>
        <w:tc>
          <w:tcPr>
            <w:tcW w:w="1503" w:type="dxa"/>
            <w:vAlign w:val="center"/>
          </w:tcPr>
          <w:p w14:paraId="25307C05"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-15.79%</w:t>
            </w:r>
          </w:p>
        </w:tc>
        <w:tc>
          <w:tcPr>
            <w:tcW w:w="1502" w:type="dxa"/>
            <w:vAlign w:val="center"/>
          </w:tcPr>
          <w:p w14:paraId="501294A5"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-2.99%</w:t>
            </w:r>
          </w:p>
        </w:tc>
      </w:tr>
      <w:tr w:rsidR="0090580F" w:rsidRPr="0090580F" w14:paraId="5A92EF0C" w14:textId="77777777" w:rsidTr="000525D5">
        <w:trPr>
          <w:trHeight w:val="340"/>
        </w:trPr>
        <w:tc>
          <w:tcPr>
            <w:tcW w:w="2385" w:type="dxa"/>
            <w:vAlign w:val="center"/>
          </w:tcPr>
          <w:p w14:paraId="10ADC09A"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Electricity</w:t>
            </w:r>
          </w:p>
        </w:tc>
        <w:tc>
          <w:tcPr>
            <w:tcW w:w="1503" w:type="dxa"/>
            <w:vAlign w:val="center"/>
          </w:tcPr>
          <w:p w14:paraId="74C299DA"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4,063</w:t>
            </w:r>
          </w:p>
        </w:tc>
        <w:tc>
          <w:tcPr>
            <w:tcW w:w="1502" w:type="dxa"/>
            <w:vAlign w:val="center"/>
          </w:tcPr>
          <w:p w14:paraId="68952C17"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4,286</w:t>
            </w:r>
          </w:p>
        </w:tc>
        <w:tc>
          <w:tcPr>
            <w:tcW w:w="1502" w:type="dxa"/>
            <w:vAlign w:val="center"/>
          </w:tcPr>
          <w:p w14:paraId="3DC95DC6"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4,965</w:t>
            </w:r>
          </w:p>
        </w:tc>
        <w:tc>
          <w:tcPr>
            <w:tcW w:w="1503" w:type="dxa"/>
            <w:vAlign w:val="center"/>
          </w:tcPr>
          <w:p w14:paraId="711F5296"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22.20%</w:t>
            </w:r>
          </w:p>
        </w:tc>
        <w:tc>
          <w:tcPr>
            <w:tcW w:w="1502" w:type="dxa"/>
            <w:vAlign w:val="center"/>
          </w:tcPr>
          <w:p w14:paraId="59B046A4"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15.84%</w:t>
            </w:r>
          </w:p>
        </w:tc>
      </w:tr>
      <w:tr w:rsidR="0090580F" w:rsidRPr="0090580F" w14:paraId="443D2C1C" w14:textId="77777777" w:rsidTr="000525D5">
        <w:trPr>
          <w:trHeight w:val="340"/>
        </w:trPr>
        <w:tc>
          <w:tcPr>
            <w:tcW w:w="2385" w:type="dxa"/>
            <w:vAlign w:val="center"/>
          </w:tcPr>
          <w:p w14:paraId="51E987A9"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Gas</w:t>
            </w:r>
          </w:p>
        </w:tc>
        <w:tc>
          <w:tcPr>
            <w:tcW w:w="1503" w:type="dxa"/>
            <w:vAlign w:val="center"/>
          </w:tcPr>
          <w:p w14:paraId="0706323E"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2,505</w:t>
            </w:r>
          </w:p>
        </w:tc>
        <w:tc>
          <w:tcPr>
            <w:tcW w:w="1502" w:type="dxa"/>
            <w:vAlign w:val="center"/>
          </w:tcPr>
          <w:p w14:paraId="13C231D1"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2,546</w:t>
            </w:r>
          </w:p>
        </w:tc>
        <w:tc>
          <w:tcPr>
            <w:tcW w:w="1502" w:type="dxa"/>
            <w:vAlign w:val="center"/>
          </w:tcPr>
          <w:p w14:paraId="1BFDE8BC"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2,901</w:t>
            </w:r>
          </w:p>
        </w:tc>
        <w:tc>
          <w:tcPr>
            <w:tcW w:w="1503" w:type="dxa"/>
            <w:vAlign w:val="center"/>
          </w:tcPr>
          <w:p w14:paraId="76D6248C"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15.81%</w:t>
            </w:r>
          </w:p>
        </w:tc>
        <w:tc>
          <w:tcPr>
            <w:tcW w:w="1502" w:type="dxa"/>
            <w:vAlign w:val="center"/>
          </w:tcPr>
          <w:p w14:paraId="10450E2A"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13.94%</w:t>
            </w:r>
          </w:p>
        </w:tc>
      </w:tr>
      <w:tr w:rsidR="0090580F" w:rsidRPr="0090580F" w14:paraId="48147C34" w14:textId="77777777" w:rsidTr="000525D5">
        <w:trPr>
          <w:trHeight w:val="340"/>
        </w:trPr>
        <w:tc>
          <w:tcPr>
            <w:tcW w:w="2385" w:type="dxa"/>
            <w:vAlign w:val="center"/>
          </w:tcPr>
          <w:p w14:paraId="79D2199E"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 xml:space="preserve">Oil </w:t>
            </w:r>
          </w:p>
        </w:tc>
        <w:tc>
          <w:tcPr>
            <w:tcW w:w="1503" w:type="dxa"/>
            <w:vAlign w:val="center"/>
          </w:tcPr>
          <w:p w14:paraId="0C2DAE60"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1,870</w:t>
            </w:r>
          </w:p>
        </w:tc>
        <w:tc>
          <w:tcPr>
            <w:tcW w:w="1502" w:type="dxa"/>
            <w:vAlign w:val="center"/>
          </w:tcPr>
          <w:p w14:paraId="4F87429C"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1,225</w:t>
            </w:r>
          </w:p>
        </w:tc>
        <w:tc>
          <w:tcPr>
            <w:tcW w:w="1502" w:type="dxa"/>
            <w:vAlign w:val="center"/>
          </w:tcPr>
          <w:p w14:paraId="13133B2F"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1,106</w:t>
            </w:r>
          </w:p>
        </w:tc>
        <w:tc>
          <w:tcPr>
            <w:tcW w:w="1503" w:type="dxa"/>
            <w:vAlign w:val="center"/>
          </w:tcPr>
          <w:p w14:paraId="63D22BC0"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-40.86%</w:t>
            </w:r>
          </w:p>
        </w:tc>
        <w:tc>
          <w:tcPr>
            <w:tcW w:w="1502" w:type="dxa"/>
            <w:vAlign w:val="center"/>
          </w:tcPr>
          <w:p w14:paraId="10E54F00"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-9.71%</w:t>
            </w:r>
          </w:p>
        </w:tc>
      </w:tr>
      <w:tr w:rsidR="0090580F" w:rsidRPr="0090580F" w14:paraId="5DFE1F1D" w14:textId="77777777" w:rsidTr="000525D5">
        <w:trPr>
          <w:trHeight w:val="340"/>
        </w:trPr>
        <w:tc>
          <w:tcPr>
            <w:tcW w:w="2385" w:type="dxa"/>
            <w:vAlign w:val="center"/>
          </w:tcPr>
          <w:p w14:paraId="54EDC27D"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Total</w:t>
            </w:r>
          </w:p>
        </w:tc>
        <w:tc>
          <w:tcPr>
            <w:tcW w:w="1503" w:type="dxa"/>
            <w:vAlign w:val="center"/>
          </w:tcPr>
          <w:p w14:paraId="404B08F5"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112,424</w:t>
            </w:r>
          </w:p>
        </w:tc>
        <w:tc>
          <w:tcPr>
            <w:tcW w:w="1502" w:type="dxa"/>
            <w:vAlign w:val="center"/>
          </w:tcPr>
          <w:p w14:paraId="19A366CA"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98,320</w:t>
            </w:r>
          </w:p>
        </w:tc>
        <w:tc>
          <w:tcPr>
            <w:tcW w:w="1502" w:type="dxa"/>
            <w:vAlign w:val="center"/>
          </w:tcPr>
          <w:p w14:paraId="2CAB074F"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96,536</w:t>
            </w:r>
          </w:p>
        </w:tc>
        <w:tc>
          <w:tcPr>
            <w:tcW w:w="1503" w:type="dxa"/>
            <w:vAlign w:val="center"/>
          </w:tcPr>
          <w:p w14:paraId="384436D2"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-14.13%</w:t>
            </w:r>
          </w:p>
        </w:tc>
        <w:tc>
          <w:tcPr>
            <w:tcW w:w="1502" w:type="dxa"/>
            <w:vAlign w:val="center"/>
          </w:tcPr>
          <w:p w14:paraId="2BF7D6F4"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b/>
                <w:bCs/>
                <w:color w:val="000000" w:themeColor="text1"/>
                <w:sz w:val="20"/>
                <w:szCs w:val="20"/>
              </w:rPr>
              <w:t>-1.81%</w:t>
            </w:r>
          </w:p>
        </w:tc>
      </w:tr>
    </w:tbl>
    <w:p w14:paraId="4A051993" w14:textId="77777777" w:rsidR="0036221E" w:rsidRPr="00983B4F" w:rsidRDefault="0036221E" w:rsidP="00983B4F">
      <w:pPr>
        <w:tabs>
          <w:tab w:val="left" w:pos="198"/>
        </w:tabs>
        <w:suppressAutoHyphens/>
        <w:autoSpaceDE w:val="0"/>
        <w:autoSpaceDN w:val="0"/>
        <w:adjustRightInd w:val="0"/>
        <w:spacing w:line="240" w:lineRule="atLeast"/>
        <w:textAlignment w:val="center"/>
        <w:rPr>
          <w:rFonts w:cs="Arial"/>
          <w:b/>
          <w:bCs/>
          <w:color w:val="000000" w:themeColor="text1"/>
        </w:rPr>
      </w:pPr>
    </w:p>
    <w:p w14:paraId="3B2708DB" w14:textId="77777777" w:rsidR="0090580F" w:rsidRDefault="0090580F" w:rsidP="0090580F">
      <w:r w:rsidRPr="0090580F">
        <w:t xml:space="preserve">There has been a 14.46% reduction in actual emissions within the Translink Organisation Boundary, against the baseline figures.  When adjustments such as Degree Day Normalisation is applied this reduction in emissions equates to 14.13%.  </w:t>
      </w:r>
    </w:p>
    <w:p w14:paraId="73F5C307" w14:textId="77777777" w:rsidR="0090580F" w:rsidRPr="0090580F" w:rsidRDefault="0090580F" w:rsidP="0090580F">
      <w:pPr>
        <w:rPr>
          <w:color w:val="000000" w:themeColor="text1"/>
        </w:rPr>
      </w:pPr>
    </w:p>
    <w:p w14:paraId="57CD1226" w14:textId="77777777" w:rsidR="0090580F" w:rsidRPr="0090580F" w:rsidRDefault="0090580F" w:rsidP="00FF49BF">
      <w:pPr>
        <w:pStyle w:val="Heading3"/>
      </w:pPr>
      <w:bookmarkStart w:id="134" w:name="_Toc213058566"/>
      <w:r w:rsidRPr="0090580F">
        <w:t>Intensity Ratio</w:t>
      </w:r>
      <w:bookmarkEnd w:id="134"/>
      <w:r w:rsidRPr="0090580F">
        <w:t xml:space="preserve"> </w:t>
      </w:r>
    </w:p>
    <w:p w14:paraId="480CA382" w14:textId="77777777" w:rsidR="0090580F" w:rsidRDefault="0090580F" w:rsidP="0090580F">
      <w:pPr>
        <w:rPr>
          <w:color w:val="000000" w:themeColor="text1"/>
        </w:rPr>
      </w:pPr>
      <w:r w:rsidRPr="0090580F">
        <w:rPr>
          <w:color w:val="000000" w:themeColor="text1"/>
        </w:rPr>
        <w:t xml:space="preserve">The utilisation of an Intensity Ratio allows Translink to in theory compare input against output, through the production of a Key Performance Indicator (KPI). The metric to be utilised is, Kilometres against the overall emissions, this will result in a figure detailing “kgCO2e / Kilometre”. </w:t>
      </w:r>
    </w:p>
    <w:p w14:paraId="6F13B55B" w14:textId="77777777" w:rsidR="0090580F" w:rsidRDefault="0090580F" w:rsidP="0090580F">
      <w:pPr>
        <w:rPr>
          <w:color w:val="000000" w:themeColor="text1"/>
        </w:rPr>
      </w:pPr>
    </w:p>
    <w:tbl>
      <w:tblPr>
        <w:tblStyle w:val="TableGrid"/>
        <w:tblW w:w="0" w:type="auto"/>
        <w:tblLayout w:type="fixed"/>
        <w:tblLook w:val="0000" w:firstRow="0" w:lastRow="0" w:firstColumn="0" w:lastColumn="0" w:noHBand="0" w:noVBand="0"/>
      </w:tblPr>
      <w:tblGrid>
        <w:gridCol w:w="2660"/>
        <w:gridCol w:w="1451"/>
        <w:gridCol w:w="1451"/>
        <w:gridCol w:w="1452"/>
        <w:gridCol w:w="1451"/>
        <w:gridCol w:w="1451"/>
      </w:tblGrid>
      <w:tr w:rsidR="0090580F" w:rsidRPr="0090580F" w14:paraId="4198526A" w14:textId="77777777" w:rsidTr="0090580F">
        <w:trPr>
          <w:trHeight w:val="340"/>
        </w:trPr>
        <w:tc>
          <w:tcPr>
            <w:tcW w:w="2660" w:type="dxa"/>
          </w:tcPr>
          <w:p w14:paraId="3BD4F6AE" w14:textId="77777777" w:rsidR="0090580F" w:rsidRPr="0090580F" w:rsidRDefault="0090580F" w:rsidP="0090580F">
            <w:pPr>
              <w:autoSpaceDE w:val="0"/>
              <w:autoSpaceDN w:val="0"/>
              <w:adjustRightInd w:val="0"/>
              <w:spacing w:line="240" w:lineRule="auto"/>
              <w:rPr>
                <w:rFonts w:cs="Arial"/>
                <w:color w:val="000000" w:themeColor="text1"/>
                <w:sz w:val="20"/>
                <w:szCs w:val="20"/>
              </w:rPr>
            </w:pPr>
          </w:p>
        </w:tc>
        <w:tc>
          <w:tcPr>
            <w:tcW w:w="1451" w:type="dxa"/>
          </w:tcPr>
          <w:p w14:paraId="740836E4"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FY1819</w:t>
            </w:r>
          </w:p>
          <w:p w14:paraId="7A2EC62E"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 xml:space="preserve"> (Baseline)</w:t>
            </w:r>
          </w:p>
        </w:tc>
        <w:tc>
          <w:tcPr>
            <w:tcW w:w="1451" w:type="dxa"/>
          </w:tcPr>
          <w:p w14:paraId="6F75CE91"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FY2324</w:t>
            </w:r>
          </w:p>
          <w:p w14:paraId="15827442"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 xml:space="preserve"> (Previous Period)</w:t>
            </w:r>
          </w:p>
        </w:tc>
        <w:tc>
          <w:tcPr>
            <w:tcW w:w="1452" w:type="dxa"/>
          </w:tcPr>
          <w:p w14:paraId="48B2CAE3"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FY2425</w:t>
            </w:r>
          </w:p>
          <w:p w14:paraId="0E1E482D"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 xml:space="preserve"> (Present Period)</w:t>
            </w:r>
          </w:p>
        </w:tc>
        <w:tc>
          <w:tcPr>
            <w:tcW w:w="1451" w:type="dxa"/>
          </w:tcPr>
          <w:p w14:paraId="3AC3946E"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 xml:space="preserve">Impact on Baseline </w:t>
            </w:r>
          </w:p>
        </w:tc>
        <w:tc>
          <w:tcPr>
            <w:tcW w:w="1451" w:type="dxa"/>
          </w:tcPr>
          <w:p w14:paraId="7C220EA2" w14:textId="77777777" w:rsidR="0090580F" w:rsidRPr="0090580F" w:rsidRDefault="0090580F" w:rsidP="0090580F">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b/>
                <w:bCs/>
                <w:color w:val="000000" w:themeColor="text1"/>
                <w:sz w:val="20"/>
                <w:szCs w:val="20"/>
              </w:rPr>
              <w:t xml:space="preserve">Impact on Previous Period </w:t>
            </w:r>
          </w:p>
        </w:tc>
      </w:tr>
      <w:tr w:rsidR="0090580F" w:rsidRPr="0090580F" w14:paraId="5D89F6A0" w14:textId="77777777" w:rsidTr="000525D5">
        <w:trPr>
          <w:trHeight w:val="340"/>
        </w:trPr>
        <w:tc>
          <w:tcPr>
            <w:tcW w:w="2660" w:type="dxa"/>
            <w:vAlign w:val="center"/>
          </w:tcPr>
          <w:p w14:paraId="0B9E8633"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Kilometres</w:t>
            </w:r>
          </w:p>
        </w:tc>
        <w:tc>
          <w:tcPr>
            <w:tcW w:w="1451" w:type="dxa"/>
            <w:vAlign w:val="center"/>
          </w:tcPr>
          <w:p w14:paraId="5B8F1643"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75,029,207</w:t>
            </w:r>
          </w:p>
        </w:tc>
        <w:tc>
          <w:tcPr>
            <w:tcW w:w="1451" w:type="dxa"/>
            <w:vAlign w:val="center"/>
          </w:tcPr>
          <w:p w14:paraId="1B55E9F9"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70,429,680</w:t>
            </w:r>
          </w:p>
        </w:tc>
        <w:tc>
          <w:tcPr>
            <w:tcW w:w="1452" w:type="dxa"/>
            <w:vAlign w:val="center"/>
          </w:tcPr>
          <w:p w14:paraId="49FDC2EF"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71,298,660</w:t>
            </w:r>
          </w:p>
        </w:tc>
        <w:tc>
          <w:tcPr>
            <w:tcW w:w="1451" w:type="dxa"/>
            <w:vAlign w:val="center"/>
          </w:tcPr>
          <w:p w14:paraId="272C1D9F"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-4.97%</w:t>
            </w:r>
          </w:p>
        </w:tc>
        <w:tc>
          <w:tcPr>
            <w:tcW w:w="1451" w:type="dxa"/>
            <w:vAlign w:val="center"/>
          </w:tcPr>
          <w:p w14:paraId="62792B96"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1.23%</w:t>
            </w:r>
          </w:p>
        </w:tc>
      </w:tr>
      <w:tr w:rsidR="0090580F" w:rsidRPr="0090580F" w14:paraId="468A16FF" w14:textId="77777777" w:rsidTr="000525D5">
        <w:trPr>
          <w:trHeight w:val="340"/>
        </w:trPr>
        <w:tc>
          <w:tcPr>
            <w:tcW w:w="2660" w:type="dxa"/>
            <w:vAlign w:val="center"/>
          </w:tcPr>
          <w:p w14:paraId="10C74FDD"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Actual Emissions (TCO2e)</w:t>
            </w:r>
          </w:p>
        </w:tc>
        <w:tc>
          <w:tcPr>
            <w:tcW w:w="1451" w:type="dxa"/>
            <w:vAlign w:val="center"/>
          </w:tcPr>
          <w:p w14:paraId="494F8ECD"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112,209</w:t>
            </w:r>
          </w:p>
        </w:tc>
        <w:tc>
          <w:tcPr>
            <w:tcW w:w="1451" w:type="dxa"/>
            <w:vAlign w:val="center"/>
          </w:tcPr>
          <w:p w14:paraId="0C262D2F"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98,076</w:t>
            </w:r>
          </w:p>
        </w:tc>
        <w:tc>
          <w:tcPr>
            <w:tcW w:w="1452" w:type="dxa"/>
            <w:vAlign w:val="center"/>
          </w:tcPr>
          <w:p w14:paraId="2FA02E54"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95,985</w:t>
            </w:r>
          </w:p>
        </w:tc>
        <w:tc>
          <w:tcPr>
            <w:tcW w:w="1451" w:type="dxa"/>
            <w:vAlign w:val="center"/>
          </w:tcPr>
          <w:p w14:paraId="2F1E2695"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-14.46%</w:t>
            </w:r>
          </w:p>
        </w:tc>
        <w:tc>
          <w:tcPr>
            <w:tcW w:w="1451" w:type="dxa"/>
            <w:vAlign w:val="center"/>
          </w:tcPr>
          <w:p w14:paraId="32BAE258"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-2.13%</w:t>
            </w:r>
          </w:p>
        </w:tc>
      </w:tr>
      <w:tr w:rsidR="0090580F" w:rsidRPr="0090580F" w14:paraId="2F597C89" w14:textId="77777777" w:rsidTr="000525D5">
        <w:trPr>
          <w:trHeight w:val="340"/>
        </w:trPr>
        <w:tc>
          <w:tcPr>
            <w:tcW w:w="2660" w:type="dxa"/>
            <w:vAlign w:val="center"/>
          </w:tcPr>
          <w:p w14:paraId="3AA103FD"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Normalised Emissions (TCO2e)</w:t>
            </w:r>
          </w:p>
        </w:tc>
        <w:tc>
          <w:tcPr>
            <w:tcW w:w="1451" w:type="dxa"/>
            <w:vAlign w:val="center"/>
          </w:tcPr>
          <w:p w14:paraId="4E22C219"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112,424</w:t>
            </w:r>
          </w:p>
        </w:tc>
        <w:tc>
          <w:tcPr>
            <w:tcW w:w="1451" w:type="dxa"/>
            <w:vAlign w:val="center"/>
          </w:tcPr>
          <w:p w14:paraId="267D13F9"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98,320</w:t>
            </w:r>
          </w:p>
        </w:tc>
        <w:tc>
          <w:tcPr>
            <w:tcW w:w="1452" w:type="dxa"/>
            <w:vAlign w:val="center"/>
          </w:tcPr>
          <w:p w14:paraId="2773F799"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96,536</w:t>
            </w:r>
          </w:p>
        </w:tc>
        <w:tc>
          <w:tcPr>
            <w:tcW w:w="1451" w:type="dxa"/>
            <w:vAlign w:val="center"/>
          </w:tcPr>
          <w:p w14:paraId="26EE6EA4"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-14.13%</w:t>
            </w:r>
          </w:p>
        </w:tc>
        <w:tc>
          <w:tcPr>
            <w:tcW w:w="1451" w:type="dxa"/>
            <w:vAlign w:val="center"/>
          </w:tcPr>
          <w:p w14:paraId="24175D0D"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-1.81%</w:t>
            </w:r>
          </w:p>
        </w:tc>
      </w:tr>
      <w:tr w:rsidR="0090580F" w:rsidRPr="0090580F" w14:paraId="74BBD3C9" w14:textId="77777777" w:rsidTr="000525D5">
        <w:trPr>
          <w:trHeight w:val="340"/>
        </w:trPr>
        <w:tc>
          <w:tcPr>
            <w:tcW w:w="2660" w:type="dxa"/>
            <w:vAlign w:val="center"/>
          </w:tcPr>
          <w:p w14:paraId="170B722F"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color w:val="000000" w:themeColor="text1"/>
                <w:sz w:val="20"/>
                <w:szCs w:val="20"/>
              </w:rPr>
            </w:pPr>
            <w:r w:rsidRPr="0090580F">
              <w:rPr>
                <w:rFonts w:cs="Arial"/>
                <w:color w:val="000000" w:themeColor="text1"/>
                <w:sz w:val="20"/>
                <w:szCs w:val="20"/>
              </w:rPr>
              <w:t xml:space="preserve">Actual Intensity Ratio </w:t>
            </w:r>
          </w:p>
          <w:p w14:paraId="2D282375"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(kgCO2e / Kilometre)</w:t>
            </w:r>
          </w:p>
        </w:tc>
        <w:tc>
          <w:tcPr>
            <w:tcW w:w="1451" w:type="dxa"/>
            <w:vAlign w:val="center"/>
          </w:tcPr>
          <w:p w14:paraId="77E503B0"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1.496</w:t>
            </w:r>
          </w:p>
        </w:tc>
        <w:tc>
          <w:tcPr>
            <w:tcW w:w="1451" w:type="dxa"/>
            <w:vAlign w:val="center"/>
          </w:tcPr>
          <w:p w14:paraId="27CB5C04"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1.393</w:t>
            </w:r>
          </w:p>
        </w:tc>
        <w:tc>
          <w:tcPr>
            <w:tcW w:w="1452" w:type="dxa"/>
            <w:vAlign w:val="center"/>
          </w:tcPr>
          <w:p w14:paraId="3F95E0A4"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1.346</w:t>
            </w:r>
          </w:p>
        </w:tc>
        <w:tc>
          <w:tcPr>
            <w:tcW w:w="1451" w:type="dxa"/>
            <w:vAlign w:val="center"/>
          </w:tcPr>
          <w:p w14:paraId="73D7CF96"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-9.98%</w:t>
            </w:r>
          </w:p>
        </w:tc>
        <w:tc>
          <w:tcPr>
            <w:tcW w:w="1451" w:type="dxa"/>
            <w:vAlign w:val="center"/>
          </w:tcPr>
          <w:p w14:paraId="3943AFCB"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-3.32%</w:t>
            </w:r>
          </w:p>
        </w:tc>
      </w:tr>
      <w:tr w:rsidR="0090580F" w:rsidRPr="0090580F" w14:paraId="35D917B3" w14:textId="77777777" w:rsidTr="000525D5">
        <w:trPr>
          <w:trHeight w:val="340"/>
        </w:trPr>
        <w:tc>
          <w:tcPr>
            <w:tcW w:w="2660" w:type="dxa"/>
            <w:vAlign w:val="center"/>
          </w:tcPr>
          <w:p w14:paraId="64B8CC70"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color w:val="000000" w:themeColor="text1"/>
                <w:sz w:val="20"/>
                <w:szCs w:val="20"/>
              </w:rPr>
            </w:pPr>
            <w:r w:rsidRPr="0090580F">
              <w:rPr>
                <w:rFonts w:cs="Arial"/>
                <w:color w:val="000000" w:themeColor="text1"/>
                <w:sz w:val="20"/>
                <w:szCs w:val="20"/>
              </w:rPr>
              <w:t xml:space="preserve">Normalised Intensity Ratio </w:t>
            </w:r>
          </w:p>
          <w:p w14:paraId="2087DFA6" w14:textId="77777777" w:rsidR="0090580F" w:rsidRPr="0090580F" w:rsidRDefault="0090580F" w:rsidP="000525D5">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0580F">
              <w:rPr>
                <w:rFonts w:cs="Arial"/>
                <w:color w:val="000000" w:themeColor="text1"/>
                <w:sz w:val="20"/>
                <w:szCs w:val="20"/>
              </w:rPr>
              <w:t>(kgCO2e / Kilometre)</w:t>
            </w:r>
          </w:p>
        </w:tc>
        <w:tc>
          <w:tcPr>
            <w:tcW w:w="1451" w:type="dxa"/>
            <w:vAlign w:val="center"/>
          </w:tcPr>
          <w:p w14:paraId="179B998E"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1.498</w:t>
            </w:r>
          </w:p>
        </w:tc>
        <w:tc>
          <w:tcPr>
            <w:tcW w:w="1451" w:type="dxa"/>
            <w:vAlign w:val="center"/>
          </w:tcPr>
          <w:p w14:paraId="475EA38B"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1.396</w:t>
            </w:r>
          </w:p>
        </w:tc>
        <w:tc>
          <w:tcPr>
            <w:tcW w:w="1452" w:type="dxa"/>
            <w:vAlign w:val="center"/>
          </w:tcPr>
          <w:p w14:paraId="14B4E5DD"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1.354</w:t>
            </w:r>
          </w:p>
        </w:tc>
        <w:tc>
          <w:tcPr>
            <w:tcW w:w="1451" w:type="dxa"/>
            <w:vAlign w:val="center"/>
          </w:tcPr>
          <w:p w14:paraId="7AE30501"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-9.64%</w:t>
            </w:r>
          </w:p>
        </w:tc>
        <w:tc>
          <w:tcPr>
            <w:tcW w:w="1451" w:type="dxa"/>
            <w:vAlign w:val="center"/>
          </w:tcPr>
          <w:p w14:paraId="724400A1" w14:textId="77777777" w:rsidR="0090580F" w:rsidRPr="0090580F" w:rsidRDefault="0090580F" w:rsidP="000525D5">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90580F">
              <w:rPr>
                <w:rFonts w:cs="Arial"/>
                <w:color w:val="000000" w:themeColor="text1"/>
                <w:sz w:val="20"/>
                <w:szCs w:val="20"/>
              </w:rPr>
              <w:t>-3.01%</w:t>
            </w:r>
          </w:p>
        </w:tc>
      </w:tr>
    </w:tbl>
    <w:p w14:paraId="713E19D6" w14:textId="5F332483" w:rsidR="0090580F" w:rsidRPr="0090580F" w:rsidRDefault="0090580F" w:rsidP="0090580F">
      <w:pPr>
        <w:rPr>
          <w:rFonts w:cs="Arial"/>
        </w:rPr>
      </w:pPr>
      <w:r w:rsidRPr="0090580F">
        <w:rPr>
          <w:rFonts w:cs="Arial"/>
        </w:rPr>
        <w:t xml:space="preserve">  </w:t>
      </w:r>
    </w:p>
    <w:p w14:paraId="319DE34D" w14:textId="77777777" w:rsidR="0090580F" w:rsidRDefault="0090580F" w:rsidP="0090580F">
      <w:pPr>
        <w:rPr>
          <w:rFonts w:cs="Arial"/>
          <w:color w:val="000000"/>
        </w:rPr>
      </w:pPr>
      <w:r w:rsidRPr="0090580F">
        <w:rPr>
          <w:rFonts w:cs="Arial"/>
          <w:color w:val="000000"/>
        </w:rPr>
        <w:t xml:space="preserve">There has been a decrease of 0.56% against the baseline energy consumption and a kilometre reduction in the region of 13.65% against the baseline. When comparing current year against the </w:t>
      </w:r>
      <w:r w:rsidRPr="0090580F">
        <w:rPr>
          <w:rFonts w:cs="Arial"/>
          <w:color w:val="000000"/>
        </w:rPr>
        <w:lastRenderedPageBreak/>
        <w:t>previous one, although kilometres have decreased by 1.92%, the CO2e emissions have increased by 0.11%.</w:t>
      </w:r>
    </w:p>
    <w:p w14:paraId="7A39A387" w14:textId="77777777" w:rsidR="0090580F" w:rsidRPr="0090580F" w:rsidRDefault="0090580F" w:rsidP="0090580F">
      <w:pPr>
        <w:rPr>
          <w:rFonts w:cs="Arial"/>
          <w:color w:val="000000" w:themeColor="text1"/>
        </w:rPr>
      </w:pPr>
    </w:p>
    <w:p w14:paraId="6C5E77CA" w14:textId="77777777" w:rsidR="0090580F" w:rsidRPr="0090580F" w:rsidRDefault="0090580F" w:rsidP="00FF49BF">
      <w:pPr>
        <w:pStyle w:val="Heading3"/>
      </w:pPr>
      <w:bookmarkStart w:id="135" w:name="_Toc213058567"/>
      <w:r w:rsidRPr="0090580F">
        <w:t>Energy Efficiency</w:t>
      </w:r>
      <w:bookmarkEnd w:id="135"/>
      <w:r w:rsidRPr="0090580F">
        <w:t xml:space="preserve"> </w:t>
      </w:r>
    </w:p>
    <w:p w14:paraId="7F266C0D" w14:textId="77777777" w:rsidR="0090580F" w:rsidRPr="0090580F" w:rsidRDefault="0090580F" w:rsidP="0090580F">
      <w:pPr>
        <w:rPr>
          <w:rFonts w:cs="Arial"/>
          <w:color w:val="000000" w:themeColor="text1"/>
        </w:rPr>
      </w:pPr>
      <w:r w:rsidRPr="0090580F">
        <w:rPr>
          <w:rFonts w:cs="Arial"/>
          <w:color w:val="000000" w:themeColor="text1"/>
        </w:rPr>
        <w:t xml:space="preserve">The Group is committed to reducing carbon emissions and has </w:t>
      </w:r>
      <w:proofErr w:type="gramStart"/>
      <w:r w:rsidRPr="0090580F">
        <w:rPr>
          <w:rFonts w:cs="Arial"/>
          <w:color w:val="000000" w:themeColor="text1"/>
        </w:rPr>
        <w:t>a number of</w:t>
      </w:r>
      <w:proofErr w:type="gramEnd"/>
      <w:r w:rsidRPr="0090580F">
        <w:rPr>
          <w:rFonts w:cs="Arial"/>
          <w:color w:val="000000" w:themeColor="text1"/>
        </w:rPr>
        <w:t xml:space="preserve"> energy savings actions underway across bus &amp; rail fleet, infrastructure and buildings.  </w:t>
      </w:r>
    </w:p>
    <w:p w14:paraId="000C2FAE" w14:textId="77777777" w:rsidR="0090580F" w:rsidRPr="0090580F" w:rsidRDefault="0090580F" w:rsidP="0090580F">
      <w:pPr>
        <w:rPr>
          <w:rFonts w:cs="Arial"/>
          <w:color w:val="000000" w:themeColor="text1"/>
        </w:rPr>
      </w:pPr>
      <w:r w:rsidRPr="0090580F">
        <w:rPr>
          <w:rFonts w:cs="Arial"/>
          <w:color w:val="000000" w:themeColor="text1"/>
        </w:rPr>
        <w:t xml:space="preserve"> </w:t>
      </w:r>
    </w:p>
    <w:p w14:paraId="6E8DCA8C" w14:textId="77777777" w:rsidR="0090580F" w:rsidRPr="0090580F" w:rsidRDefault="0090580F" w:rsidP="00FF49BF">
      <w:pPr>
        <w:pStyle w:val="Heading3"/>
      </w:pPr>
      <w:bookmarkStart w:id="136" w:name="_Toc213058568"/>
      <w:r w:rsidRPr="0090580F">
        <w:t>Methodology</w:t>
      </w:r>
      <w:bookmarkEnd w:id="136"/>
      <w:r w:rsidRPr="0090580F">
        <w:t xml:space="preserve"> </w:t>
      </w:r>
    </w:p>
    <w:p w14:paraId="50A060BC" w14:textId="77777777" w:rsidR="0090580F" w:rsidRPr="0090580F" w:rsidRDefault="0090580F" w:rsidP="0090580F">
      <w:pPr>
        <w:rPr>
          <w:rFonts w:cs="Arial"/>
          <w:color w:val="000000" w:themeColor="text1"/>
        </w:rPr>
      </w:pPr>
      <w:r w:rsidRPr="0090580F">
        <w:rPr>
          <w:rFonts w:cs="Arial"/>
          <w:b/>
          <w:bCs/>
          <w:color w:val="000000" w:themeColor="text1"/>
        </w:rPr>
        <w:t>Electricity -</w:t>
      </w:r>
      <w:r w:rsidRPr="0090580F">
        <w:rPr>
          <w:rFonts w:cs="Arial"/>
          <w:color w:val="000000" w:themeColor="text1"/>
        </w:rPr>
        <w:t xml:space="preserve"> Figures sourced from downloaded data from the supplier. Over 99% of the electricity consumed is via Half Hourly Meters.  </w:t>
      </w:r>
    </w:p>
    <w:p w14:paraId="33ABE7C9" w14:textId="77777777" w:rsidR="0090580F" w:rsidRPr="0090580F" w:rsidRDefault="0090580F" w:rsidP="0090580F">
      <w:pPr>
        <w:rPr>
          <w:rFonts w:cs="Arial"/>
          <w:color w:val="000000" w:themeColor="text1"/>
        </w:rPr>
      </w:pPr>
    </w:p>
    <w:p w14:paraId="64E7DB8A" w14:textId="77777777" w:rsidR="0090580F" w:rsidRPr="0090580F" w:rsidRDefault="0090580F" w:rsidP="0090580F">
      <w:pPr>
        <w:rPr>
          <w:rFonts w:cs="Arial"/>
          <w:color w:val="000000" w:themeColor="text1"/>
        </w:rPr>
      </w:pPr>
      <w:r w:rsidRPr="0090580F">
        <w:rPr>
          <w:rFonts w:cs="Arial"/>
          <w:b/>
          <w:bCs/>
          <w:color w:val="000000" w:themeColor="text1"/>
        </w:rPr>
        <w:t xml:space="preserve">Gas - </w:t>
      </w:r>
      <w:r w:rsidRPr="0090580F">
        <w:rPr>
          <w:rFonts w:cs="Arial"/>
          <w:color w:val="000000" w:themeColor="text1"/>
        </w:rPr>
        <w:t xml:space="preserve">Figures sourced from downloaded data from the supplier. 100% of the gas consumed is via Half Hourly Meters.  </w:t>
      </w:r>
    </w:p>
    <w:p w14:paraId="2DDE2EF3" w14:textId="77777777" w:rsidR="0090580F" w:rsidRPr="0090580F" w:rsidRDefault="0090580F" w:rsidP="0090580F">
      <w:pPr>
        <w:rPr>
          <w:rFonts w:cs="Arial"/>
          <w:color w:val="000000" w:themeColor="text1"/>
        </w:rPr>
      </w:pPr>
    </w:p>
    <w:p w14:paraId="3FBBF6BF" w14:textId="77777777" w:rsidR="0090580F" w:rsidRPr="0090580F" w:rsidRDefault="0090580F" w:rsidP="0090580F">
      <w:pPr>
        <w:rPr>
          <w:rFonts w:cs="Arial"/>
          <w:color w:val="000000" w:themeColor="text1"/>
        </w:rPr>
      </w:pPr>
      <w:r w:rsidRPr="0090580F">
        <w:rPr>
          <w:rFonts w:cs="Arial"/>
          <w:b/>
          <w:bCs/>
          <w:color w:val="000000" w:themeColor="text1"/>
        </w:rPr>
        <w:t xml:space="preserve">Oil - </w:t>
      </w:r>
      <w:r w:rsidRPr="0090580F">
        <w:rPr>
          <w:rFonts w:cs="Arial"/>
          <w:color w:val="000000" w:themeColor="text1"/>
        </w:rPr>
        <w:t xml:space="preserve">Oil delivery information is detailed within a central database in relation to site, quantity and date.  </w:t>
      </w:r>
    </w:p>
    <w:p w14:paraId="28F5C864" w14:textId="77777777" w:rsidR="0090580F" w:rsidRPr="0090580F" w:rsidRDefault="0090580F" w:rsidP="0090580F">
      <w:pPr>
        <w:rPr>
          <w:rFonts w:cs="Arial"/>
          <w:color w:val="000000" w:themeColor="text1"/>
        </w:rPr>
      </w:pPr>
    </w:p>
    <w:p w14:paraId="78157758" w14:textId="77777777" w:rsidR="0090580F" w:rsidRPr="0090580F" w:rsidRDefault="0090580F" w:rsidP="0090580F">
      <w:pPr>
        <w:rPr>
          <w:rFonts w:cs="Arial"/>
          <w:color w:val="000000" w:themeColor="text1"/>
        </w:rPr>
      </w:pPr>
      <w:r w:rsidRPr="0090580F">
        <w:rPr>
          <w:rFonts w:cs="Arial"/>
          <w:b/>
          <w:bCs/>
          <w:color w:val="000000" w:themeColor="text1"/>
        </w:rPr>
        <w:t xml:space="preserve">Vehicle Fuel - </w:t>
      </w:r>
      <w:r w:rsidRPr="0090580F">
        <w:rPr>
          <w:rFonts w:cs="Arial"/>
          <w:color w:val="000000" w:themeColor="text1"/>
        </w:rPr>
        <w:t xml:space="preserve">Vehicle Fuel information is detailed within a central database (Fuel Fleet Report) in relation to site (delivery), vehicle no (refuelling), quantity and date.  </w:t>
      </w:r>
    </w:p>
    <w:p w14:paraId="6A90750F" w14:textId="77777777" w:rsidR="0090580F" w:rsidRPr="0090580F" w:rsidRDefault="0090580F" w:rsidP="0090580F">
      <w:pPr>
        <w:rPr>
          <w:rFonts w:cs="Arial"/>
          <w:color w:val="000000" w:themeColor="text1"/>
        </w:rPr>
      </w:pPr>
    </w:p>
    <w:p w14:paraId="42E7B7A9" w14:textId="77777777" w:rsidR="0090580F" w:rsidRPr="0090580F" w:rsidRDefault="0090580F" w:rsidP="0090580F">
      <w:pPr>
        <w:rPr>
          <w:rFonts w:cs="Arial"/>
          <w:color w:val="000000" w:themeColor="text1"/>
        </w:rPr>
      </w:pPr>
      <w:r w:rsidRPr="0090580F">
        <w:rPr>
          <w:rFonts w:cs="Arial"/>
          <w:b/>
          <w:bCs/>
          <w:color w:val="000000" w:themeColor="text1"/>
        </w:rPr>
        <w:t xml:space="preserve">Emissions Conversion Factors - </w:t>
      </w:r>
      <w:r w:rsidRPr="0090580F">
        <w:rPr>
          <w:rFonts w:cs="Arial"/>
          <w:color w:val="000000" w:themeColor="text1"/>
        </w:rPr>
        <w:t xml:space="preserve">The emissions conversion factors have been sourced for each respective year via the UK Government GHG Conversion Factors for Company Reporting. </w:t>
      </w:r>
    </w:p>
    <w:p w14:paraId="4E7DA7DC" w14:textId="77777777" w:rsidR="0090580F" w:rsidRPr="0090580F" w:rsidRDefault="0090580F" w:rsidP="0090580F">
      <w:pPr>
        <w:rPr>
          <w:rFonts w:cs="Arial"/>
          <w:color w:val="000000" w:themeColor="text1"/>
        </w:rPr>
      </w:pPr>
    </w:p>
    <w:p w14:paraId="459D781E" w14:textId="77777777" w:rsidR="0090580F" w:rsidRPr="0090580F" w:rsidRDefault="0090580F" w:rsidP="0090580F">
      <w:pPr>
        <w:rPr>
          <w:rFonts w:cs="Arial"/>
          <w:color w:val="000000" w:themeColor="text1"/>
        </w:rPr>
      </w:pPr>
      <w:r w:rsidRPr="0090580F">
        <w:rPr>
          <w:rFonts w:cs="Arial"/>
          <w:b/>
          <w:bCs/>
          <w:color w:val="000000" w:themeColor="text1"/>
        </w:rPr>
        <w:t xml:space="preserve">Normalisation - </w:t>
      </w:r>
      <w:r w:rsidRPr="0090580F">
        <w:rPr>
          <w:rFonts w:cs="Arial"/>
          <w:color w:val="000000" w:themeColor="text1"/>
        </w:rPr>
        <w:t xml:space="preserve">Normalisation of thermal related fuel in compliance with CIBSE TM41. </w:t>
      </w:r>
    </w:p>
    <w:p w14:paraId="4515DE88" w14:textId="77777777" w:rsidR="0090580F" w:rsidRPr="0090580F" w:rsidRDefault="0090580F" w:rsidP="0090580F">
      <w:pPr>
        <w:rPr>
          <w:rFonts w:cs="Arial"/>
          <w:color w:val="000000" w:themeColor="text1"/>
        </w:rPr>
      </w:pPr>
    </w:p>
    <w:p w14:paraId="7306D3C1" w14:textId="77777777" w:rsidR="0090580F" w:rsidRPr="0090580F" w:rsidRDefault="0090580F" w:rsidP="0090580F">
      <w:pPr>
        <w:rPr>
          <w:rFonts w:cs="Arial"/>
          <w:color w:val="000000" w:themeColor="text1"/>
        </w:rPr>
      </w:pPr>
      <w:r w:rsidRPr="0090580F">
        <w:rPr>
          <w:rFonts w:cs="Arial"/>
          <w:b/>
          <w:bCs/>
          <w:color w:val="000000" w:themeColor="text1"/>
        </w:rPr>
        <w:t xml:space="preserve">Degree Day - </w:t>
      </w:r>
      <w:r w:rsidRPr="0090580F">
        <w:rPr>
          <w:rFonts w:cs="Arial"/>
          <w:color w:val="000000" w:themeColor="text1"/>
        </w:rPr>
        <w:t xml:space="preserve">Heating Degree Day data sourced from degreedays.net.  </w:t>
      </w:r>
    </w:p>
    <w:p w14:paraId="67F696D6" w14:textId="77777777" w:rsidR="0090580F" w:rsidRPr="0090580F" w:rsidRDefault="0090580F" w:rsidP="0090580F">
      <w:pPr>
        <w:rPr>
          <w:rFonts w:cs="Arial"/>
          <w:color w:val="000000" w:themeColor="text1"/>
        </w:rPr>
      </w:pPr>
    </w:p>
    <w:p w14:paraId="7A057604" w14:textId="77777777" w:rsidR="0090580F" w:rsidRPr="0090580F" w:rsidRDefault="0090580F" w:rsidP="00FF49BF">
      <w:pPr>
        <w:pStyle w:val="Heading3"/>
      </w:pPr>
      <w:bookmarkStart w:id="137" w:name="_Toc213058569"/>
      <w:r w:rsidRPr="0090580F">
        <w:t>S172(1) Compliance Statement</w:t>
      </w:r>
      <w:bookmarkEnd w:id="137"/>
    </w:p>
    <w:p w14:paraId="3E8D7555" w14:textId="77777777" w:rsidR="0090580F" w:rsidRPr="0090580F" w:rsidRDefault="0090580F" w:rsidP="0090580F">
      <w:pPr>
        <w:rPr>
          <w:rFonts w:cs="Arial"/>
          <w:color w:val="000000" w:themeColor="text1"/>
        </w:rPr>
      </w:pPr>
      <w:r w:rsidRPr="0090580F">
        <w:rPr>
          <w:rFonts w:cs="Arial"/>
          <w:color w:val="000000" w:themeColor="text1"/>
        </w:rPr>
        <w:t xml:space="preserve">The company complies with section 172(1) of the Companies Act 2006 through engagement with its various stakeholders. The Company’s strategy has been informed </w:t>
      </w:r>
      <w:proofErr w:type="gramStart"/>
      <w:r w:rsidRPr="0090580F">
        <w:rPr>
          <w:rFonts w:cs="Arial"/>
          <w:color w:val="000000" w:themeColor="text1"/>
        </w:rPr>
        <w:t>by</w:t>
      </w:r>
      <w:proofErr w:type="gramEnd"/>
      <w:r w:rsidRPr="0090580F">
        <w:rPr>
          <w:rFonts w:cs="Arial"/>
          <w:color w:val="000000" w:themeColor="text1"/>
        </w:rPr>
        <w:t xml:space="preserve"> and its implementation continues to be informed by interaction with stakeholders. It is the intention of the Company to act responsibly towards its stakeholders.</w:t>
      </w:r>
    </w:p>
    <w:p w14:paraId="53DB1DB6" w14:textId="77777777" w:rsidR="0090580F" w:rsidRPr="0090580F" w:rsidRDefault="0090580F" w:rsidP="0090580F">
      <w:pPr>
        <w:rPr>
          <w:rFonts w:cs="Arial"/>
          <w:color w:val="000000" w:themeColor="text1"/>
        </w:rPr>
      </w:pPr>
    </w:p>
    <w:p w14:paraId="31B598A2" w14:textId="77777777" w:rsidR="00FF49BF" w:rsidRDefault="00FF49BF">
      <w:pPr>
        <w:spacing w:line="240" w:lineRule="auto"/>
        <w:rPr>
          <w:rFonts w:cs="Arial"/>
          <w:b/>
          <w:bCs/>
          <w:color w:val="000000" w:themeColor="text1"/>
        </w:rPr>
      </w:pPr>
      <w:r>
        <w:rPr>
          <w:rFonts w:cs="Arial"/>
          <w:b/>
          <w:bCs/>
          <w:color w:val="000000" w:themeColor="text1"/>
        </w:rPr>
        <w:br w:type="page"/>
      </w:r>
    </w:p>
    <w:p w14:paraId="180FB52C" w14:textId="744FBA93" w:rsidR="0090580F" w:rsidRPr="0090580F" w:rsidRDefault="0090580F" w:rsidP="00FF49BF">
      <w:pPr>
        <w:pStyle w:val="Heading3"/>
      </w:pPr>
      <w:bookmarkStart w:id="138" w:name="_Toc213058570"/>
      <w:r w:rsidRPr="0090580F">
        <w:lastRenderedPageBreak/>
        <w:t>Whistleblowing / Fraud Reporting</w:t>
      </w:r>
      <w:bookmarkEnd w:id="138"/>
    </w:p>
    <w:p w14:paraId="2DA61B99" w14:textId="77777777" w:rsidR="0090580F" w:rsidRPr="0090580F" w:rsidRDefault="0090580F" w:rsidP="0090580F">
      <w:pPr>
        <w:rPr>
          <w:rFonts w:cs="Arial"/>
          <w:color w:val="000000" w:themeColor="text1"/>
        </w:rPr>
      </w:pPr>
      <w:r w:rsidRPr="0090580F">
        <w:rPr>
          <w:rFonts w:cs="Arial"/>
          <w:color w:val="000000" w:themeColor="text1"/>
        </w:rPr>
        <w:t>The Group’s whistleblowing procedures ensure that arrangements are in place to enable colleagues, suppliers and service providers to raise concerns about possible improprieties on a confidential basis. Whistleblowing events are monitored by the Audit and Risk Committee.</w:t>
      </w:r>
    </w:p>
    <w:p w14:paraId="587D826A" w14:textId="77777777" w:rsidR="0090580F" w:rsidRPr="0090580F" w:rsidRDefault="0090580F" w:rsidP="0090580F">
      <w:pPr>
        <w:rPr>
          <w:rFonts w:cs="Arial"/>
          <w:color w:val="000000" w:themeColor="text1"/>
        </w:rPr>
      </w:pPr>
    </w:p>
    <w:p w14:paraId="6201016F" w14:textId="77777777" w:rsidR="0090580F" w:rsidRPr="0090580F" w:rsidRDefault="0090580F" w:rsidP="00FF49BF">
      <w:pPr>
        <w:pStyle w:val="Heading3"/>
      </w:pPr>
      <w:bookmarkStart w:id="139" w:name="_Toc213058571"/>
      <w:r w:rsidRPr="0090580F">
        <w:t>Disclosure of Information to Auditor</w:t>
      </w:r>
      <w:bookmarkEnd w:id="139"/>
    </w:p>
    <w:p w14:paraId="5BA0F2DD" w14:textId="77777777" w:rsidR="0090580F" w:rsidRPr="0090580F" w:rsidRDefault="0090580F" w:rsidP="0090580F">
      <w:pPr>
        <w:rPr>
          <w:rFonts w:cs="Arial"/>
          <w:color w:val="000000" w:themeColor="text1"/>
        </w:rPr>
      </w:pPr>
      <w:r w:rsidRPr="0090580F">
        <w:rPr>
          <w:rFonts w:cs="Arial"/>
          <w:color w:val="000000" w:themeColor="text1"/>
        </w:rPr>
        <w:t xml:space="preserve">Each of the persons who is a </w:t>
      </w:r>
      <w:proofErr w:type="gramStart"/>
      <w:r w:rsidRPr="0090580F">
        <w:rPr>
          <w:rFonts w:cs="Arial"/>
          <w:color w:val="000000" w:themeColor="text1"/>
        </w:rPr>
        <w:t>Director</w:t>
      </w:r>
      <w:proofErr w:type="gramEnd"/>
      <w:r w:rsidRPr="0090580F">
        <w:rPr>
          <w:rFonts w:cs="Arial"/>
          <w:color w:val="000000" w:themeColor="text1"/>
        </w:rPr>
        <w:t xml:space="preserve"> at the date of approval of this annual report confirms that:</w:t>
      </w:r>
    </w:p>
    <w:p w14:paraId="4891E592" w14:textId="77777777" w:rsidR="0090580F" w:rsidRPr="0090580F" w:rsidRDefault="0090580F" w:rsidP="0090580F">
      <w:pPr>
        <w:rPr>
          <w:rFonts w:cs="Arial"/>
          <w:color w:val="000000" w:themeColor="text1"/>
        </w:rPr>
      </w:pPr>
    </w:p>
    <w:p w14:paraId="2020F15A" w14:textId="060EE37A" w:rsidR="0090580F" w:rsidRPr="00035A0B" w:rsidRDefault="0090580F" w:rsidP="00035A0B">
      <w:pPr>
        <w:pStyle w:val="ListParagraph"/>
        <w:numPr>
          <w:ilvl w:val="0"/>
          <w:numId w:val="56"/>
        </w:numPr>
        <w:rPr>
          <w:rFonts w:cs="Arial"/>
          <w:color w:val="000000" w:themeColor="text1"/>
        </w:rPr>
      </w:pPr>
      <w:r w:rsidRPr="00035A0B">
        <w:rPr>
          <w:rFonts w:cs="Arial"/>
          <w:color w:val="000000" w:themeColor="text1"/>
        </w:rPr>
        <w:t>so far as the Director is aware, there is no relevant audit information of which the Company’s auditor is unaware; and</w:t>
      </w:r>
    </w:p>
    <w:p w14:paraId="2AD7BEF9" w14:textId="4A75035D" w:rsidR="0090580F" w:rsidRPr="00035A0B" w:rsidRDefault="0090580F" w:rsidP="00035A0B">
      <w:pPr>
        <w:pStyle w:val="ListParagraph"/>
        <w:numPr>
          <w:ilvl w:val="0"/>
          <w:numId w:val="56"/>
        </w:numPr>
        <w:rPr>
          <w:rFonts w:cs="Arial"/>
          <w:color w:val="000000" w:themeColor="text1"/>
        </w:rPr>
      </w:pPr>
      <w:r w:rsidRPr="00035A0B">
        <w:rPr>
          <w:rFonts w:cs="Arial"/>
          <w:color w:val="000000" w:themeColor="text1"/>
        </w:rPr>
        <w:t xml:space="preserve">the Director has taken all the steps that he/she ought to </w:t>
      </w:r>
      <w:r w:rsidRPr="00035A0B">
        <w:rPr>
          <w:rFonts w:cs="Arial"/>
          <w:color w:val="000000" w:themeColor="text1"/>
        </w:rPr>
        <w:tab/>
      </w:r>
      <w:r w:rsidRPr="00035A0B">
        <w:rPr>
          <w:rFonts w:cs="Arial"/>
          <w:color w:val="000000" w:themeColor="text1"/>
        </w:rPr>
        <w:tab/>
      </w:r>
      <w:r w:rsidRPr="00035A0B">
        <w:rPr>
          <w:rFonts w:cs="Arial"/>
          <w:color w:val="000000" w:themeColor="text1"/>
        </w:rPr>
        <w:br/>
        <w:t xml:space="preserve">have taken as a </w:t>
      </w:r>
      <w:proofErr w:type="gramStart"/>
      <w:r w:rsidRPr="00035A0B">
        <w:rPr>
          <w:rFonts w:cs="Arial"/>
          <w:color w:val="000000" w:themeColor="text1"/>
        </w:rPr>
        <w:t>Director</w:t>
      </w:r>
      <w:proofErr w:type="gramEnd"/>
      <w:r w:rsidRPr="00035A0B">
        <w:rPr>
          <w:rFonts w:cs="Arial"/>
          <w:color w:val="000000" w:themeColor="text1"/>
        </w:rPr>
        <w:t xml:space="preserve"> </w:t>
      </w:r>
      <w:proofErr w:type="gramStart"/>
      <w:r w:rsidRPr="00035A0B">
        <w:rPr>
          <w:rFonts w:cs="Arial"/>
          <w:color w:val="000000" w:themeColor="text1"/>
        </w:rPr>
        <w:t>in order to</w:t>
      </w:r>
      <w:proofErr w:type="gramEnd"/>
      <w:r w:rsidRPr="00035A0B">
        <w:rPr>
          <w:rFonts w:cs="Arial"/>
          <w:color w:val="000000" w:themeColor="text1"/>
        </w:rPr>
        <w:t xml:space="preserve"> make himself/herself aware of any relevant audit information and to establish that the Company’s auditor is aware of that information.</w:t>
      </w:r>
    </w:p>
    <w:p w14:paraId="31C60F8E" w14:textId="77777777" w:rsidR="0090580F" w:rsidRPr="0090580F" w:rsidRDefault="0090580F" w:rsidP="0090580F">
      <w:pPr>
        <w:rPr>
          <w:rFonts w:cs="Arial"/>
          <w:color w:val="000000" w:themeColor="text1"/>
        </w:rPr>
      </w:pPr>
    </w:p>
    <w:p w14:paraId="164F7DCD" w14:textId="77777777" w:rsidR="0090580F" w:rsidRPr="0090580F" w:rsidRDefault="0090580F" w:rsidP="0090580F">
      <w:pPr>
        <w:rPr>
          <w:rFonts w:cs="Arial"/>
          <w:color w:val="000000" w:themeColor="text1"/>
        </w:rPr>
      </w:pPr>
      <w:r w:rsidRPr="0090580F">
        <w:rPr>
          <w:rFonts w:cs="Arial"/>
          <w:color w:val="000000" w:themeColor="text1"/>
        </w:rPr>
        <w:t>The auditors, Grant Thornton (NI) LLP, will be proposed for reappointment in accordance with section 485 of the Companies Act 2006.</w:t>
      </w:r>
    </w:p>
    <w:p w14:paraId="0299D254" w14:textId="77777777" w:rsidR="0090580F" w:rsidRPr="0090580F" w:rsidRDefault="0090580F" w:rsidP="0090580F">
      <w:pPr>
        <w:rPr>
          <w:rFonts w:cs="Arial"/>
          <w:color w:val="000000" w:themeColor="text1"/>
        </w:rPr>
      </w:pPr>
    </w:p>
    <w:p w14:paraId="6226A479" w14:textId="77777777" w:rsidR="0090580F" w:rsidRPr="0090580F" w:rsidRDefault="0090580F" w:rsidP="00FF49BF">
      <w:pPr>
        <w:pStyle w:val="Heading3"/>
      </w:pPr>
      <w:bookmarkStart w:id="140" w:name="_Toc213058572"/>
      <w:r w:rsidRPr="0090580F">
        <w:t>Political Contributions</w:t>
      </w:r>
      <w:bookmarkEnd w:id="140"/>
    </w:p>
    <w:p w14:paraId="7F80AC7E" w14:textId="77777777" w:rsidR="0090580F" w:rsidRPr="0090580F" w:rsidRDefault="0090580F" w:rsidP="0090580F">
      <w:pPr>
        <w:rPr>
          <w:rFonts w:cs="Arial"/>
          <w:color w:val="000000" w:themeColor="text1"/>
        </w:rPr>
      </w:pPr>
      <w:r w:rsidRPr="0090580F">
        <w:rPr>
          <w:rFonts w:cs="Arial"/>
          <w:color w:val="000000" w:themeColor="text1"/>
        </w:rPr>
        <w:t>Neither the Company nor any of its subsidiaries made any political donations or incurred any political expenditure during the year (2024: £nil).</w:t>
      </w:r>
    </w:p>
    <w:p w14:paraId="06665C42" w14:textId="77777777" w:rsidR="0090580F" w:rsidRPr="0090580F" w:rsidRDefault="0090580F" w:rsidP="0090580F">
      <w:pPr>
        <w:rPr>
          <w:rFonts w:cs="Arial"/>
          <w:color w:val="000000" w:themeColor="text1"/>
        </w:rPr>
      </w:pPr>
    </w:p>
    <w:p w14:paraId="1FEDF478" w14:textId="77777777" w:rsidR="0090580F" w:rsidRPr="0090580F" w:rsidRDefault="0090580F" w:rsidP="00FF49BF">
      <w:pPr>
        <w:pStyle w:val="Heading3"/>
      </w:pPr>
      <w:bookmarkStart w:id="141" w:name="_Toc213058573"/>
      <w:r w:rsidRPr="0090580F">
        <w:t>Financial Instruments</w:t>
      </w:r>
      <w:bookmarkEnd w:id="141"/>
    </w:p>
    <w:p w14:paraId="06C864AE" w14:textId="77777777" w:rsidR="0090580F" w:rsidRPr="0090580F" w:rsidRDefault="0090580F" w:rsidP="0090580F">
      <w:pPr>
        <w:rPr>
          <w:rFonts w:cs="Arial"/>
          <w:color w:val="000000" w:themeColor="text1"/>
        </w:rPr>
      </w:pPr>
      <w:r w:rsidRPr="0090580F">
        <w:rPr>
          <w:rFonts w:cs="Arial"/>
          <w:color w:val="000000" w:themeColor="text1"/>
        </w:rPr>
        <w:t>The Group’s principal financial instruments comprise cash, trade debtors, trade creditors, fuel derivatives and certain other debtors and accruals. The main risks associated with these financial assets and liabilities are set out below.</w:t>
      </w:r>
    </w:p>
    <w:p w14:paraId="50CB2CD2" w14:textId="77777777" w:rsidR="0090580F" w:rsidRPr="0090580F" w:rsidRDefault="0090580F" w:rsidP="0090580F">
      <w:pPr>
        <w:rPr>
          <w:rFonts w:cs="Arial"/>
          <w:color w:val="000000" w:themeColor="text1"/>
        </w:rPr>
      </w:pPr>
    </w:p>
    <w:p w14:paraId="1D834451" w14:textId="77777777" w:rsidR="0090580F" w:rsidRPr="0090580F" w:rsidRDefault="0090580F" w:rsidP="00FF49BF">
      <w:pPr>
        <w:pStyle w:val="Heading3"/>
      </w:pPr>
      <w:bookmarkStart w:id="142" w:name="_Toc213058574"/>
      <w:r w:rsidRPr="0090580F">
        <w:t>Dividends</w:t>
      </w:r>
      <w:bookmarkEnd w:id="142"/>
    </w:p>
    <w:p w14:paraId="4FE08A9A" w14:textId="77777777" w:rsidR="0090580F" w:rsidRPr="0090580F" w:rsidRDefault="0090580F" w:rsidP="0090580F">
      <w:pPr>
        <w:rPr>
          <w:rFonts w:cs="Arial"/>
          <w:color w:val="000000" w:themeColor="text1"/>
        </w:rPr>
      </w:pPr>
      <w:r w:rsidRPr="0090580F">
        <w:rPr>
          <w:rFonts w:cs="Arial"/>
          <w:color w:val="000000" w:themeColor="text1"/>
        </w:rPr>
        <w:t>The payment of dividends is not applicable to a public corporation (2024: £nil).</w:t>
      </w:r>
    </w:p>
    <w:p w14:paraId="7432121B" w14:textId="77777777" w:rsidR="0090580F" w:rsidRPr="0090580F" w:rsidRDefault="0090580F" w:rsidP="0090580F">
      <w:pPr>
        <w:rPr>
          <w:rFonts w:cs="Arial"/>
          <w:color w:val="000000" w:themeColor="text1"/>
        </w:rPr>
      </w:pPr>
    </w:p>
    <w:p w14:paraId="3FED7FAF" w14:textId="77777777" w:rsidR="0090580F" w:rsidRPr="0090580F" w:rsidRDefault="0090580F" w:rsidP="00FF49BF">
      <w:pPr>
        <w:pStyle w:val="Heading3"/>
      </w:pPr>
      <w:bookmarkStart w:id="143" w:name="_Toc213058575"/>
      <w:r w:rsidRPr="0090580F">
        <w:t>Market Risk</w:t>
      </w:r>
      <w:bookmarkEnd w:id="143"/>
    </w:p>
    <w:p w14:paraId="15482961" w14:textId="77777777" w:rsidR="0090580F" w:rsidRPr="0090580F" w:rsidRDefault="0090580F" w:rsidP="0090580F">
      <w:pPr>
        <w:rPr>
          <w:rFonts w:cs="Arial"/>
          <w:color w:val="000000" w:themeColor="text1"/>
        </w:rPr>
      </w:pPr>
      <w:r w:rsidRPr="0090580F">
        <w:rPr>
          <w:rFonts w:cs="Arial"/>
          <w:color w:val="000000" w:themeColor="text1"/>
        </w:rPr>
        <w:t xml:space="preserve">Market risk is the risk that changes in market prices, such as commodity prices, interest rates and exchange rates will affect the Group’s financial performance and/or financial position. The objective of the Group’s management of market risk is to manage and control market risk exposures within acceptable parameters. </w:t>
      </w:r>
    </w:p>
    <w:p w14:paraId="03BF8C74" w14:textId="77777777" w:rsidR="0090580F" w:rsidRPr="0090580F" w:rsidRDefault="0090580F" w:rsidP="0090580F">
      <w:pPr>
        <w:rPr>
          <w:rFonts w:cs="Arial"/>
          <w:color w:val="000000"/>
        </w:rPr>
      </w:pPr>
    </w:p>
    <w:p w14:paraId="7DC555E5" w14:textId="77777777" w:rsidR="0090580F" w:rsidRPr="0090580F" w:rsidRDefault="0090580F" w:rsidP="0090580F"/>
    <w:p w14:paraId="7BA317DC" w14:textId="77777777" w:rsidR="00035A0B" w:rsidRPr="00035A0B" w:rsidRDefault="00035A0B" w:rsidP="00035A0B">
      <w:pPr>
        <w:rPr>
          <w:color w:val="000000" w:themeColor="text1"/>
        </w:rPr>
      </w:pPr>
      <w:r w:rsidRPr="00035A0B">
        <w:rPr>
          <w:color w:val="000000" w:themeColor="text1"/>
        </w:rPr>
        <w:t>The Group does not consider currency risk or interest rate risk to be material due to the low levels of foreign currency transactions.</w:t>
      </w:r>
    </w:p>
    <w:p w14:paraId="3AD7439D" w14:textId="77777777" w:rsidR="00035A0B" w:rsidRPr="00035A0B" w:rsidRDefault="00035A0B" w:rsidP="00035A0B">
      <w:pPr>
        <w:rPr>
          <w:color w:val="000000" w:themeColor="text1"/>
        </w:rPr>
      </w:pPr>
    </w:p>
    <w:p w14:paraId="6F49BF11" w14:textId="77777777" w:rsidR="00035A0B" w:rsidRPr="00035A0B" w:rsidRDefault="00035A0B" w:rsidP="00035A0B">
      <w:pPr>
        <w:rPr>
          <w:color w:val="000000" w:themeColor="text1"/>
        </w:rPr>
      </w:pPr>
      <w:r w:rsidRPr="00035A0B">
        <w:rPr>
          <w:color w:val="000000" w:themeColor="text1"/>
        </w:rPr>
        <w:t xml:space="preserve">The Group </w:t>
      </w:r>
      <w:proofErr w:type="gramStart"/>
      <w:r w:rsidRPr="00035A0B">
        <w:rPr>
          <w:color w:val="000000" w:themeColor="text1"/>
        </w:rPr>
        <w:t>enters into</w:t>
      </w:r>
      <w:proofErr w:type="gramEnd"/>
      <w:r w:rsidRPr="00035A0B">
        <w:rPr>
          <w:color w:val="000000" w:themeColor="text1"/>
        </w:rPr>
        <w:t xml:space="preserve"> derivative financial instruments in the ordinary course of business </w:t>
      </w:r>
      <w:proofErr w:type="gramStart"/>
      <w:r w:rsidRPr="00035A0B">
        <w:rPr>
          <w:color w:val="000000" w:themeColor="text1"/>
        </w:rPr>
        <w:t>in order to</w:t>
      </w:r>
      <w:proofErr w:type="gramEnd"/>
      <w:r w:rsidRPr="00035A0B">
        <w:rPr>
          <w:color w:val="000000" w:themeColor="text1"/>
        </w:rPr>
        <w:t xml:space="preserve"> manage market risk, in the form of fuel price risk. All such transactions are carried out within guidelines set by the Board. Market risk exposures are measured using sensitivity analysis. Under IFRS the derivative financial instruments are recognised in the Group’s financial statements at fair value with full disclosure at note 22 to the financial statements.</w:t>
      </w:r>
    </w:p>
    <w:p w14:paraId="7B33D1A1" w14:textId="77777777" w:rsidR="00035A0B" w:rsidRPr="00035A0B" w:rsidRDefault="00035A0B" w:rsidP="00035A0B">
      <w:pPr>
        <w:rPr>
          <w:color w:val="000000" w:themeColor="text1"/>
        </w:rPr>
      </w:pPr>
    </w:p>
    <w:p w14:paraId="0DFE0142" w14:textId="77777777" w:rsidR="00035A0B" w:rsidRPr="00035A0B" w:rsidRDefault="00035A0B" w:rsidP="00035A0B">
      <w:pPr>
        <w:rPr>
          <w:color w:val="000000" w:themeColor="text1"/>
        </w:rPr>
      </w:pPr>
      <w:r w:rsidRPr="00035A0B">
        <w:rPr>
          <w:color w:val="000000" w:themeColor="text1"/>
        </w:rPr>
        <w:t xml:space="preserve">There has been no change to the Group’s exposure to </w:t>
      </w:r>
      <w:r w:rsidRPr="00035A0B">
        <w:rPr>
          <w:color w:val="000000" w:themeColor="text1"/>
        </w:rPr>
        <w:br/>
        <w:t xml:space="preserve">market risks or the </w:t>
      </w:r>
      <w:proofErr w:type="gramStart"/>
      <w:r w:rsidRPr="00035A0B">
        <w:rPr>
          <w:color w:val="000000" w:themeColor="text1"/>
        </w:rPr>
        <w:t>manner in which</w:t>
      </w:r>
      <w:proofErr w:type="gramEnd"/>
      <w:r w:rsidRPr="00035A0B">
        <w:rPr>
          <w:color w:val="000000" w:themeColor="text1"/>
        </w:rPr>
        <w:t xml:space="preserve"> these risks are managed and measured.</w:t>
      </w:r>
    </w:p>
    <w:p w14:paraId="6482E684" w14:textId="77777777" w:rsidR="00035A0B" w:rsidRPr="00035A0B" w:rsidRDefault="00035A0B" w:rsidP="00035A0B">
      <w:pPr>
        <w:rPr>
          <w:color w:val="000000" w:themeColor="text1"/>
        </w:rPr>
      </w:pPr>
    </w:p>
    <w:p w14:paraId="0CD22FDF" w14:textId="77777777" w:rsidR="00035A0B" w:rsidRPr="00035A0B" w:rsidRDefault="00035A0B" w:rsidP="00FF49BF">
      <w:pPr>
        <w:pStyle w:val="Heading3"/>
      </w:pPr>
      <w:bookmarkStart w:id="144" w:name="_Toc213058576"/>
      <w:r w:rsidRPr="00035A0B">
        <w:t>Credit Risk</w:t>
      </w:r>
      <w:bookmarkEnd w:id="144"/>
    </w:p>
    <w:p w14:paraId="76833049" w14:textId="77777777" w:rsidR="00035A0B" w:rsidRPr="00035A0B" w:rsidRDefault="00035A0B" w:rsidP="00035A0B">
      <w:pPr>
        <w:rPr>
          <w:color w:val="000000" w:themeColor="text1"/>
        </w:rPr>
      </w:pPr>
      <w:r w:rsidRPr="00035A0B">
        <w:rPr>
          <w:color w:val="000000" w:themeColor="text1"/>
        </w:rPr>
        <w:t>Credit risk arises on trade debtors and certain other debtors, a significant element of which relate to amounts owed by UK government bodies and in relation to which the Directors consider the credit risk to be insignificant. Group and Company policy is aimed at minimising credit risk and requires that deferred terms are granted only to non-government customers who demonstrate an appropriate payment history and satisfy creditworthiness procedures.</w:t>
      </w:r>
    </w:p>
    <w:p w14:paraId="21E05C27" w14:textId="77777777" w:rsidR="00035A0B" w:rsidRPr="00035A0B" w:rsidRDefault="00035A0B" w:rsidP="00035A0B">
      <w:pPr>
        <w:rPr>
          <w:color w:val="000000" w:themeColor="text1"/>
        </w:rPr>
      </w:pPr>
    </w:p>
    <w:p w14:paraId="373C12C5" w14:textId="77777777" w:rsidR="00035A0B" w:rsidRPr="00035A0B" w:rsidRDefault="00035A0B" w:rsidP="00035A0B">
      <w:pPr>
        <w:rPr>
          <w:color w:val="000000" w:themeColor="text1"/>
        </w:rPr>
      </w:pPr>
      <w:r w:rsidRPr="00035A0B">
        <w:rPr>
          <w:color w:val="000000" w:themeColor="text1"/>
        </w:rPr>
        <w:t>Individual exposures are monitored with customers subject to credit limits to ensure that the Group exposure to bad debts is not significant. The credit risk on liquid funds and derivative financial instruments is limited because the counterparties are banks with high credit ratings assigned by international credit-rating agencies.</w:t>
      </w:r>
    </w:p>
    <w:p w14:paraId="16A8D7CD" w14:textId="77777777" w:rsidR="00035A0B" w:rsidRPr="00035A0B" w:rsidRDefault="00035A0B" w:rsidP="00035A0B">
      <w:pPr>
        <w:rPr>
          <w:color w:val="000000" w:themeColor="text1"/>
        </w:rPr>
      </w:pPr>
    </w:p>
    <w:p w14:paraId="666B8AD8" w14:textId="77777777" w:rsidR="00035A0B" w:rsidRPr="00035A0B" w:rsidRDefault="00035A0B" w:rsidP="00FF49BF">
      <w:pPr>
        <w:pStyle w:val="Heading3"/>
      </w:pPr>
      <w:bookmarkStart w:id="145" w:name="_Toc213058577"/>
      <w:r w:rsidRPr="00035A0B">
        <w:t>Liquidity Risk</w:t>
      </w:r>
      <w:bookmarkEnd w:id="145"/>
    </w:p>
    <w:p w14:paraId="46BA6339" w14:textId="77777777" w:rsidR="00035A0B" w:rsidRPr="00035A0B" w:rsidRDefault="00035A0B" w:rsidP="00035A0B">
      <w:pPr>
        <w:rPr>
          <w:color w:val="000000" w:themeColor="text1"/>
        </w:rPr>
      </w:pPr>
      <w:r w:rsidRPr="00035A0B">
        <w:rPr>
          <w:color w:val="000000" w:themeColor="text1"/>
        </w:rPr>
        <w:t>Liquidity risk arising in respect of the Company’s subsidiary undertakings is managed through the Group’s central purchasing and treasury function, with flexibility maintained by retaining surplus cash in readily accessible bank accounts and control of Group indebtedness. Further, significant capital projects are normally funded by grant aid, with such projects requiring approval by both the Board and Department.</w:t>
      </w:r>
    </w:p>
    <w:p w14:paraId="777D6AFA" w14:textId="77777777" w:rsidR="00035A0B" w:rsidRPr="00035A0B" w:rsidRDefault="00035A0B" w:rsidP="00035A0B">
      <w:pPr>
        <w:rPr>
          <w:color w:val="000000" w:themeColor="text1"/>
        </w:rPr>
      </w:pPr>
    </w:p>
    <w:p w14:paraId="217E00E4" w14:textId="77777777" w:rsidR="00035A0B" w:rsidRPr="00035A0B" w:rsidRDefault="00035A0B" w:rsidP="00FF49BF">
      <w:pPr>
        <w:pStyle w:val="Heading3"/>
      </w:pPr>
      <w:bookmarkStart w:id="146" w:name="_Toc213058578"/>
      <w:r w:rsidRPr="00035A0B">
        <w:lastRenderedPageBreak/>
        <w:t>Going Concern</w:t>
      </w:r>
      <w:bookmarkEnd w:id="146"/>
    </w:p>
    <w:p w14:paraId="79F4FF45" w14:textId="77777777" w:rsidR="00035A0B" w:rsidRPr="00035A0B" w:rsidRDefault="00035A0B" w:rsidP="00035A0B">
      <w:pPr>
        <w:rPr>
          <w:color w:val="000000" w:themeColor="text1"/>
        </w:rPr>
      </w:pPr>
      <w:r w:rsidRPr="00035A0B">
        <w:rPr>
          <w:color w:val="000000" w:themeColor="text1"/>
        </w:rPr>
        <w:t>The Directors acknowledge the guidance on the ‘Going Concern Basis of Accounting and Reporting on Solvency and Liquidity Risks 2016’ published by the Financial Reporting Council in April 2016, the  FRC guidance “Update for Audit Committees: Issues arising from Current Economic Conditions”, published in November 2010, and the June 2012 publication by the Panel of the Sharman Inquiry entitled ‘Final Report and Recommendations on Going Concern and Liquidity Risk’, the content of which was incorporated by the FRC into its September 2024 update to the UK Corporate Governance Code.</w:t>
      </w:r>
    </w:p>
    <w:p w14:paraId="46F1EF1B" w14:textId="77777777" w:rsidR="00035A0B" w:rsidRPr="00035A0B" w:rsidRDefault="00035A0B" w:rsidP="00035A0B">
      <w:pPr>
        <w:rPr>
          <w:color w:val="000000" w:themeColor="text1"/>
        </w:rPr>
      </w:pPr>
    </w:p>
    <w:p w14:paraId="4A6EAE02" w14:textId="77777777" w:rsidR="00035A0B" w:rsidRPr="00035A0B" w:rsidRDefault="00035A0B" w:rsidP="00035A0B">
      <w:pPr>
        <w:rPr>
          <w:color w:val="000000" w:themeColor="text1"/>
        </w:rPr>
      </w:pPr>
      <w:r w:rsidRPr="00035A0B">
        <w:rPr>
          <w:color w:val="000000" w:themeColor="text1"/>
        </w:rPr>
        <w:t xml:space="preserve">The Group’s business activities, together with the factors likely to affect its future development, performance and funding are set out in the Strategic Report.  Principal risks and uncertainties are referenced above and detailed in the Corporate Governance Statement on page 22. </w:t>
      </w:r>
    </w:p>
    <w:p w14:paraId="13165C58" w14:textId="77777777" w:rsidR="00035A0B" w:rsidRPr="00035A0B" w:rsidRDefault="00035A0B" w:rsidP="00035A0B">
      <w:pPr>
        <w:rPr>
          <w:color w:val="000000" w:themeColor="text1"/>
        </w:rPr>
      </w:pPr>
      <w:r w:rsidRPr="00035A0B">
        <w:rPr>
          <w:color w:val="000000" w:themeColor="text1"/>
        </w:rPr>
        <w:t>As a Public Corporation, whose legal status is not expected to change in the immediate future, the Group receives financial support from Government in the form of a Public Service Obligation, route subsidy and capital grant support. In addition, the Group receives recompense for the carriage of concession groups.</w:t>
      </w:r>
    </w:p>
    <w:p w14:paraId="5BE158BC" w14:textId="77777777" w:rsidR="00035A0B" w:rsidRPr="00035A0B" w:rsidRDefault="00035A0B" w:rsidP="00035A0B">
      <w:pPr>
        <w:rPr>
          <w:color w:val="000000" w:themeColor="text1"/>
        </w:rPr>
      </w:pPr>
    </w:p>
    <w:p w14:paraId="6F160A0C" w14:textId="77777777" w:rsidR="00035A0B" w:rsidRPr="00035A0B" w:rsidRDefault="00035A0B" w:rsidP="00035A0B">
      <w:pPr>
        <w:rPr>
          <w:color w:val="000000" w:themeColor="text1"/>
        </w:rPr>
      </w:pPr>
      <w:r w:rsidRPr="00035A0B">
        <w:rPr>
          <w:color w:val="000000" w:themeColor="text1"/>
        </w:rPr>
        <w:t xml:space="preserve">Due to the pressures on labour costs arising from increases in Employer’s National Insurance and National Minimum Wage combined with reduction in government funding available within the NI Assembly, the Group has budgeted to generate a trading loss for 2025/26.  It has received notification of indicative funding from the Minister and Department for Infrastructure and a commitment from </w:t>
      </w:r>
      <w:proofErr w:type="spellStart"/>
      <w:r w:rsidRPr="00035A0B">
        <w:rPr>
          <w:color w:val="000000" w:themeColor="text1"/>
        </w:rPr>
        <w:t>DfI</w:t>
      </w:r>
      <w:proofErr w:type="spellEnd"/>
      <w:r w:rsidRPr="00035A0B">
        <w:rPr>
          <w:color w:val="000000" w:themeColor="text1"/>
        </w:rPr>
        <w:t xml:space="preserve"> Permanent Secretary that it will continue to work with Translink, and with the Department of Finance and the NI Executive, to ensure that funding is in place for the 2025/26 financial year and to secure the provision of the public transport network in 2025/26.</w:t>
      </w:r>
    </w:p>
    <w:p w14:paraId="3B8C61D3" w14:textId="77777777" w:rsidR="00035A0B" w:rsidRPr="00035A0B" w:rsidRDefault="00035A0B" w:rsidP="00035A0B">
      <w:pPr>
        <w:rPr>
          <w:color w:val="000000" w:themeColor="text1"/>
        </w:rPr>
      </w:pPr>
    </w:p>
    <w:p w14:paraId="1391B20C" w14:textId="77777777" w:rsidR="00035A0B" w:rsidRPr="00035A0B" w:rsidRDefault="00035A0B" w:rsidP="00035A0B">
      <w:pPr>
        <w:rPr>
          <w:color w:val="000000" w:themeColor="text1"/>
        </w:rPr>
      </w:pPr>
      <w:r w:rsidRPr="00035A0B">
        <w:rPr>
          <w:color w:val="000000" w:themeColor="text1"/>
        </w:rPr>
        <w:t>The Consolidated Balance Sheet shows shareholders’ funds of £295.7m (2024: funds of £190.1m).</w:t>
      </w:r>
    </w:p>
    <w:p w14:paraId="57683A65" w14:textId="77777777" w:rsidR="00035A0B" w:rsidRPr="00035A0B" w:rsidRDefault="00035A0B" w:rsidP="00035A0B">
      <w:pPr>
        <w:rPr>
          <w:color w:val="000000" w:themeColor="text1"/>
        </w:rPr>
      </w:pPr>
    </w:p>
    <w:p w14:paraId="54950BD5" w14:textId="77777777" w:rsidR="00035A0B" w:rsidRPr="00035A0B" w:rsidRDefault="00035A0B" w:rsidP="00035A0B">
      <w:pPr>
        <w:rPr>
          <w:color w:val="000000" w:themeColor="text1"/>
        </w:rPr>
      </w:pPr>
      <w:r w:rsidRPr="00035A0B">
        <w:rPr>
          <w:color w:val="000000" w:themeColor="text1"/>
        </w:rPr>
        <w:t xml:space="preserve">The employee benefit obligation (pensions) in the balance sheet increased from £162.1m (surplus) in 2024 to £338.4m (surplus) in the current year, primarily because of an increase in the discount rate from 4.9% to 5.9%.  This is a long-term commitment and does not affect the ability of the Group to pay its debts as they fall due or the ability of the Group to operate as a going concern. Given the Group’s strategic objectives and future </w:t>
      </w:r>
      <w:proofErr w:type="gramStart"/>
      <w:r w:rsidRPr="00035A0B">
        <w:rPr>
          <w:color w:val="000000" w:themeColor="text1"/>
        </w:rPr>
        <w:t>developments</w:t>
      </w:r>
      <w:proofErr w:type="gramEnd"/>
      <w:r w:rsidRPr="00035A0B">
        <w:rPr>
          <w:color w:val="000000" w:themeColor="text1"/>
        </w:rPr>
        <w:t xml:space="preserve"> the Directors recognise that security of a long-term funding strategy is key. In April 2022 Translink and </w:t>
      </w:r>
      <w:proofErr w:type="spellStart"/>
      <w:r w:rsidRPr="00035A0B">
        <w:rPr>
          <w:color w:val="000000" w:themeColor="text1"/>
        </w:rPr>
        <w:t>DfI</w:t>
      </w:r>
      <w:proofErr w:type="spellEnd"/>
      <w:r w:rsidRPr="00035A0B">
        <w:rPr>
          <w:color w:val="000000" w:themeColor="text1"/>
        </w:rPr>
        <w:t xml:space="preserve"> signed a Public Service Agreement for the provision of public transport services for at least five years.</w:t>
      </w:r>
    </w:p>
    <w:p w14:paraId="74F3CDBB" w14:textId="77777777" w:rsidR="00035A0B" w:rsidRPr="00035A0B" w:rsidRDefault="00035A0B" w:rsidP="00035A0B">
      <w:pPr>
        <w:rPr>
          <w:color w:val="000000" w:themeColor="text1"/>
        </w:rPr>
      </w:pPr>
    </w:p>
    <w:p w14:paraId="48287997" w14:textId="77777777" w:rsidR="00035A0B" w:rsidRPr="00035A0B" w:rsidRDefault="00035A0B" w:rsidP="00035A0B">
      <w:pPr>
        <w:rPr>
          <w:color w:val="000000" w:themeColor="text1"/>
        </w:rPr>
      </w:pPr>
      <w:r w:rsidRPr="00035A0B">
        <w:rPr>
          <w:color w:val="000000" w:themeColor="text1"/>
        </w:rPr>
        <w:t>This agreement (with the Department for Infrastructure) includes a commitment that payment for these services will be maintained at such a level to ensure that as a minimum Translink is able to meet its going concern obligations. This has been a key consideration for the Directors in assessing whether the accounts can be prepared on a going concern basis. On this basis, the Directors believe that it is reasonable to assume that the Group has and will continue to have adequate resources to meet its anticipated liabilities as they fall due and to enable it to continue in operational existence for the foreseeable future. Accordingly, the Board has concluded that it is appropriate that the accounts are prepared on a going concern basis.</w:t>
      </w:r>
    </w:p>
    <w:p w14:paraId="53CD7D08" w14:textId="77777777" w:rsidR="00035A0B" w:rsidRPr="00035A0B" w:rsidRDefault="00035A0B" w:rsidP="00035A0B">
      <w:pPr>
        <w:rPr>
          <w:color w:val="000000" w:themeColor="text1"/>
        </w:rPr>
      </w:pPr>
    </w:p>
    <w:p w14:paraId="0D427A52" w14:textId="77777777" w:rsidR="00035A0B" w:rsidRPr="00035A0B" w:rsidRDefault="00035A0B" w:rsidP="00FF49BF">
      <w:pPr>
        <w:pStyle w:val="Heading3"/>
      </w:pPr>
      <w:bookmarkStart w:id="147" w:name="_Toc213058579"/>
      <w:r w:rsidRPr="00035A0B">
        <w:t>Post Balance Sheet Events</w:t>
      </w:r>
      <w:bookmarkEnd w:id="147"/>
    </w:p>
    <w:p w14:paraId="4A5B4A2B" w14:textId="77777777" w:rsidR="00035A0B" w:rsidRPr="00035A0B" w:rsidRDefault="00035A0B" w:rsidP="00035A0B">
      <w:pPr>
        <w:rPr>
          <w:color w:val="000000" w:themeColor="text1"/>
        </w:rPr>
      </w:pPr>
      <w:r w:rsidRPr="00035A0B">
        <w:rPr>
          <w:color w:val="000000" w:themeColor="text1"/>
        </w:rPr>
        <w:t xml:space="preserve">There have been no events </w:t>
      </w:r>
      <w:proofErr w:type="gramStart"/>
      <w:r w:rsidRPr="00035A0B">
        <w:rPr>
          <w:color w:val="000000" w:themeColor="text1"/>
        </w:rPr>
        <w:t>subsequent to</w:t>
      </w:r>
      <w:proofErr w:type="gramEnd"/>
      <w:r w:rsidRPr="00035A0B">
        <w:rPr>
          <w:color w:val="000000" w:themeColor="text1"/>
        </w:rPr>
        <w:t xml:space="preserve"> the balance sheet date, up to the date of this report, that requires adjustment to or disclosure in the financial statements.</w:t>
      </w:r>
    </w:p>
    <w:p w14:paraId="2B393E2C" w14:textId="77777777" w:rsidR="00035A0B" w:rsidRPr="00035A0B" w:rsidRDefault="00035A0B" w:rsidP="00035A0B">
      <w:pPr>
        <w:rPr>
          <w:color w:val="000000" w:themeColor="text1"/>
        </w:rPr>
      </w:pPr>
    </w:p>
    <w:p w14:paraId="4E12DCB3" w14:textId="77777777" w:rsidR="00035A0B" w:rsidRPr="00035A0B" w:rsidRDefault="00035A0B" w:rsidP="00035A0B">
      <w:pPr>
        <w:rPr>
          <w:color w:val="000000" w:themeColor="text1"/>
        </w:rPr>
      </w:pPr>
      <w:r w:rsidRPr="00035A0B">
        <w:rPr>
          <w:color w:val="000000" w:themeColor="text1"/>
        </w:rPr>
        <w:t>Approved by the Board of Directors on 18 June 2025 and signed on behalf of the Board:</w:t>
      </w:r>
    </w:p>
    <w:p w14:paraId="77F55D0B" w14:textId="77777777" w:rsidR="00035A0B" w:rsidRDefault="00035A0B" w:rsidP="00035A0B">
      <w:pPr>
        <w:rPr>
          <w:color w:val="000000" w:themeColor="text1"/>
        </w:rPr>
      </w:pPr>
    </w:p>
    <w:p w14:paraId="36B9BB37" w14:textId="63D4DB7E" w:rsidR="00035A0B" w:rsidRPr="00035A0B" w:rsidRDefault="00035A0B" w:rsidP="00035A0B">
      <w:pPr>
        <w:rPr>
          <w:color w:val="000000" w:themeColor="text1"/>
        </w:rPr>
      </w:pPr>
      <w:r w:rsidRPr="00035A0B">
        <w:rPr>
          <w:b/>
          <w:bCs/>
          <w:color w:val="000000" w:themeColor="text1"/>
        </w:rPr>
        <w:t>Mrs Priscilla Rooney</w:t>
      </w:r>
    </w:p>
    <w:p w14:paraId="74DFEFEF" w14:textId="0E4FF3F1" w:rsidR="00983B4F" w:rsidRDefault="00035A0B" w:rsidP="00035A0B">
      <w:pPr>
        <w:rPr>
          <w:color w:val="000000" w:themeColor="text1"/>
        </w:rPr>
      </w:pPr>
      <w:r w:rsidRPr="00035A0B">
        <w:rPr>
          <w:color w:val="000000" w:themeColor="text1"/>
        </w:rPr>
        <w:t>Company Secretary</w:t>
      </w:r>
    </w:p>
    <w:p w14:paraId="182F6EF7" w14:textId="77777777" w:rsidR="00F42CA4" w:rsidRPr="00F42CA4" w:rsidRDefault="00F42CA4" w:rsidP="00035A0B">
      <w:pPr>
        <w:rPr>
          <w:rFonts w:cs="Arial"/>
          <w:color w:val="000000" w:themeColor="text1"/>
        </w:rPr>
      </w:pPr>
    </w:p>
    <w:p w14:paraId="2E5C1928" w14:textId="77777777" w:rsidR="00F42CA4" w:rsidRDefault="00F42CA4">
      <w:pPr>
        <w:spacing w:line="240" w:lineRule="auto"/>
        <w:rPr>
          <w:rFonts w:cs="Arial"/>
          <w:b/>
          <w:bCs/>
          <w:color w:val="000000" w:themeColor="text1"/>
          <w:spacing w:val="9"/>
          <w:sz w:val="44"/>
          <w:szCs w:val="44"/>
        </w:rPr>
      </w:pPr>
      <w:r>
        <w:rPr>
          <w:rFonts w:cs="Arial"/>
          <w:color w:val="000000" w:themeColor="text1"/>
        </w:rPr>
        <w:br w:type="page"/>
      </w:r>
    </w:p>
    <w:p w14:paraId="5574888D" w14:textId="14056764" w:rsidR="00F42CA4" w:rsidRDefault="00F42CA4" w:rsidP="00FF49BF">
      <w:pPr>
        <w:pStyle w:val="Heading1"/>
      </w:pPr>
      <w:bookmarkStart w:id="148" w:name="_Toc213058580"/>
      <w:r w:rsidRPr="00F42CA4">
        <w:lastRenderedPageBreak/>
        <w:t xml:space="preserve">Statement of Directors’ Responsibilities </w:t>
      </w:r>
      <w:r w:rsidRPr="00F42CA4">
        <w:br/>
        <w:t xml:space="preserve">in Respect of the Directors’ Report and </w:t>
      </w:r>
      <w:r w:rsidRPr="00F42CA4">
        <w:br/>
        <w:t>the Financial Statements</w:t>
      </w:r>
      <w:bookmarkEnd w:id="148"/>
    </w:p>
    <w:p w14:paraId="1E9984C9" w14:textId="77777777" w:rsidR="00F42CA4" w:rsidRPr="00F42CA4" w:rsidRDefault="00F42CA4" w:rsidP="00F42CA4"/>
    <w:p w14:paraId="7FB4A8C8" w14:textId="77777777" w:rsidR="00F42CA4" w:rsidRPr="00F42CA4" w:rsidRDefault="00F42CA4" w:rsidP="00F42CA4">
      <w:r w:rsidRPr="00F42CA4">
        <w:t>The Directors are responsible for preparing the Directors’ report, Strategic report and the Group and Company financial statements in accordance with applicable law and regulations.</w:t>
      </w:r>
    </w:p>
    <w:p w14:paraId="50BC0667" w14:textId="77777777" w:rsidR="00F42CA4" w:rsidRPr="00F42CA4" w:rsidRDefault="00F42CA4" w:rsidP="00F42CA4">
      <w:pPr>
        <w:rPr>
          <w14:textOutline w14:w="9525" w14:cap="flat" w14:cmpd="sng" w14:algn="ctr">
            <w14:noFill/>
            <w14:prstDash w14:val="solid"/>
            <w14:round/>
          </w14:textOutline>
        </w:rPr>
      </w:pPr>
    </w:p>
    <w:p w14:paraId="584E8019"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 xml:space="preserve">The Companies Act 2006, as applied by the Transport Act (Northern Ireland) 1867, hereafter referred to as “the Companies Act 2006”, requires the Directors to prepare Group and Company financial statements for each financial year. Under that law they have elected to prepare the Group financial statements in accordance with international accounting standards in conformity with the requirements of the Companies Act 2006 and the Company financial statements in accordance with FRS 101 </w:t>
      </w:r>
      <w:r w:rsidRPr="00F42CA4">
        <w:rPr>
          <w:i/>
          <w:iCs/>
          <w14:textOutline w14:w="9525" w14:cap="flat" w14:cmpd="sng" w14:algn="ctr">
            <w14:noFill/>
            <w14:prstDash w14:val="solid"/>
            <w14:round/>
          </w14:textOutline>
        </w:rPr>
        <w:t>Reduced Disclosure Framework</w:t>
      </w:r>
      <w:r w:rsidRPr="00F42CA4">
        <w:rPr>
          <w14:textOutline w14:w="9525" w14:cap="flat" w14:cmpd="sng" w14:algn="ctr">
            <w14:noFill/>
            <w14:prstDash w14:val="solid"/>
            <w14:round/>
          </w14:textOutline>
        </w:rPr>
        <w:t xml:space="preserve"> and applicable law.</w:t>
      </w:r>
    </w:p>
    <w:p w14:paraId="56952163" w14:textId="77777777" w:rsidR="00F42CA4" w:rsidRPr="00F42CA4" w:rsidRDefault="00F42CA4" w:rsidP="00F42CA4">
      <w:pPr>
        <w:rPr>
          <w14:textOutline w14:w="9525" w14:cap="flat" w14:cmpd="sng" w14:algn="ctr">
            <w14:noFill/>
            <w14:prstDash w14:val="solid"/>
            <w14:round/>
          </w14:textOutline>
        </w:rPr>
      </w:pPr>
    </w:p>
    <w:p w14:paraId="322EB8CB"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 xml:space="preserve">Under Company law the Directors must not approve the financial statements unless they are satisfied that they give a true and fair view of the </w:t>
      </w:r>
      <w:proofErr w:type="gramStart"/>
      <w:r w:rsidRPr="00F42CA4">
        <w:rPr>
          <w14:textOutline w14:w="9525" w14:cap="flat" w14:cmpd="sng" w14:algn="ctr">
            <w14:noFill/>
            <w14:prstDash w14:val="solid"/>
            <w14:round/>
          </w14:textOutline>
        </w:rPr>
        <w:t>state of affairs</w:t>
      </w:r>
      <w:proofErr w:type="gramEnd"/>
      <w:r w:rsidRPr="00F42CA4">
        <w:rPr>
          <w14:textOutline w14:w="9525" w14:cap="flat" w14:cmpd="sng" w14:algn="ctr">
            <w14:noFill/>
            <w14:prstDash w14:val="solid"/>
            <w14:round/>
          </w14:textOutline>
        </w:rPr>
        <w:t xml:space="preserve"> of the Group and Company and of the Group’s profit or loss for that period. In preparing the Group and Company financial statements, the Directors are required to:</w:t>
      </w:r>
    </w:p>
    <w:p w14:paraId="457417D1" w14:textId="77777777" w:rsidR="00F42CA4" w:rsidRPr="00F42CA4" w:rsidRDefault="00F42CA4" w:rsidP="00F42CA4">
      <w:pPr>
        <w:rPr>
          <w14:textOutline w14:w="9525" w14:cap="flat" w14:cmpd="sng" w14:algn="ctr">
            <w14:noFill/>
            <w14:prstDash w14:val="solid"/>
            <w14:round/>
          </w14:textOutline>
        </w:rPr>
      </w:pPr>
    </w:p>
    <w:p w14:paraId="11C27F20" w14:textId="28F66F0C" w:rsidR="00F42CA4" w:rsidRPr="008F018A" w:rsidRDefault="00F42CA4" w:rsidP="008F018A">
      <w:pPr>
        <w:pStyle w:val="ListParagraph"/>
        <w:numPr>
          <w:ilvl w:val="0"/>
          <w:numId w:val="57"/>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select suitable accounting policies and then apply them </w:t>
      </w:r>
      <w:proofErr w:type="gramStart"/>
      <w:r w:rsidRPr="008F018A">
        <w:rPr>
          <w14:textOutline w14:w="9525" w14:cap="flat" w14:cmpd="sng" w14:algn="ctr">
            <w14:noFill/>
            <w14:prstDash w14:val="solid"/>
            <w14:round/>
          </w14:textOutline>
        </w:rPr>
        <w:t>consistently;</w:t>
      </w:r>
      <w:proofErr w:type="gramEnd"/>
    </w:p>
    <w:p w14:paraId="6D93AC10" w14:textId="14774DD3" w:rsidR="00F42CA4" w:rsidRPr="008F018A" w:rsidRDefault="00F42CA4" w:rsidP="008F018A">
      <w:pPr>
        <w:pStyle w:val="ListParagraph"/>
        <w:numPr>
          <w:ilvl w:val="0"/>
          <w:numId w:val="57"/>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make judgements and estimates that are reasonable and </w:t>
      </w:r>
      <w:proofErr w:type="gramStart"/>
      <w:r w:rsidRPr="008F018A">
        <w:rPr>
          <w14:textOutline w14:w="9525" w14:cap="flat" w14:cmpd="sng" w14:algn="ctr">
            <w14:noFill/>
            <w14:prstDash w14:val="solid"/>
            <w14:round/>
          </w14:textOutline>
        </w:rPr>
        <w:t>prudent;</w:t>
      </w:r>
      <w:proofErr w:type="gramEnd"/>
    </w:p>
    <w:p w14:paraId="553CDFEA" w14:textId="513E6C02" w:rsidR="00F42CA4" w:rsidRPr="008F018A" w:rsidRDefault="00F42CA4" w:rsidP="008F018A">
      <w:pPr>
        <w:pStyle w:val="ListParagraph"/>
        <w:numPr>
          <w:ilvl w:val="0"/>
          <w:numId w:val="57"/>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state whether applicable Accounting Standards have been followed, subject to any material departures disclosed and explained in the financial </w:t>
      </w:r>
      <w:proofErr w:type="gramStart"/>
      <w:r w:rsidRPr="008F018A">
        <w:rPr>
          <w14:textOutline w14:w="9525" w14:cap="flat" w14:cmpd="sng" w14:algn="ctr">
            <w14:noFill/>
            <w14:prstDash w14:val="solid"/>
            <w14:round/>
          </w14:textOutline>
        </w:rPr>
        <w:t>statements;</w:t>
      </w:r>
      <w:proofErr w:type="gramEnd"/>
      <w:r w:rsidRPr="008F018A">
        <w:rPr>
          <w14:textOutline w14:w="9525" w14:cap="flat" w14:cmpd="sng" w14:algn="ctr">
            <w14:noFill/>
            <w14:prstDash w14:val="solid"/>
            <w14:round/>
          </w14:textOutline>
        </w:rPr>
        <w:t xml:space="preserve"> </w:t>
      </w:r>
    </w:p>
    <w:p w14:paraId="1B6708D3" w14:textId="62C26BA1" w:rsidR="00F42CA4" w:rsidRPr="008F018A" w:rsidRDefault="00F42CA4" w:rsidP="008F018A">
      <w:pPr>
        <w:pStyle w:val="ListParagraph"/>
        <w:numPr>
          <w:ilvl w:val="0"/>
          <w:numId w:val="57"/>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assess the Group and Company’s ability to continue as a going concern, disclosing, as applicable, matters related to going concern; and</w:t>
      </w:r>
    </w:p>
    <w:p w14:paraId="5ACA40F2" w14:textId="57A7F6B3" w:rsidR="00F42CA4" w:rsidRPr="008F018A" w:rsidRDefault="00F42CA4" w:rsidP="008F018A">
      <w:pPr>
        <w:pStyle w:val="ListParagraph"/>
        <w:numPr>
          <w:ilvl w:val="0"/>
          <w:numId w:val="57"/>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use the going concern basis of accounting unless they either intend to liquidate the Group or Company or to cease operations or have no realistic alternative but to do so.</w:t>
      </w:r>
    </w:p>
    <w:p w14:paraId="1C2A69E5" w14:textId="77777777" w:rsidR="00F42CA4" w:rsidRPr="00F42CA4" w:rsidRDefault="00F42CA4" w:rsidP="00F42CA4">
      <w:pPr>
        <w:rPr>
          <w14:textOutline w14:w="9525" w14:cap="flat" w14:cmpd="sng" w14:algn="ctr">
            <w14:noFill/>
            <w14:prstDash w14:val="solid"/>
            <w14:round/>
          </w14:textOutline>
        </w:rPr>
      </w:pPr>
    </w:p>
    <w:p w14:paraId="222D31D6"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 xml:space="preserve">The Directors are responsible for keeping adequate accounting records that are sufficient to show and explain the Company’s transactions and disclose with reasonable accuracy at any time the financial position of the Company and enable them to ensure that its financial statements comply with the Companies Act 2006. They are responsible for such internal controls as they determine is </w:t>
      </w:r>
      <w:r w:rsidRPr="00F42CA4">
        <w:rPr>
          <w14:textOutline w14:w="9525" w14:cap="flat" w14:cmpd="sng" w14:algn="ctr">
            <w14:noFill/>
            <w14:prstDash w14:val="solid"/>
            <w14:round/>
          </w14:textOutline>
        </w:rPr>
        <w:lastRenderedPageBreak/>
        <w:t xml:space="preserve">necessary to enable the preparation of financial statements that are free from material misstatement, whether due to fraud or error, and have general responsibility for taking such steps as are reasonably open to them to safeguard the assets of the Group and to prevent and detect fraud and other irregularities. </w:t>
      </w:r>
    </w:p>
    <w:p w14:paraId="3ADDA8B2" w14:textId="77777777" w:rsidR="00F42CA4" w:rsidRPr="00F42CA4" w:rsidRDefault="00F42CA4" w:rsidP="00F42CA4">
      <w:pPr>
        <w:rPr>
          <w14:textOutline w14:w="9525" w14:cap="flat" w14:cmpd="sng" w14:algn="ctr">
            <w14:noFill/>
            <w14:prstDash w14:val="solid"/>
            <w14:round/>
          </w14:textOutline>
        </w:rPr>
      </w:pPr>
    </w:p>
    <w:p w14:paraId="649D9937"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The Directors are responsible for the maintenance and integrity of the corporate and financial information included on the Company’s website. Legislation in the UK governing the preparation and dissemination of financial statements may differ from legislation in other jurisdictions.</w:t>
      </w:r>
    </w:p>
    <w:p w14:paraId="0D0BCA0C" w14:textId="77777777" w:rsidR="00F42CA4" w:rsidRPr="00F42CA4" w:rsidRDefault="00F42CA4" w:rsidP="00F42CA4">
      <w:pPr>
        <w:rPr>
          <w14:textOutline w14:w="9525" w14:cap="flat" w14:cmpd="sng" w14:algn="ctr">
            <w14:noFill/>
            <w14:prstDash w14:val="solid"/>
            <w14:round/>
          </w14:textOutline>
        </w:rPr>
      </w:pPr>
    </w:p>
    <w:p w14:paraId="1852D387"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The Directors confirm that to the best of their knowledge:</w:t>
      </w:r>
    </w:p>
    <w:p w14:paraId="3C89991E" w14:textId="77777777" w:rsidR="00F42CA4" w:rsidRPr="00F42CA4" w:rsidRDefault="00F42CA4" w:rsidP="00F42CA4">
      <w:pPr>
        <w:rPr>
          <w14:textOutline w14:w="9525" w14:cap="flat" w14:cmpd="sng" w14:algn="ctr">
            <w14:noFill/>
            <w14:prstDash w14:val="solid"/>
            <w14:round/>
          </w14:textOutline>
        </w:rPr>
      </w:pPr>
    </w:p>
    <w:p w14:paraId="05C3DAC9" w14:textId="089D47FB" w:rsidR="00F42CA4" w:rsidRPr="008F018A" w:rsidRDefault="00F42CA4" w:rsidP="008F018A">
      <w:pPr>
        <w:pStyle w:val="ListParagraph"/>
        <w:numPr>
          <w:ilvl w:val="0"/>
          <w:numId w:val="58"/>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the financial statements, prepared in accordance with the relevant financial reporting framework, give a true and fair view of the assets, liabilities, financial position and profit or loss of the Compa </w:t>
      </w:r>
      <w:proofErr w:type="spellStart"/>
      <w:r w:rsidRPr="008F018A">
        <w:rPr>
          <w14:textOutline w14:w="9525" w14:cap="flat" w14:cmpd="sng" w14:algn="ctr">
            <w14:noFill/>
            <w14:prstDash w14:val="solid"/>
            <w14:round/>
          </w14:textOutline>
        </w:rPr>
        <w:t>ny</w:t>
      </w:r>
      <w:proofErr w:type="spellEnd"/>
      <w:r w:rsidRPr="008F018A">
        <w:rPr>
          <w14:textOutline w14:w="9525" w14:cap="flat" w14:cmpd="sng" w14:algn="ctr">
            <w14:noFill/>
            <w14:prstDash w14:val="solid"/>
            <w14:round/>
          </w14:textOutline>
        </w:rPr>
        <w:t xml:space="preserve"> and the undertakings included in the </w:t>
      </w:r>
      <w:proofErr w:type="gramStart"/>
      <w:r w:rsidRPr="008F018A">
        <w:rPr>
          <w14:textOutline w14:w="9525" w14:cap="flat" w14:cmpd="sng" w14:algn="ctr">
            <w14:noFill/>
            <w14:prstDash w14:val="solid"/>
            <w14:round/>
          </w14:textOutline>
        </w:rPr>
        <w:t>consolidation;</w:t>
      </w:r>
      <w:proofErr w:type="gramEnd"/>
      <w:r w:rsidRPr="008F018A">
        <w:rPr>
          <w14:textOutline w14:w="9525" w14:cap="flat" w14:cmpd="sng" w14:algn="ctr">
            <w14:noFill/>
            <w14:prstDash w14:val="solid"/>
            <w14:round/>
          </w14:textOutline>
        </w:rPr>
        <w:t xml:space="preserve"> </w:t>
      </w:r>
    </w:p>
    <w:p w14:paraId="45ACFE0D" w14:textId="14DF0B8D" w:rsidR="00F42CA4" w:rsidRPr="008F018A" w:rsidRDefault="00F42CA4" w:rsidP="008F018A">
      <w:pPr>
        <w:pStyle w:val="ListParagraph"/>
        <w:numPr>
          <w:ilvl w:val="0"/>
          <w:numId w:val="58"/>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The strategic report includes a fair review of the development and performance of the business and the position of the </w:t>
      </w:r>
      <w:proofErr w:type="gramStart"/>
      <w:r w:rsidRPr="008F018A">
        <w:rPr>
          <w14:textOutline w14:w="9525" w14:cap="flat" w14:cmpd="sng" w14:algn="ctr">
            <w14:noFill/>
            <w14:prstDash w14:val="solid"/>
            <w14:round/>
          </w14:textOutline>
        </w:rPr>
        <w:t>Company</w:t>
      </w:r>
      <w:proofErr w:type="gramEnd"/>
      <w:r w:rsidRPr="008F018A">
        <w:rPr>
          <w14:textOutline w14:w="9525" w14:cap="flat" w14:cmpd="sng" w14:algn="ctr">
            <w14:noFill/>
            <w14:prstDash w14:val="solid"/>
            <w14:round/>
          </w14:textOutline>
        </w:rPr>
        <w:t xml:space="preserve"> and the undertakings included in the consolidation taken as a whole, together with a description of the principal risks and uncertainties that they face; and</w:t>
      </w:r>
    </w:p>
    <w:p w14:paraId="189B18EF" w14:textId="4BCAEFDF" w:rsidR="00F42CA4" w:rsidRPr="008F018A" w:rsidRDefault="00F42CA4" w:rsidP="008F018A">
      <w:pPr>
        <w:pStyle w:val="ListParagraph"/>
        <w:numPr>
          <w:ilvl w:val="0"/>
          <w:numId w:val="58"/>
        </w:numPr>
        <w:rPr>
          <w14:textOutline w14:w="9525" w14:cap="flat" w14:cmpd="sng" w14:algn="ctr">
            <w14:noFill/>
            <w14:prstDash w14:val="solid"/>
            <w14:round/>
          </w14:textOutline>
        </w:rPr>
      </w:pPr>
      <w:r w:rsidRPr="008F018A">
        <w:rPr>
          <w14:textOutline w14:w="9525" w14:cap="flat" w14:cmpd="sng" w14:algn="ctr">
            <w14:noFill/>
            <w14:prstDash w14:val="solid"/>
            <w14:round/>
          </w14:textOutline>
        </w:rPr>
        <w:t xml:space="preserve">The annual report and financial statements, taken as a whole, are fair, balanced and understandable and provide the information necessary for shareholders to assess the Company’s position and performance, business model and strategy. </w:t>
      </w:r>
    </w:p>
    <w:p w14:paraId="111844FF" w14:textId="77777777" w:rsidR="00F42CA4" w:rsidRPr="00F42CA4" w:rsidRDefault="00F42CA4" w:rsidP="00F42CA4">
      <w:pPr>
        <w:rPr>
          <w14:textOutline w14:w="9525" w14:cap="flat" w14:cmpd="sng" w14:algn="ctr">
            <w14:noFill/>
            <w14:prstDash w14:val="solid"/>
            <w14:round/>
          </w14:textOutline>
        </w:rPr>
      </w:pPr>
    </w:p>
    <w:p w14:paraId="6B1B98A4" w14:textId="77777777" w:rsidR="00F42CA4" w:rsidRP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This responsibility statement was approved by the Board of Directors on 18 June 2025 and is signed on its behalf by:</w:t>
      </w:r>
    </w:p>
    <w:p w14:paraId="1CBBB9A6" w14:textId="77777777" w:rsidR="00F42CA4" w:rsidRPr="00F42CA4" w:rsidRDefault="00F42CA4" w:rsidP="00F42CA4"/>
    <w:p w14:paraId="00E3DDE4" w14:textId="77777777" w:rsidR="00F42CA4" w:rsidRPr="00A92B87" w:rsidRDefault="00F42CA4" w:rsidP="00F42CA4">
      <w:pPr>
        <w:rPr>
          <w:b/>
          <w:bCs/>
          <w14:textOutline w14:w="9525" w14:cap="flat" w14:cmpd="sng" w14:algn="ctr">
            <w14:noFill/>
            <w14:prstDash w14:val="solid"/>
            <w14:round/>
          </w14:textOutline>
        </w:rPr>
      </w:pPr>
      <w:r w:rsidRPr="00A92B87">
        <w:rPr>
          <w:b/>
          <w:bCs/>
          <w14:textOutline w14:w="9525" w14:cap="flat" w14:cmpd="sng" w14:algn="ctr">
            <w14:noFill/>
            <w14:prstDash w14:val="solid"/>
            <w14:round/>
          </w14:textOutline>
        </w:rPr>
        <w:t xml:space="preserve">Chris Conway </w:t>
      </w:r>
      <w:r w:rsidRPr="00A92B87">
        <w:rPr>
          <w:b/>
          <w:bCs/>
          <w14:textOutline w14:w="9525" w14:cap="flat" w14:cmpd="sng" w14:algn="ctr">
            <w14:noFill/>
            <w14:prstDash w14:val="solid"/>
            <w14:round/>
          </w14:textOutline>
        </w:rPr>
        <w:tab/>
      </w:r>
    </w:p>
    <w:p w14:paraId="40C4152C" w14:textId="77777777" w:rsidR="00F42CA4" w:rsidRDefault="00F42CA4" w:rsidP="00F42CA4">
      <w:pPr>
        <w:rPr>
          <w14:textOutline w14:w="9525" w14:cap="flat" w14:cmpd="sng" w14:algn="ctr">
            <w14:noFill/>
            <w14:prstDash w14:val="solid"/>
            <w14:round/>
          </w14:textOutline>
        </w:rPr>
      </w:pPr>
      <w:r w:rsidRPr="00F42CA4">
        <w:rPr>
          <w14:textOutline w14:w="9525" w14:cap="flat" w14:cmpd="sng" w14:algn="ctr">
            <w14:noFill/>
            <w14:prstDash w14:val="solid"/>
            <w14:round/>
          </w14:textOutline>
        </w:rPr>
        <w:t>Chief Executive Officer</w:t>
      </w:r>
    </w:p>
    <w:p w14:paraId="6EB75115" w14:textId="77777777" w:rsidR="006675EF" w:rsidRDefault="006675EF" w:rsidP="00F42CA4">
      <w:pPr>
        <w:rPr>
          <w14:textOutline w14:w="9525" w14:cap="flat" w14:cmpd="sng" w14:algn="ctr">
            <w14:noFill/>
            <w14:prstDash w14:val="solid"/>
            <w14:round/>
          </w14:textOutline>
        </w:rPr>
      </w:pPr>
    </w:p>
    <w:p w14:paraId="74F06F42" w14:textId="77777777" w:rsidR="006675EF" w:rsidRDefault="006675EF">
      <w:pPr>
        <w:spacing w:line="240" w:lineRule="auto"/>
        <w:rPr>
          <w:rFonts w:cs="Arial"/>
          <w:b/>
          <w:bCs/>
          <w:color w:val="000000" w:themeColor="text1"/>
          <w:spacing w:val="9"/>
          <w:sz w:val="44"/>
          <w:szCs w:val="44"/>
        </w:rPr>
      </w:pPr>
      <w:r>
        <w:rPr>
          <w:rFonts w:cs="Arial"/>
          <w:color w:val="000000" w:themeColor="text1"/>
        </w:rPr>
        <w:br w:type="page"/>
      </w:r>
    </w:p>
    <w:p w14:paraId="78D83324" w14:textId="0D684A20" w:rsidR="006675EF" w:rsidRPr="006675EF" w:rsidRDefault="006675EF" w:rsidP="00FF49BF">
      <w:pPr>
        <w:pStyle w:val="Heading1"/>
      </w:pPr>
      <w:bookmarkStart w:id="149" w:name="_Toc213058581"/>
      <w:r w:rsidRPr="006675EF">
        <w:lastRenderedPageBreak/>
        <w:t>Corporate Governance Statement</w:t>
      </w:r>
      <w:bookmarkEnd w:id="149"/>
      <w:r w:rsidRPr="006675EF">
        <w:t xml:space="preserve"> </w:t>
      </w:r>
    </w:p>
    <w:p w14:paraId="0791BA95" w14:textId="77777777" w:rsidR="006675EF" w:rsidRPr="006675EF" w:rsidRDefault="006675EF" w:rsidP="006675EF">
      <w:pPr>
        <w:rPr>
          <w:rFonts w:cs="Arial"/>
          <w:color w:val="000000" w:themeColor="text1"/>
        </w:rPr>
      </w:pPr>
    </w:p>
    <w:p w14:paraId="68B70806" w14:textId="77777777" w:rsidR="006675EF" w:rsidRDefault="006675EF" w:rsidP="006675EF">
      <w:pPr>
        <w:rPr>
          <w:rFonts w:cs="Arial"/>
          <w:color w:val="000000" w:themeColor="text1"/>
        </w:rPr>
      </w:pPr>
      <w:r w:rsidRPr="006675EF">
        <w:rPr>
          <w:rFonts w:cs="Arial"/>
          <w:color w:val="000000" w:themeColor="text1"/>
        </w:rPr>
        <w:t>The Translink Group (the</w:t>
      </w:r>
      <w:r w:rsidRPr="006675EF">
        <w:rPr>
          <w:rFonts w:cs="Arial"/>
          <w:b/>
          <w:bCs/>
          <w:color w:val="000000" w:themeColor="text1"/>
        </w:rPr>
        <w:t xml:space="preserve"> ‘Group</w:t>
      </w:r>
      <w:r w:rsidRPr="006675EF">
        <w:rPr>
          <w:rFonts w:cs="Arial"/>
          <w:color w:val="000000" w:themeColor="text1"/>
        </w:rPr>
        <w:t xml:space="preserve">’) consists of a statutory public corporation, the Northern Ireland Transport Holding Company (established under the Transport Act (Northern Ireland) 1967), which owns and controls seven private limited subsidiary companies including Citybus Limited, </w:t>
      </w:r>
      <w:proofErr w:type="spellStart"/>
      <w:r w:rsidRPr="006675EF">
        <w:rPr>
          <w:rFonts w:cs="Arial"/>
          <w:color w:val="000000" w:themeColor="text1"/>
        </w:rPr>
        <w:t>Ulsterbus</w:t>
      </w:r>
      <w:proofErr w:type="spellEnd"/>
      <w:r w:rsidRPr="006675EF">
        <w:rPr>
          <w:rFonts w:cs="Arial"/>
          <w:color w:val="000000" w:themeColor="text1"/>
        </w:rPr>
        <w:t xml:space="preserve"> Limited, Northern Ireland Railways Company Limited and NIR Operations Limited, together branded as </w:t>
      </w:r>
      <w:r w:rsidRPr="006675EF">
        <w:rPr>
          <w:rFonts w:cs="Arial"/>
          <w:b/>
          <w:bCs/>
          <w:color w:val="000000" w:themeColor="text1"/>
        </w:rPr>
        <w:t>‘Translink’</w:t>
      </w:r>
      <w:r w:rsidRPr="006675EF">
        <w:rPr>
          <w:rFonts w:cs="Arial"/>
          <w:color w:val="000000" w:themeColor="text1"/>
        </w:rPr>
        <w:t>. Translink is Northern Ireland’s primary public transport provider and delivers an integrated range of public transport services which passengers, communities and stakeholders have come to know, trust, and rely upon.</w:t>
      </w:r>
    </w:p>
    <w:p w14:paraId="7CA329B2" w14:textId="77777777" w:rsidR="006675EF" w:rsidRDefault="006675EF" w:rsidP="006675EF">
      <w:pPr>
        <w:rPr>
          <w:rFonts w:cs="Arial"/>
          <w:color w:val="000000" w:themeColor="text1"/>
        </w:rPr>
      </w:pPr>
    </w:p>
    <w:p w14:paraId="08A3E77E" w14:textId="77777777" w:rsidR="006675EF" w:rsidRPr="006675EF" w:rsidRDefault="006675EF" w:rsidP="006675EF">
      <w:pPr>
        <w:rPr>
          <w:rFonts w:cs="Arial"/>
          <w:color w:val="000000" w:themeColor="text1"/>
        </w:rPr>
      </w:pPr>
      <w:r w:rsidRPr="006675EF">
        <w:rPr>
          <w:rFonts w:cs="Arial"/>
          <w:color w:val="000000" w:themeColor="text1"/>
        </w:rPr>
        <w:t>Classified as a Public Corporation, this effectively means Translink carries out its operational activities with a degree of commercial independence, whilst within its statutory remit and governed in policy terms by the Department for Infrastructure (‘</w:t>
      </w:r>
      <w:proofErr w:type="spellStart"/>
      <w:r w:rsidRPr="006675EF">
        <w:rPr>
          <w:rFonts w:cs="Arial"/>
          <w:color w:val="000000" w:themeColor="text1"/>
        </w:rPr>
        <w:t>DfI</w:t>
      </w:r>
      <w:proofErr w:type="spellEnd"/>
      <w:r w:rsidRPr="006675EF">
        <w:rPr>
          <w:rFonts w:cs="Arial"/>
          <w:color w:val="000000" w:themeColor="text1"/>
        </w:rPr>
        <w:t xml:space="preserve">’ or “the Department”). Translink operates under a hybrid governance model. This means that the organisation is subject to public sector governance, private sector governance, and a very broad set of laws and regulations which come from both sectors.  For example, as a public body, Translink is subject to the Freedom of Information Act 2000 and public procurement regulations, yet equally (as a group of private limited subsidiary companies), its </w:t>
      </w:r>
      <w:proofErr w:type="gramStart"/>
      <w:r w:rsidRPr="006675EF">
        <w:rPr>
          <w:rFonts w:cs="Arial"/>
          <w:color w:val="000000" w:themeColor="text1"/>
        </w:rPr>
        <w:t>Directors</w:t>
      </w:r>
      <w:proofErr w:type="gramEnd"/>
      <w:r w:rsidRPr="006675EF">
        <w:rPr>
          <w:rFonts w:cs="Arial"/>
          <w:color w:val="000000" w:themeColor="text1"/>
        </w:rPr>
        <w:t xml:space="preserve"> are bound by the Companies Act and common law Directors’ duties.</w:t>
      </w:r>
    </w:p>
    <w:p w14:paraId="12F4857F" w14:textId="77777777" w:rsidR="006675EF" w:rsidRPr="006675EF" w:rsidRDefault="006675EF" w:rsidP="006675EF">
      <w:pPr>
        <w:rPr>
          <w:rFonts w:cs="Arial"/>
          <w:color w:val="000000" w:themeColor="text1"/>
        </w:rPr>
      </w:pPr>
    </w:p>
    <w:p w14:paraId="49B21FDE" w14:textId="77777777" w:rsidR="006675EF" w:rsidRPr="006675EF" w:rsidRDefault="006675EF" w:rsidP="006675EF">
      <w:pPr>
        <w:rPr>
          <w:rFonts w:cs="Arial"/>
          <w:color w:val="000000" w:themeColor="text1"/>
        </w:rPr>
      </w:pPr>
      <w:r w:rsidRPr="006675EF">
        <w:rPr>
          <w:rFonts w:cs="Arial"/>
          <w:color w:val="000000" w:themeColor="text1"/>
        </w:rPr>
        <w:t xml:space="preserve">Translink is committed to good corporate governance and has voluntarily complied with applicable provisions contained within the UK Corporate Governance Code 2024, to the extent practical for a sponsored public corporation.  There is an important additional layer of public sector governance set out in the Partnership Agreement. </w:t>
      </w:r>
    </w:p>
    <w:p w14:paraId="517D7378" w14:textId="77777777" w:rsidR="006675EF" w:rsidRPr="006675EF" w:rsidRDefault="006675EF" w:rsidP="006675EF">
      <w:pPr>
        <w:rPr>
          <w:rFonts w:cs="Arial"/>
          <w:color w:val="000000" w:themeColor="text1"/>
        </w:rPr>
      </w:pPr>
    </w:p>
    <w:p w14:paraId="54C3AB0B" w14:textId="77777777" w:rsidR="006675EF" w:rsidRPr="006675EF" w:rsidRDefault="006675EF" w:rsidP="006675EF">
      <w:pPr>
        <w:rPr>
          <w:rFonts w:cs="Arial"/>
          <w:color w:val="000000" w:themeColor="text1"/>
        </w:rPr>
      </w:pPr>
      <w:r w:rsidRPr="006675EF">
        <w:rPr>
          <w:rFonts w:cs="Arial"/>
          <w:color w:val="000000" w:themeColor="text1"/>
        </w:rPr>
        <w:t xml:space="preserve">The Partnership Agreement sets a bespoke governance framework for the organisation, including the framework through which the necessary assurances are provided to stakeholders </w:t>
      </w:r>
      <w:proofErr w:type="gramStart"/>
      <w:r w:rsidRPr="006675EF">
        <w:rPr>
          <w:rFonts w:cs="Arial"/>
          <w:color w:val="000000" w:themeColor="text1"/>
        </w:rPr>
        <w:t>in order to</w:t>
      </w:r>
      <w:proofErr w:type="gramEnd"/>
      <w:r w:rsidRPr="006675EF">
        <w:rPr>
          <w:rFonts w:cs="Arial"/>
          <w:color w:val="000000" w:themeColor="text1"/>
        </w:rPr>
        <w:t xml:space="preserve"> satisfy accountability requirements, and in so doing applies relevant provisions of Managing Public Money NI due to the receipt of public funds both in capital grants and public service obligation revenue.</w:t>
      </w:r>
    </w:p>
    <w:p w14:paraId="7185A6C6" w14:textId="77777777" w:rsidR="006675EF" w:rsidRPr="006675EF" w:rsidRDefault="006675EF" w:rsidP="006675EF">
      <w:pPr>
        <w:rPr>
          <w:rFonts w:cs="Arial"/>
          <w:color w:val="000000" w:themeColor="text1"/>
        </w:rPr>
      </w:pPr>
    </w:p>
    <w:p w14:paraId="5527A561" w14:textId="77777777" w:rsidR="006675EF" w:rsidRDefault="006675EF">
      <w:pPr>
        <w:spacing w:line="240" w:lineRule="auto"/>
        <w:rPr>
          <w:rFonts w:cs="Arial"/>
          <w:b/>
          <w:bCs/>
          <w:color w:val="000000" w:themeColor="text1"/>
        </w:rPr>
      </w:pPr>
      <w:r>
        <w:rPr>
          <w:rFonts w:cs="Arial"/>
          <w:b/>
          <w:bCs/>
          <w:color w:val="000000" w:themeColor="text1"/>
        </w:rPr>
        <w:br w:type="page"/>
      </w:r>
    </w:p>
    <w:p w14:paraId="76D4194E" w14:textId="5B1F26FD" w:rsidR="006675EF" w:rsidRPr="00347706" w:rsidRDefault="006675EF" w:rsidP="00FF49BF">
      <w:pPr>
        <w:pStyle w:val="Heading2"/>
      </w:pPr>
      <w:bookmarkStart w:id="150" w:name="_Toc213058582"/>
      <w:r w:rsidRPr="00347706">
        <w:lastRenderedPageBreak/>
        <w:t>Relationship with the Department</w:t>
      </w:r>
      <w:bookmarkEnd w:id="150"/>
      <w:r w:rsidRPr="00347706">
        <w:t xml:space="preserve"> </w:t>
      </w:r>
    </w:p>
    <w:p w14:paraId="41DBBB46" w14:textId="77777777" w:rsidR="006675EF" w:rsidRPr="006675EF" w:rsidRDefault="006675EF" w:rsidP="006675EF">
      <w:pPr>
        <w:rPr>
          <w:rFonts w:cs="Arial"/>
          <w:color w:val="000000" w:themeColor="text1"/>
        </w:rPr>
      </w:pPr>
      <w:r w:rsidRPr="006675EF">
        <w:rPr>
          <w:rFonts w:cs="Arial"/>
          <w:color w:val="000000" w:themeColor="text1"/>
        </w:rPr>
        <w:t>The Minister for Infrastructure is accountable to the Assembly for the overall performance and delivery of Translink. The Minister sets regional infrastructure and transport policy and performs the following functions:</w:t>
      </w:r>
    </w:p>
    <w:p w14:paraId="25AC4286" w14:textId="77777777" w:rsidR="006675EF" w:rsidRPr="006675EF" w:rsidRDefault="006675EF" w:rsidP="006675EF">
      <w:pPr>
        <w:rPr>
          <w:rFonts w:cs="Arial"/>
          <w:color w:val="000000" w:themeColor="text1"/>
        </w:rPr>
      </w:pPr>
    </w:p>
    <w:p w14:paraId="5C80DD34" w14:textId="6B2B298C"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 xml:space="preserve">Setting the strategic direction and overall policies </w:t>
      </w:r>
      <w:r w:rsidRPr="006675EF">
        <w:rPr>
          <w:rFonts w:cs="Arial"/>
          <w:color w:val="000000" w:themeColor="text1"/>
        </w:rPr>
        <w:br/>
        <w:t xml:space="preserve">and priorities for Translink, as reflected in the Programme for </w:t>
      </w:r>
      <w:proofErr w:type="gramStart"/>
      <w:r w:rsidRPr="006675EF">
        <w:rPr>
          <w:rFonts w:cs="Arial"/>
          <w:color w:val="000000" w:themeColor="text1"/>
        </w:rPr>
        <w:t>Government;</w:t>
      </w:r>
      <w:proofErr w:type="gramEnd"/>
    </w:p>
    <w:p w14:paraId="56B2FB84" w14:textId="71E5D6FE"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 xml:space="preserve">Approves Translink’s corporate and business </w:t>
      </w:r>
      <w:proofErr w:type="gramStart"/>
      <w:r w:rsidRPr="006675EF">
        <w:rPr>
          <w:rFonts w:cs="Arial"/>
          <w:color w:val="000000" w:themeColor="text1"/>
        </w:rPr>
        <w:t>plan;</w:t>
      </w:r>
      <w:proofErr w:type="gramEnd"/>
    </w:p>
    <w:p w14:paraId="2B67D8D0" w14:textId="1975C723"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 xml:space="preserve">Setting Translink’s budget (i.e. approves the amount of grant/subsidy or other funds to be paid to Translink) and securing Assembly </w:t>
      </w:r>
      <w:proofErr w:type="gramStart"/>
      <w:r w:rsidRPr="006675EF">
        <w:rPr>
          <w:rFonts w:cs="Arial"/>
          <w:color w:val="000000" w:themeColor="text1"/>
        </w:rPr>
        <w:t>approval;</w:t>
      </w:r>
      <w:proofErr w:type="gramEnd"/>
    </w:p>
    <w:p w14:paraId="49F55F94" w14:textId="6B246967"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Approves the accountability, policy, and performance framework within which Translink operates (as detailed in the Partnership Agreement and associated documents</w:t>
      </w:r>
      <w:proofErr w:type="gramStart"/>
      <w:r w:rsidRPr="006675EF">
        <w:rPr>
          <w:rFonts w:cs="Arial"/>
          <w:color w:val="000000" w:themeColor="text1"/>
        </w:rPr>
        <w:t>);</w:t>
      </w:r>
      <w:proofErr w:type="gramEnd"/>
    </w:p>
    <w:p w14:paraId="65609D8F" w14:textId="04D81341"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 xml:space="preserve">Keeps the Assembly informed as to Translink’s </w:t>
      </w:r>
      <w:r w:rsidRPr="006675EF">
        <w:rPr>
          <w:rFonts w:cs="Arial"/>
          <w:color w:val="000000" w:themeColor="text1"/>
        </w:rPr>
        <w:br/>
        <w:t>performance; and</w:t>
      </w:r>
    </w:p>
    <w:p w14:paraId="46896D43" w14:textId="70674A00" w:rsidR="006675EF" w:rsidRPr="006675EF" w:rsidRDefault="006675EF" w:rsidP="006675EF">
      <w:pPr>
        <w:pStyle w:val="ListParagraph"/>
        <w:numPr>
          <w:ilvl w:val="0"/>
          <w:numId w:val="59"/>
        </w:numPr>
        <w:rPr>
          <w:rFonts w:cs="Arial"/>
          <w:color w:val="000000" w:themeColor="text1"/>
        </w:rPr>
      </w:pPr>
      <w:r w:rsidRPr="006675EF">
        <w:rPr>
          <w:rFonts w:cs="Arial"/>
          <w:color w:val="000000" w:themeColor="text1"/>
        </w:rPr>
        <w:t>Performs responsibilities specified in the Transport Act (Northern Ireland) 1967, including making appointments to the Board, using powers to give directions to NITHC as to the policy to be followed by it and laying the annual report and accounts before the Assembly.</w:t>
      </w:r>
    </w:p>
    <w:p w14:paraId="213175EA" w14:textId="77777777" w:rsidR="006675EF" w:rsidRPr="006675EF" w:rsidRDefault="006675EF" w:rsidP="006675EF">
      <w:pPr>
        <w:rPr>
          <w:rFonts w:cs="Arial"/>
          <w:color w:val="000000" w:themeColor="text1"/>
        </w:rPr>
      </w:pPr>
    </w:p>
    <w:p w14:paraId="01854BEE" w14:textId="77777777" w:rsidR="006675EF" w:rsidRPr="006675EF" w:rsidRDefault="006675EF" w:rsidP="006675EF">
      <w:pPr>
        <w:rPr>
          <w:rFonts w:cs="Arial"/>
          <w:color w:val="000000" w:themeColor="text1"/>
        </w:rPr>
      </w:pPr>
      <w:r w:rsidRPr="006675EF">
        <w:rPr>
          <w:rFonts w:cs="Arial"/>
          <w:color w:val="000000" w:themeColor="text1"/>
        </w:rPr>
        <w:t xml:space="preserve">There are periodic meetings which form the top-level governance arrangements between Translink and the Department.  These interfaces include: </w:t>
      </w:r>
    </w:p>
    <w:p w14:paraId="71BEAC98" w14:textId="77777777" w:rsidR="006675EF" w:rsidRPr="006675EF" w:rsidRDefault="006675EF" w:rsidP="006675EF">
      <w:pPr>
        <w:rPr>
          <w:rFonts w:cs="Arial"/>
          <w:color w:val="000000" w:themeColor="text1"/>
        </w:rPr>
      </w:pPr>
    </w:p>
    <w:p w14:paraId="3AF039D5" w14:textId="6EEC901F" w:rsidR="006675EF" w:rsidRPr="006675EF" w:rsidRDefault="006675EF" w:rsidP="006675EF">
      <w:pPr>
        <w:pStyle w:val="ListParagraph"/>
        <w:numPr>
          <w:ilvl w:val="0"/>
          <w:numId w:val="60"/>
        </w:numPr>
        <w:rPr>
          <w:rFonts w:cs="Arial"/>
          <w:color w:val="000000" w:themeColor="text1"/>
        </w:rPr>
      </w:pPr>
      <w:r w:rsidRPr="006675EF">
        <w:rPr>
          <w:rFonts w:cs="Arial"/>
          <w:color w:val="000000" w:themeColor="text1"/>
        </w:rPr>
        <w:t xml:space="preserve">Annual meetings between the Minister and the Translink Chair and/or Group Chief </w:t>
      </w:r>
      <w:proofErr w:type="gramStart"/>
      <w:r w:rsidRPr="006675EF">
        <w:rPr>
          <w:rFonts w:cs="Arial"/>
          <w:color w:val="000000" w:themeColor="text1"/>
        </w:rPr>
        <w:t>Executive;</w:t>
      </w:r>
      <w:proofErr w:type="gramEnd"/>
    </w:p>
    <w:p w14:paraId="2CE773ED" w14:textId="705BD84C" w:rsidR="006675EF" w:rsidRPr="006675EF" w:rsidRDefault="006675EF" w:rsidP="006675EF">
      <w:pPr>
        <w:pStyle w:val="ListParagraph"/>
        <w:numPr>
          <w:ilvl w:val="0"/>
          <w:numId w:val="60"/>
        </w:numPr>
        <w:rPr>
          <w:rFonts w:cs="Arial"/>
          <w:color w:val="000000" w:themeColor="text1"/>
        </w:rPr>
      </w:pPr>
      <w:r w:rsidRPr="006675EF">
        <w:rPr>
          <w:rFonts w:cs="Arial"/>
          <w:color w:val="000000" w:themeColor="text1"/>
        </w:rPr>
        <w:t xml:space="preserve">Bi-Annual Board-level governance meetings (led by the Permanent Secretary) with the full </w:t>
      </w:r>
      <w:proofErr w:type="gramStart"/>
      <w:r w:rsidRPr="006675EF">
        <w:rPr>
          <w:rFonts w:cs="Arial"/>
          <w:color w:val="000000" w:themeColor="text1"/>
        </w:rPr>
        <w:t>Board;</w:t>
      </w:r>
      <w:proofErr w:type="gramEnd"/>
    </w:p>
    <w:p w14:paraId="465712E1" w14:textId="3CFCAF24" w:rsidR="006675EF" w:rsidRPr="006675EF" w:rsidRDefault="006675EF" w:rsidP="006675EF">
      <w:pPr>
        <w:pStyle w:val="ListParagraph"/>
        <w:numPr>
          <w:ilvl w:val="0"/>
          <w:numId w:val="60"/>
        </w:numPr>
        <w:rPr>
          <w:rFonts w:cs="Arial"/>
          <w:color w:val="000000" w:themeColor="text1"/>
        </w:rPr>
      </w:pPr>
      <w:r w:rsidRPr="006675EF">
        <w:rPr>
          <w:rFonts w:cs="Arial"/>
          <w:color w:val="000000" w:themeColor="text1"/>
        </w:rPr>
        <w:t xml:space="preserve">Bi-Monthly Departmental monitoring </w:t>
      </w:r>
      <w:proofErr w:type="spellStart"/>
      <w:proofErr w:type="gramStart"/>
      <w:r w:rsidRPr="006675EF">
        <w:rPr>
          <w:rFonts w:cs="Arial"/>
          <w:color w:val="000000" w:themeColor="text1"/>
        </w:rPr>
        <w:t>meetings,where</w:t>
      </w:r>
      <w:proofErr w:type="spellEnd"/>
      <w:proofErr w:type="gramEnd"/>
      <w:r w:rsidRPr="006675EF">
        <w:rPr>
          <w:rFonts w:cs="Arial"/>
          <w:color w:val="000000" w:themeColor="text1"/>
        </w:rPr>
        <w:t xml:space="preserve"> senior sponsor branch officials meet with Translink’s Chief Financial Officer and Group General Counsel &amp; Company Secretary; and</w:t>
      </w:r>
    </w:p>
    <w:p w14:paraId="157C1C08" w14:textId="408DC977" w:rsidR="006675EF" w:rsidRPr="006675EF" w:rsidRDefault="006675EF" w:rsidP="006675EF">
      <w:pPr>
        <w:pStyle w:val="ListParagraph"/>
        <w:numPr>
          <w:ilvl w:val="0"/>
          <w:numId w:val="60"/>
        </w:numPr>
        <w:rPr>
          <w:rFonts w:cs="Arial"/>
          <w:color w:val="000000" w:themeColor="text1"/>
        </w:rPr>
      </w:pPr>
      <w:r w:rsidRPr="006675EF">
        <w:rPr>
          <w:rFonts w:cs="Arial"/>
          <w:color w:val="000000" w:themeColor="text1"/>
        </w:rPr>
        <w:t>Ad hoc meetings and interfaces between different management teams to keep both organisations up to date and ensure early engagement on issues arising.</w:t>
      </w:r>
    </w:p>
    <w:p w14:paraId="554C0DA9" w14:textId="77777777" w:rsidR="006675EF" w:rsidRPr="006675EF" w:rsidRDefault="006675EF" w:rsidP="006675EF">
      <w:pPr>
        <w:rPr>
          <w:rFonts w:cs="Arial"/>
          <w:color w:val="000000" w:themeColor="text1"/>
        </w:rPr>
      </w:pPr>
    </w:p>
    <w:p w14:paraId="4598C58A" w14:textId="77777777" w:rsidR="000525D5" w:rsidRDefault="000525D5">
      <w:pPr>
        <w:spacing w:line="240" w:lineRule="auto"/>
        <w:rPr>
          <w:rFonts w:eastAsiaTheme="majorEastAsia" w:cstheme="majorBidi"/>
          <w:b/>
          <w:color w:val="000000" w:themeColor="text1"/>
          <w:sz w:val="28"/>
          <w:szCs w:val="26"/>
        </w:rPr>
      </w:pPr>
      <w:bookmarkStart w:id="151" w:name="_Toc213058583"/>
      <w:r>
        <w:br w:type="page"/>
      </w:r>
    </w:p>
    <w:p w14:paraId="61B4F36B" w14:textId="4B7AEB11" w:rsidR="006675EF" w:rsidRPr="00347706" w:rsidRDefault="006675EF" w:rsidP="00FF49BF">
      <w:pPr>
        <w:pStyle w:val="Heading2"/>
      </w:pPr>
      <w:r w:rsidRPr="00347706">
        <w:lastRenderedPageBreak/>
        <w:t>The Role of the Board</w:t>
      </w:r>
      <w:bookmarkEnd w:id="151"/>
      <w:r w:rsidRPr="00347706">
        <w:t xml:space="preserve"> </w:t>
      </w:r>
    </w:p>
    <w:p w14:paraId="75EB46B4" w14:textId="77777777" w:rsidR="006675EF" w:rsidRPr="006675EF" w:rsidRDefault="006675EF" w:rsidP="006675EF">
      <w:pPr>
        <w:rPr>
          <w:rFonts w:cs="Arial"/>
          <w:color w:val="000000" w:themeColor="text1"/>
        </w:rPr>
      </w:pPr>
      <w:r w:rsidRPr="006675EF">
        <w:rPr>
          <w:rFonts w:cs="Arial"/>
          <w:color w:val="000000" w:themeColor="text1"/>
        </w:rPr>
        <w:t>The purpose of the NITHC Board is to provide effective leadership and strategic direction to the organisation and to ensure that the policies and priorities set by the Minister are implemented. It is responsible for ensuring that the organisation has effective and proportionate governance arrangements in place and an internal control framework which allow risks to be effectively identified and managed. The Board set the culture and values of the organisation when taking a collaborative approach with relevant stakeholders in public transport, providing integrated services which connect communities, enhance the economy and improve the environment, enabling a thriving Northern Ireland.</w:t>
      </w:r>
    </w:p>
    <w:p w14:paraId="5E046ABD" w14:textId="77777777" w:rsidR="006675EF" w:rsidRPr="006675EF" w:rsidRDefault="006675EF" w:rsidP="006675EF">
      <w:pPr>
        <w:rPr>
          <w:rFonts w:cs="Arial"/>
          <w:color w:val="000000" w:themeColor="text1"/>
        </w:rPr>
      </w:pPr>
    </w:p>
    <w:p w14:paraId="6A7FBE88" w14:textId="77777777" w:rsidR="006675EF" w:rsidRPr="006675EF" w:rsidRDefault="006675EF" w:rsidP="006675EF">
      <w:pPr>
        <w:rPr>
          <w:rFonts w:cs="Arial"/>
          <w:color w:val="000000" w:themeColor="text1"/>
        </w:rPr>
      </w:pPr>
      <w:r w:rsidRPr="006675EF">
        <w:rPr>
          <w:rFonts w:cs="Arial"/>
          <w:color w:val="000000" w:themeColor="text1"/>
        </w:rPr>
        <w:t>The Board collectively supports and scrutinises management against its strategic objectives thereby ensuring that Translink continues to perform successfully by providing strategic leadership, financial and business scrutiny, risk management, while endorsing the Translink SPIRIT values of Safety, People, Innovation, Responsibility, Integrity and Teamwork.</w:t>
      </w:r>
    </w:p>
    <w:p w14:paraId="41BD5A7F" w14:textId="77777777" w:rsidR="006675EF" w:rsidRPr="006675EF" w:rsidRDefault="006675EF" w:rsidP="006675EF">
      <w:pPr>
        <w:rPr>
          <w:rFonts w:cs="Arial"/>
          <w:color w:val="000000" w:themeColor="text1"/>
        </w:rPr>
      </w:pPr>
      <w:r w:rsidRPr="006675EF">
        <w:rPr>
          <w:rFonts w:cs="Arial"/>
          <w:color w:val="000000" w:themeColor="text1"/>
        </w:rPr>
        <w:t xml:space="preserve"> </w:t>
      </w:r>
    </w:p>
    <w:p w14:paraId="184593FA" w14:textId="77777777" w:rsidR="006675EF" w:rsidRPr="006675EF" w:rsidRDefault="006675EF" w:rsidP="006675EF">
      <w:pPr>
        <w:rPr>
          <w:rFonts w:cs="Arial"/>
          <w:color w:val="000000" w:themeColor="text1"/>
        </w:rPr>
      </w:pPr>
      <w:r w:rsidRPr="006675EF">
        <w:rPr>
          <w:rFonts w:cs="Arial"/>
          <w:color w:val="000000" w:themeColor="text1"/>
        </w:rPr>
        <w:t xml:space="preserve">The Board had ten scheduled meetings during the year and </w:t>
      </w:r>
      <w:r w:rsidRPr="006675EF">
        <w:rPr>
          <w:rFonts w:cs="Arial"/>
          <w:color w:val="000000" w:themeColor="text1"/>
        </w:rPr>
        <w:br/>
        <w:t xml:space="preserve">is supported in its activities by four Non- Executive Director </w:t>
      </w:r>
      <w:r w:rsidRPr="006675EF">
        <w:rPr>
          <w:rFonts w:cs="Arial"/>
          <w:color w:val="000000" w:themeColor="text1"/>
        </w:rPr>
        <w:br/>
        <w:t>led sub-committees:</w:t>
      </w:r>
    </w:p>
    <w:p w14:paraId="404AAF7E" w14:textId="77777777" w:rsidR="006675EF" w:rsidRPr="006675EF" w:rsidRDefault="006675EF" w:rsidP="006675EF">
      <w:pPr>
        <w:rPr>
          <w:rFonts w:cs="Arial"/>
          <w:color w:val="000000" w:themeColor="text1"/>
        </w:rPr>
      </w:pPr>
    </w:p>
    <w:p w14:paraId="0C3B4E2B" w14:textId="36954EDD" w:rsidR="006675EF" w:rsidRPr="00347706" w:rsidRDefault="006675EF" w:rsidP="00347706">
      <w:pPr>
        <w:pStyle w:val="ListParagraph"/>
        <w:numPr>
          <w:ilvl w:val="0"/>
          <w:numId w:val="61"/>
        </w:numPr>
        <w:rPr>
          <w:rFonts w:cs="Arial"/>
          <w:color w:val="000000" w:themeColor="text1"/>
        </w:rPr>
      </w:pPr>
      <w:r w:rsidRPr="00347706">
        <w:rPr>
          <w:rFonts w:cs="Arial"/>
          <w:color w:val="000000" w:themeColor="text1"/>
        </w:rPr>
        <w:t xml:space="preserve">Group Remuneration and Pensions </w:t>
      </w:r>
      <w:proofErr w:type="gramStart"/>
      <w:r w:rsidRPr="00347706">
        <w:rPr>
          <w:rFonts w:cs="Arial"/>
          <w:color w:val="000000" w:themeColor="text1"/>
        </w:rPr>
        <w:t>Committee;</w:t>
      </w:r>
      <w:proofErr w:type="gramEnd"/>
      <w:r w:rsidRPr="00347706">
        <w:rPr>
          <w:rFonts w:cs="Arial"/>
          <w:color w:val="000000" w:themeColor="text1"/>
        </w:rPr>
        <w:t xml:space="preserve"> </w:t>
      </w:r>
    </w:p>
    <w:p w14:paraId="5A326F7B" w14:textId="114619C4" w:rsidR="006675EF" w:rsidRPr="00347706" w:rsidRDefault="006675EF" w:rsidP="00347706">
      <w:pPr>
        <w:pStyle w:val="ListParagraph"/>
        <w:numPr>
          <w:ilvl w:val="0"/>
          <w:numId w:val="61"/>
        </w:numPr>
        <w:rPr>
          <w:rFonts w:cs="Arial"/>
          <w:color w:val="000000" w:themeColor="text1"/>
        </w:rPr>
      </w:pPr>
      <w:r w:rsidRPr="00347706">
        <w:rPr>
          <w:rFonts w:cs="Arial"/>
          <w:color w:val="000000" w:themeColor="text1"/>
        </w:rPr>
        <w:t xml:space="preserve">Project Oversight </w:t>
      </w:r>
      <w:proofErr w:type="gramStart"/>
      <w:r w:rsidRPr="00347706">
        <w:rPr>
          <w:rFonts w:cs="Arial"/>
          <w:color w:val="000000" w:themeColor="text1"/>
        </w:rPr>
        <w:t>Committee;</w:t>
      </w:r>
      <w:proofErr w:type="gramEnd"/>
      <w:r w:rsidRPr="00347706">
        <w:rPr>
          <w:rFonts w:cs="Arial"/>
          <w:color w:val="000000" w:themeColor="text1"/>
        </w:rPr>
        <w:t xml:space="preserve"> </w:t>
      </w:r>
    </w:p>
    <w:p w14:paraId="5BEBB3CC" w14:textId="309CC43F" w:rsidR="006675EF" w:rsidRPr="00347706" w:rsidRDefault="006675EF" w:rsidP="00347706">
      <w:pPr>
        <w:pStyle w:val="ListParagraph"/>
        <w:numPr>
          <w:ilvl w:val="0"/>
          <w:numId w:val="61"/>
        </w:numPr>
        <w:rPr>
          <w:rFonts w:cs="Arial"/>
          <w:color w:val="000000" w:themeColor="text1"/>
        </w:rPr>
      </w:pPr>
      <w:r w:rsidRPr="00347706">
        <w:rPr>
          <w:rFonts w:cs="Arial"/>
          <w:color w:val="000000" w:themeColor="text1"/>
        </w:rPr>
        <w:t xml:space="preserve">Safety Oversight Committee; and </w:t>
      </w:r>
    </w:p>
    <w:p w14:paraId="7C5D8B72" w14:textId="611F243F" w:rsidR="006675EF" w:rsidRPr="00347706" w:rsidRDefault="006675EF" w:rsidP="00347706">
      <w:pPr>
        <w:pStyle w:val="ListParagraph"/>
        <w:numPr>
          <w:ilvl w:val="0"/>
          <w:numId w:val="61"/>
        </w:numPr>
        <w:rPr>
          <w:rFonts w:cs="Arial"/>
          <w:color w:val="000000" w:themeColor="text1"/>
        </w:rPr>
      </w:pPr>
      <w:r w:rsidRPr="00347706">
        <w:rPr>
          <w:rFonts w:cs="Arial"/>
          <w:color w:val="000000" w:themeColor="text1"/>
        </w:rPr>
        <w:t>Audit and Risk Committee</w:t>
      </w:r>
    </w:p>
    <w:p w14:paraId="2BBB9BA9" w14:textId="77777777" w:rsidR="006675EF" w:rsidRPr="006675EF" w:rsidRDefault="006675EF" w:rsidP="006675EF">
      <w:pPr>
        <w:rPr>
          <w:rFonts w:cs="Arial"/>
          <w:color w:val="000000" w:themeColor="text1"/>
        </w:rPr>
      </w:pPr>
    </w:p>
    <w:p w14:paraId="574F76FD" w14:textId="77777777" w:rsidR="006675EF" w:rsidRPr="006675EF" w:rsidRDefault="006675EF" w:rsidP="006675EF">
      <w:pPr>
        <w:rPr>
          <w:rFonts w:cs="Arial"/>
          <w:color w:val="000000" w:themeColor="text1"/>
        </w:rPr>
      </w:pPr>
      <w:r w:rsidRPr="006675EF">
        <w:rPr>
          <w:rFonts w:cs="Arial"/>
          <w:color w:val="000000" w:themeColor="text1"/>
        </w:rPr>
        <w:t>We ensure that all Board members irrespective of their committee memberships are made aware of the key discussions and decisions of each of the other committees of which they are not members.  In this way, the full Board is routinely updated with respect to its knowledge base and company-awareness.</w:t>
      </w:r>
    </w:p>
    <w:p w14:paraId="47786FA3" w14:textId="77777777" w:rsidR="006675EF" w:rsidRPr="006675EF" w:rsidRDefault="006675EF" w:rsidP="006675EF">
      <w:pPr>
        <w:rPr>
          <w:rFonts w:cs="Arial"/>
          <w:b/>
          <w:bCs/>
          <w:color w:val="000000" w:themeColor="text1"/>
        </w:rPr>
      </w:pPr>
    </w:p>
    <w:p w14:paraId="725F9A93" w14:textId="77777777" w:rsidR="006675EF" w:rsidRPr="00347706" w:rsidRDefault="006675EF" w:rsidP="00FF49BF">
      <w:pPr>
        <w:pStyle w:val="Heading2"/>
      </w:pPr>
      <w:bookmarkStart w:id="152" w:name="_Toc213058584"/>
      <w:r w:rsidRPr="00347706">
        <w:t>Division of responsibilities</w:t>
      </w:r>
      <w:bookmarkEnd w:id="152"/>
      <w:r w:rsidRPr="00347706">
        <w:t xml:space="preserve"> </w:t>
      </w:r>
    </w:p>
    <w:p w14:paraId="58B9FBDA" w14:textId="77777777" w:rsidR="006675EF" w:rsidRPr="006675EF" w:rsidRDefault="006675EF" w:rsidP="00FF49BF">
      <w:pPr>
        <w:pStyle w:val="Heading3"/>
      </w:pPr>
      <w:bookmarkStart w:id="153" w:name="_Toc213058585"/>
      <w:r w:rsidRPr="006675EF">
        <w:t>Chair</w:t>
      </w:r>
      <w:bookmarkEnd w:id="153"/>
    </w:p>
    <w:p w14:paraId="71FFBD2C" w14:textId="77777777" w:rsidR="006675EF" w:rsidRPr="006675EF" w:rsidRDefault="006675EF" w:rsidP="006675EF">
      <w:pPr>
        <w:rPr>
          <w:rFonts w:cs="Arial"/>
          <w:color w:val="000000" w:themeColor="text1"/>
        </w:rPr>
      </w:pPr>
      <w:r w:rsidRPr="006675EF">
        <w:rPr>
          <w:rFonts w:cs="Arial"/>
          <w:color w:val="000000" w:themeColor="text1"/>
        </w:rPr>
        <w:t xml:space="preserve">There is a clear division of responsibilities between the Chair and me, as Group Chief Executive. Following a public appointment competition, ran by the Department for Infrastructure, Frank Allen replaced Michael Wardlow as Chair from 1 March 2025. The Chair is responsible for setting the </w:t>
      </w:r>
      <w:r w:rsidRPr="006675EF">
        <w:rPr>
          <w:rFonts w:cs="Arial"/>
          <w:color w:val="000000" w:themeColor="text1"/>
        </w:rPr>
        <w:lastRenderedPageBreak/>
        <w:t>agenda and managing the Board to enable collaborative and robust discussion of issues.  The Chair’s role is to develop and motivate the Board and ensure effective relationships in order that the Board can work collaboratively to reach a consensus on decisions. The Chair’s distinctive duties are set out in the Partnership Agreement.</w:t>
      </w:r>
    </w:p>
    <w:p w14:paraId="7B093F29" w14:textId="77777777" w:rsidR="006675EF" w:rsidRPr="006675EF" w:rsidRDefault="006675EF" w:rsidP="006675EF">
      <w:pPr>
        <w:rPr>
          <w:rFonts w:cs="Arial"/>
          <w:color w:val="000000" w:themeColor="text1"/>
        </w:rPr>
      </w:pPr>
    </w:p>
    <w:p w14:paraId="2CC9039A" w14:textId="77777777" w:rsidR="006675EF" w:rsidRPr="006675EF" w:rsidRDefault="006675EF" w:rsidP="00FF49BF">
      <w:pPr>
        <w:pStyle w:val="Heading3"/>
      </w:pPr>
      <w:bookmarkStart w:id="154" w:name="_Toc213058586"/>
      <w:r w:rsidRPr="006675EF">
        <w:t>Appointment of Non-Executive Directors</w:t>
      </w:r>
      <w:bookmarkEnd w:id="154"/>
    </w:p>
    <w:p w14:paraId="369C0097" w14:textId="77777777" w:rsidR="006675EF" w:rsidRPr="006675EF" w:rsidRDefault="006675EF" w:rsidP="006675EF">
      <w:pPr>
        <w:rPr>
          <w:rFonts w:cs="Arial"/>
          <w:color w:val="000000" w:themeColor="text1"/>
        </w:rPr>
      </w:pPr>
      <w:r w:rsidRPr="006675EF">
        <w:rPr>
          <w:rFonts w:cs="Arial"/>
          <w:color w:val="000000" w:themeColor="text1"/>
        </w:rPr>
        <w:t xml:space="preserve">Following a public appointment competition, ran by the Department for Infrastructure, Translink’s Non-Executive Directors are appointed by the Minister to serve for one or more terms (subject to reappointment for a second term through public competition). </w:t>
      </w:r>
    </w:p>
    <w:p w14:paraId="19CF6BF0" w14:textId="77777777" w:rsidR="006675EF" w:rsidRPr="006675EF" w:rsidRDefault="006675EF" w:rsidP="006675EF">
      <w:pPr>
        <w:rPr>
          <w:rFonts w:cs="Arial"/>
          <w:color w:val="000000" w:themeColor="text1"/>
        </w:rPr>
      </w:pPr>
      <w:r w:rsidRPr="006675EF">
        <w:rPr>
          <w:rFonts w:cs="Arial"/>
          <w:color w:val="000000" w:themeColor="text1"/>
        </w:rPr>
        <w:t xml:space="preserve"> </w:t>
      </w:r>
    </w:p>
    <w:p w14:paraId="456C89D0" w14:textId="77777777" w:rsidR="006675EF" w:rsidRPr="006675EF" w:rsidRDefault="006675EF" w:rsidP="00FF49BF">
      <w:pPr>
        <w:pStyle w:val="Heading3"/>
      </w:pPr>
      <w:bookmarkStart w:id="155" w:name="_Toc213058587"/>
      <w:r w:rsidRPr="006675EF">
        <w:t>Group Chief Executive and Accounting Officer</w:t>
      </w:r>
      <w:bookmarkEnd w:id="155"/>
      <w:r w:rsidRPr="006675EF">
        <w:t xml:space="preserve"> </w:t>
      </w:r>
    </w:p>
    <w:p w14:paraId="6FEFD02B" w14:textId="0486BAE5" w:rsidR="006675EF" w:rsidRPr="006675EF" w:rsidRDefault="006675EF" w:rsidP="006675EF">
      <w:pPr>
        <w:rPr>
          <w:rFonts w:cs="Arial"/>
          <w:color w:val="000000" w:themeColor="text1"/>
        </w:rPr>
      </w:pPr>
      <w:r w:rsidRPr="006675EF">
        <w:rPr>
          <w:rFonts w:cs="Arial"/>
          <w:color w:val="000000" w:themeColor="text1"/>
        </w:rPr>
        <w:t xml:space="preserve">As, Group Chief Executive I am responsible for all executive management matters affecting the Group, for leadership of the executive management team, and executing its strategy.  In addition to retaining an Executive Board position, I also fulfil the distinctive public sector role of Accounting Officer for Translink. As Accounting Officer I have responsibility for ensuring that the Group operates effectively and to a high standard of probity. As Accounting Officer I retain a reporting line directly to the Permanent Secretary within the Department for Infrastructure regarding </w:t>
      </w:r>
      <w:proofErr w:type="gramStart"/>
      <w:r w:rsidRPr="006675EF">
        <w:rPr>
          <w:rFonts w:cs="Arial"/>
          <w:color w:val="000000" w:themeColor="text1"/>
        </w:rPr>
        <w:t>particular aspects</w:t>
      </w:r>
      <w:proofErr w:type="gramEnd"/>
      <w:r w:rsidRPr="006675EF">
        <w:rPr>
          <w:rFonts w:cs="Arial"/>
          <w:color w:val="000000" w:themeColor="text1"/>
        </w:rPr>
        <w:t xml:space="preserve"> of the role (focussed on regularity, propriety and value for money).  </w:t>
      </w:r>
    </w:p>
    <w:p w14:paraId="5E11F921" w14:textId="77777777" w:rsidR="006675EF" w:rsidRPr="006675EF" w:rsidRDefault="006675EF" w:rsidP="006675EF">
      <w:pPr>
        <w:rPr>
          <w:rFonts w:cs="Arial"/>
          <w:color w:val="000000" w:themeColor="text1"/>
        </w:rPr>
      </w:pPr>
      <w:r w:rsidRPr="006675EF">
        <w:rPr>
          <w:rFonts w:cs="Arial"/>
          <w:color w:val="000000" w:themeColor="text1"/>
        </w:rPr>
        <w:t xml:space="preserve"> </w:t>
      </w:r>
    </w:p>
    <w:p w14:paraId="728F5C66" w14:textId="77777777" w:rsidR="006675EF" w:rsidRPr="00347706" w:rsidRDefault="006675EF" w:rsidP="00FF49BF">
      <w:pPr>
        <w:pStyle w:val="Heading2"/>
      </w:pPr>
      <w:bookmarkStart w:id="156" w:name="_Toc213058588"/>
      <w:r w:rsidRPr="00347706">
        <w:t>Board Effectiveness</w:t>
      </w:r>
      <w:bookmarkEnd w:id="156"/>
      <w:r w:rsidRPr="00347706">
        <w:t xml:space="preserve"> </w:t>
      </w:r>
    </w:p>
    <w:p w14:paraId="00D8A71A" w14:textId="77777777" w:rsidR="006675EF" w:rsidRPr="006675EF" w:rsidRDefault="006675EF" w:rsidP="00FF49BF">
      <w:pPr>
        <w:pStyle w:val="Heading3"/>
      </w:pPr>
      <w:bookmarkStart w:id="157" w:name="_Toc213058589"/>
      <w:r w:rsidRPr="006675EF">
        <w:t>Composition</w:t>
      </w:r>
      <w:bookmarkEnd w:id="157"/>
    </w:p>
    <w:p w14:paraId="128F2F18" w14:textId="77777777" w:rsidR="006675EF" w:rsidRPr="006675EF" w:rsidRDefault="006675EF" w:rsidP="006675EF">
      <w:pPr>
        <w:rPr>
          <w:rFonts w:cs="Arial"/>
          <w:color w:val="000000" w:themeColor="text1"/>
        </w:rPr>
      </w:pPr>
      <w:r w:rsidRPr="006675EF">
        <w:rPr>
          <w:rFonts w:cs="Arial"/>
          <w:color w:val="000000" w:themeColor="text1"/>
        </w:rPr>
        <w:t xml:space="preserve">The Board comprises a Non-Executive Chair, and not more than eight other Directors (comprising both Executive and Non-Executive Directors) all of whom shall be appointed by the Minister for Infrastructure. The Group General Counsel and Company Secretary supports the Board and attends every meeting, as do Translink Senior Leadership Team. The Non-Executive Directors bring wide and varied commercial experience to Board and Committee deliberations.  </w:t>
      </w:r>
    </w:p>
    <w:p w14:paraId="1A0E6A5D" w14:textId="77777777" w:rsidR="006675EF" w:rsidRPr="006675EF" w:rsidRDefault="006675EF" w:rsidP="006675EF">
      <w:pPr>
        <w:rPr>
          <w:rFonts w:cs="Arial"/>
          <w:color w:val="000000" w:themeColor="text1"/>
        </w:rPr>
      </w:pPr>
      <w:r w:rsidRPr="006675EF">
        <w:rPr>
          <w:rFonts w:cs="Arial"/>
          <w:color w:val="000000" w:themeColor="text1"/>
        </w:rPr>
        <w:t xml:space="preserve"> </w:t>
      </w:r>
    </w:p>
    <w:p w14:paraId="36132B12" w14:textId="77777777" w:rsidR="006675EF" w:rsidRPr="006675EF" w:rsidRDefault="006675EF" w:rsidP="00FF49BF">
      <w:pPr>
        <w:pStyle w:val="Heading3"/>
      </w:pPr>
      <w:bookmarkStart w:id="158" w:name="_Toc213058590"/>
      <w:r w:rsidRPr="006675EF">
        <w:t>Independence and Conflicts</w:t>
      </w:r>
      <w:bookmarkEnd w:id="158"/>
    </w:p>
    <w:p w14:paraId="186812FE" w14:textId="77777777" w:rsidR="006675EF" w:rsidRDefault="006675EF" w:rsidP="006675EF">
      <w:pPr>
        <w:rPr>
          <w:rFonts w:cs="Arial"/>
          <w:color w:val="000000" w:themeColor="text1"/>
        </w:rPr>
      </w:pPr>
      <w:r w:rsidRPr="006675EF">
        <w:rPr>
          <w:rFonts w:cs="Arial"/>
          <w:color w:val="000000" w:themeColor="text1"/>
        </w:rPr>
        <w:t xml:space="preserve">Each of the Directors has a duty under the Companies Act 2006 to avoid a situation where he/she has, or can have, a direct or indirect interest that conflicts (or may be perceived to conflict) with the Group’s interests. The Board has established procedures for the disclosure of conflicts by Directors at every meeting but also through regular recorded declarations throughout the financial year. In accordance with the spirit of the Companies Act 2006, the Board considers, manages, and documents all conflicts of interests. From this pro-active analysis, the Board is content to confirm </w:t>
      </w:r>
      <w:r w:rsidRPr="006675EF">
        <w:rPr>
          <w:rFonts w:cs="Arial"/>
          <w:color w:val="000000" w:themeColor="text1"/>
        </w:rPr>
        <w:lastRenderedPageBreak/>
        <w:t xml:space="preserve">that all Non-Executive Directors are independent as set out in in the terms of the UK Corporate Governance Code. </w:t>
      </w:r>
    </w:p>
    <w:p w14:paraId="30A64689" w14:textId="77777777" w:rsidR="009653EC" w:rsidRDefault="009653EC" w:rsidP="006675EF">
      <w:pPr>
        <w:rPr>
          <w:rFonts w:cs="Arial"/>
          <w:color w:val="000000" w:themeColor="text1"/>
        </w:rPr>
      </w:pPr>
    </w:p>
    <w:p w14:paraId="08CD4068" w14:textId="77777777" w:rsidR="009653EC" w:rsidRPr="009653EC" w:rsidRDefault="009653EC" w:rsidP="00FF49BF">
      <w:pPr>
        <w:pStyle w:val="Heading3"/>
      </w:pPr>
      <w:bookmarkStart w:id="159" w:name="_Toc213058591"/>
      <w:r w:rsidRPr="009653EC">
        <w:t>Board Development, Workshops and Continuous Improvement</w:t>
      </w:r>
      <w:bookmarkEnd w:id="159"/>
    </w:p>
    <w:p w14:paraId="452C9745" w14:textId="77777777" w:rsidR="009653EC" w:rsidRPr="009653EC" w:rsidRDefault="009653EC" w:rsidP="009653EC">
      <w:pPr>
        <w:rPr>
          <w:color w:val="000000"/>
        </w:rPr>
      </w:pPr>
      <w:r w:rsidRPr="009653EC">
        <w:rPr>
          <w:color w:val="000000"/>
        </w:rPr>
        <w:t>During the year, the Directors receive training on current issues and operational updates on various aspects of the business.</w:t>
      </w:r>
    </w:p>
    <w:p w14:paraId="5AB40277" w14:textId="77777777" w:rsidR="009653EC" w:rsidRPr="009653EC" w:rsidRDefault="009653EC" w:rsidP="009653EC"/>
    <w:p w14:paraId="46CF6540" w14:textId="77777777" w:rsidR="009653EC" w:rsidRPr="009653EC" w:rsidRDefault="009653EC" w:rsidP="00FF49BF">
      <w:pPr>
        <w:pStyle w:val="Heading3"/>
      </w:pPr>
      <w:bookmarkStart w:id="160" w:name="_Toc213058592"/>
      <w:r w:rsidRPr="009653EC">
        <w:t>Information and Support</w:t>
      </w:r>
      <w:bookmarkEnd w:id="160"/>
    </w:p>
    <w:p w14:paraId="1D6C0FCF" w14:textId="77777777" w:rsidR="009653EC" w:rsidRPr="009653EC" w:rsidRDefault="009653EC" w:rsidP="009653EC">
      <w:pPr>
        <w:rPr>
          <w:color w:val="000000"/>
        </w:rPr>
      </w:pPr>
      <w:r w:rsidRPr="009653EC">
        <w:rPr>
          <w:color w:val="000000"/>
        </w:rPr>
        <w:t>The Board receives regular updates on business performances against the Corporate Plan and Strategy.   These come in the form of results-based “SMART” key performance obligations shaped from a range of corporate objectives and Departmental objectives set out in the Public Service Agreement.</w:t>
      </w:r>
    </w:p>
    <w:p w14:paraId="55A73D95" w14:textId="77777777" w:rsidR="009653EC" w:rsidRPr="009653EC" w:rsidRDefault="009653EC" w:rsidP="009653EC">
      <w:pPr>
        <w:rPr>
          <w:color w:val="000000"/>
        </w:rPr>
      </w:pPr>
    </w:p>
    <w:p w14:paraId="1880C9DF" w14:textId="3A844FD3" w:rsidR="009653EC" w:rsidRPr="009653EC" w:rsidRDefault="009653EC" w:rsidP="009653EC">
      <w:pPr>
        <w:rPr>
          <w:color w:val="000000"/>
        </w:rPr>
      </w:pPr>
      <w:r w:rsidRPr="009653EC">
        <w:rPr>
          <w:color w:val="000000"/>
        </w:rPr>
        <w:t>There is an established procedure whereby the Board or any of its committees may take independent professional advice, when appropriate. Any individual Director may take independent legal advice at the Company’s expense where they judge it necessary to discharge their responsibilities as Directors.</w:t>
      </w:r>
    </w:p>
    <w:p w14:paraId="238906C0" w14:textId="77777777" w:rsidR="009653EC" w:rsidRPr="009653EC" w:rsidRDefault="009653EC" w:rsidP="009653EC">
      <w:pPr>
        <w:rPr>
          <w:color w:val="000000"/>
        </w:rPr>
      </w:pPr>
    </w:p>
    <w:p w14:paraId="66E353B8" w14:textId="77777777" w:rsidR="009653EC" w:rsidRPr="009653EC" w:rsidRDefault="009653EC" w:rsidP="00FF49BF">
      <w:pPr>
        <w:pStyle w:val="Heading3"/>
      </w:pPr>
      <w:bookmarkStart w:id="161" w:name="_Toc213058593"/>
      <w:r w:rsidRPr="009653EC">
        <w:t>Board Evaluation</w:t>
      </w:r>
      <w:bookmarkEnd w:id="161"/>
      <w:r w:rsidRPr="009653EC">
        <w:t xml:space="preserve"> </w:t>
      </w:r>
    </w:p>
    <w:p w14:paraId="3A0FB567" w14:textId="77777777" w:rsidR="009653EC" w:rsidRPr="009653EC" w:rsidRDefault="009653EC" w:rsidP="009653EC">
      <w:pPr>
        <w:rPr>
          <w:color w:val="000000"/>
        </w:rPr>
      </w:pPr>
      <w:r w:rsidRPr="009653EC">
        <w:rPr>
          <w:color w:val="000000"/>
        </w:rPr>
        <w:t xml:space="preserve">The Board undertakes a formal review of its performance and that of its committees on an annual basis.  </w:t>
      </w:r>
    </w:p>
    <w:p w14:paraId="07AEF80E" w14:textId="77777777" w:rsidR="009653EC" w:rsidRPr="009653EC" w:rsidRDefault="009653EC" w:rsidP="009653EC">
      <w:pPr>
        <w:rPr>
          <w:color w:val="000000"/>
        </w:rPr>
      </w:pPr>
    </w:p>
    <w:p w14:paraId="5E6ED713" w14:textId="102A7DFE" w:rsidR="009653EC" w:rsidRDefault="009653EC" w:rsidP="009653EC">
      <w:pPr>
        <w:rPr>
          <w:color w:val="000000"/>
        </w:rPr>
      </w:pPr>
      <w:r w:rsidRPr="009653EC">
        <w:rPr>
          <w:color w:val="000000"/>
        </w:rPr>
        <w:t xml:space="preserve">The Chair is responsible for evaluation of individual Board Directors. This assessment is supplemented by the Department for Infrastructure who undertake their own assessment in consultation with the Permanent Secretary and the Chair. This includes an assessment whether Directors </w:t>
      </w:r>
      <w:proofErr w:type="gramStart"/>
      <w:r w:rsidRPr="009653EC">
        <w:rPr>
          <w:color w:val="000000"/>
        </w:rPr>
        <w:t>are able to</w:t>
      </w:r>
      <w:proofErr w:type="gramEnd"/>
      <w:r w:rsidRPr="009653EC">
        <w:rPr>
          <w:color w:val="000000"/>
        </w:rPr>
        <w:t xml:space="preserve"> allocate sufficient time to the Group </w:t>
      </w:r>
      <w:proofErr w:type="gramStart"/>
      <w:r w:rsidRPr="009653EC">
        <w:rPr>
          <w:color w:val="000000"/>
        </w:rPr>
        <w:t>in order to</w:t>
      </w:r>
      <w:proofErr w:type="gramEnd"/>
      <w:r w:rsidRPr="009653EC">
        <w:rPr>
          <w:color w:val="000000"/>
        </w:rPr>
        <w:t xml:space="preserve"> discharge their responsibilities effectively. </w:t>
      </w:r>
      <w:proofErr w:type="gramStart"/>
      <w:r w:rsidRPr="009653EC">
        <w:rPr>
          <w:color w:val="000000"/>
        </w:rPr>
        <w:t>All of</w:t>
      </w:r>
      <w:proofErr w:type="gramEnd"/>
      <w:r w:rsidRPr="009653EC">
        <w:rPr>
          <w:color w:val="000000"/>
        </w:rPr>
        <w:t xml:space="preserve"> Translink’s Directors routinely satisfy the requirements of these effectiveness assessments.</w:t>
      </w:r>
    </w:p>
    <w:p w14:paraId="5B732DEA" w14:textId="77777777" w:rsidR="009653EC" w:rsidRPr="009653EC" w:rsidRDefault="009653EC" w:rsidP="009653EC">
      <w:pPr>
        <w:rPr>
          <w:rFonts w:cs="Arial"/>
          <w:color w:val="000000" w:themeColor="text1"/>
        </w:rPr>
      </w:pPr>
    </w:p>
    <w:p w14:paraId="5495BB2B" w14:textId="77777777" w:rsidR="009653EC" w:rsidRDefault="009653EC">
      <w:pPr>
        <w:spacing w:line="240" w:lineRule="auto"/>
        <w:rPr>
          <w:rFonts w:cs="Arial"/>
          <w:b/>
          <w:bCs/>
          <w:color w:val="000000" w:themeColor="text1"/>
        </w:rPr>
      </w:pPr>
      <w:r>
        <w:rPr>
          <w:rFonts w:cs="Arial"/>
          <w:b/>
          <w:bCs/>
          <w:color w:val="000000" w:themeColor="text1"/>
        </w:rPr>
        <w:br w:type="page"/>
      </w:r>
    </w:p>
    <w:p w14:paraId="2E2A2DA0" w14:textId="4D5F1AD8" w:rsidR="009653EC" w:rsidRDefault="009653EC" w:rsidP="00FF49BF">
      <w:pPr>
        <w:pStyle w:val="Heading3"/>
      </w:pPr>
      <w:bookmarkStart w:id="162" w:name="_Toc213058594"/>
      <w:r w:rsidRPr="009653EC">
        <w:lastRenderedPageBreak/>
        <w:t>Attendance at Board and Committee Meetings during 2024/25</w:t>
      </w:r>
      <w:bookmarkEnd w:id="162"/>
    </w:p>
    <w:p w14:paraId="479F7583" w14:textId="77777777" w:rsidR="009653EC" w:rsidRDefault="009653EC" w:rsidP="009653EC">
      <w:pPr>
        <w:rPr>
          <w:rFonts w:cs="Arial"/>
          <w:b/>
          <w:bCs/>
          <w:color w:val="000000" w:themeColor="text1"/>
        </w:rPr>
      </w:pPr>
    </w:p>
    <w:tbl>
      <w:tblPr>
        <w:tblStyle w:val="TableGrid"/>
        <w:tblW w:w="0" w:type="auto"/>
        <w:tblLayout w:type="fixed"/>
        <w:tblLook w:val="0000" w:firstRow="0" w:lastRow="0" w:firstColumn="0" w:lastColumn="0" w:noHBand="0" w:noVBand="0"/>
      </w:tblPr>
      <w:tblGrid>
        <w:gridCol w:w="2003"/>
        <w:gridCol w:w="1625"/>
        <w:gridCol w:w="1258"/>
        <w:gridCol w:w="1257"/>
        <w:gridCol w:w="1258"/>
        <w:gridCol w:w="1257"/>
        <w:gridCol w:w="1258"/>
      </w:tblGrid>
      <w:tr w:rsidR="009653EC" w:rsidRPr="009653EC" w14:paraId="1162B749" w14:textId="77777777" w:rsidTr="009653EC">
        <w:trPr>
          <w:trHeight w:val="283"/>
        </w:trPr>
        <w:tc>
          <w:tcPr>
            <w:tcW w:w="2003" w:type="dxa"/>
            <w:vAlign w:val="center"/>
          </w:tcPr>
          <w:p w14:paraId="54982A0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Director </w:t>
            </w:r>
          </w:p>
        </w:tc>
        <w:tc>
          <w:tcPr>
            <w:tcW w:w="1625" w:type="dxa"/>
            <w:vAlign w:val="center"/>
          </w:tcPr>
          <w:p w14:paraId="6C913AE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Committee Membership  </w:t>
            </w:r>
          </w:p>
        </w:tc>
        <w:tc>
          <w:tcPr>
            <w:tcW w:w="1258" w:type="dxa"/>
            <w:vAlign w:val="center"/>
          </w:tcPr>
          <w:p w14:paraId="1A8D0955"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Board </w:t>
            </w:r>
          </w:p>
        </w:tc>
        <w:tc>
          <w:tcPr>
            <w:tcW w:w="1257" w:type="dxa"/>
            <w:vAlign w:val="center"/>
          </w:tcPr>
          <w:p w14:paraId="2FABC6E4"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Board Audit &amp; Risk Committee (BARC)  </w:t>
            </w:r>
          </w:p>
        </w:tc>
        <w:tc>
          <w:tcPr>
            <w:tcW w:w="1258" w:type="dxa"/>
            <w:vAlign w:val="center"/>
          </w:tcPr>
          <w:p w14:paraId="6BF9D77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Group Remuneration and Pensions (GRPC) </w:t>
            </w:r>
          </w:p>
        </w:tc>
        <w:tc>
          <w:tcPr>
            <w:tcW w:w="1257" w:type="dxa"/>
            <w:vAlign w:val="center"/>
          </w:tcPr>
          <w:p w14:paraId="6ACBEABC"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Project Oversight Committee (POC) </w:t>
            </w:r>
          </w:p>
        </w:tc>
        <w:tc>
          <w:tcPr>
            <w:tcW w:w="1258" w:type="dxa"/>
            <w:vAlign w:val="center"/>
          </w:tcPr>
          <w:p w14:paraId="2BF92DE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b/>
                <w:bCs/>
                <w:color w:val="000000" w:themeColor="text1"/>
                <w:sz w:val="20"/>
                <w:szCs w:val="20"/>
              </w:rPr>
              <w:t xml:space="preserve">Safety Oversight Committee (SOC) </w:t>
            </w:r>
          </w:p>
        </w:tc>
      </w:tr>
      <w:tr w:rsidR="009653EC" w:rsidRPr="009653EC" w14:paraId="73648B2B" w14:textId="77777777" w:rsidTr="009653EC">
        <w:trPr>
          <w:trHeight w:val="283"/>
        </w:trPr>
        <w:tc>
          <w:tcPr>
            <w:tcW w:w="2003" w:type="dxa"/>
            <w:vAlign w:val="center"/>
          </w:tcPr>
          <w:p w14:paraId="131E201F"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MT Wardlow ** </w:t>
            </w:r>
          </w:p>
        </w:tc>
        <w:tc>
          <w:tcPr>
            <w:tcW w:w="1625" w:type="dxa"/>
            <w:vAlign w:val="center"/>
          </w:tcPr>
          <w:p w14:paraId="05C30C5F"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SOC </w:t>
            </w:r>
          </w:p>
        </w:tc>
        <w:tc>
          <w:tcPr>
            <w:tcW w:w="1258" w:type="dxa"/>
            <w:vAlign w:val="center"/>
          </w:tcPr>
          <w:p w14:paraId="26BE5A7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9/10</w:t>
            </w:r>
          </w:p>
        </w:tc>
        <w:tc>
          <w:tcPr>
            <w:tcW w:w="1257" w:type="dxa"/>
            <w:vAlign w:val="center"/>
          </w:tcPr>
          <w:p w14:paraId="6FA0C19F"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0530D46C"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3D51D6A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9/10</w:t>
            </w:r>
          </w:p>
        </w:tc>
        <w:tc>
          <w:tcPr>
            <w:tcW w:w="1258" w:type="dxa"/>
            <w:vAlign w:val="center"/>
          </w:tcPr>
          <w:p w14:paraId="07A58178"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2/3</w:t>
            </w:r>
          </w:p>
        </w:tc>
      </w:tr>
      <w:tr w:rsidR="009653EC" w:rsidRPr="009653EC" w14:paraId="5AC38927" w14:textId="77777777" w:rsidTr="009653EC">
        <w:trPr>
          <w:trHeight w:val="283"/>
        </w:trPr>
        <w:tc>
          <w:tcPr>
            <w:tcW w:w="2003" w:type="dxa"/>
            <w:vAlign w:val="center"/>
          </w:tcPr>
          <w:p w14:paraId="733BE1C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MW Brown</w:t>
            </w:r>
          </w:p>
        </w:tc>
        <w:tc>
          <w:tcPr>
            <w:tcW w:w="1625" w:type="dxa"/>
            <w:vAlign w:val="center"/>
          </w:tcPr>
          <w:p w14:paraId="5B50DA51"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POC*, SOC </w:t>
            </w:r>
          </w:p>
        </w:tc>
        <w:tc>
          <w:tcPr>
            <w:tcW w:w="1258" w:type="dxa"/>
            <w:vAlign w:val="center"/>
          </w:tcPr>
          <w:p w14:paraId="47D44598"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10/10</w:t>
            </w:r>
          </w:p>
        </w:tc>
        <w:tc>
          <w:tcPr>
            <w:tcW w:w="1257" w:type="dxa"/>
            <w:vAlign w:val="center"/>
          </w:tcPr>
          <w:p w14:paraId="357EAED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4/4</w:t>
            </w:r>
          </w:p>
        </w:tc>
        <w:tc>
          <w:tcPr>
            <w:tcW w:w="1258" w:type="dxa"/>
            <w:vAlign w:val="center"/>
          </w:tcPr>
          <w:p w14:paraId="580620A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7E20A459"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11/11</w:t>
            </w:r>
          </w:p>
        </w:tc>
        <w:tc>
          <w:tcPr>
            <w:tcW w:w="1258" w:type="dxa"/>
            <w:vAlign w:val="center"/>
          </w:tcPr>
          <w:p w14:paraId="454DF52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3/3</w:t>
            </w:r>
          </w:p>
        </w:tc>
      </w:tr>
      <w:tr w:rsidR="009653EC" w:rsidRPr="009653EC" w14:paraId="405682E0" w14:textId="77777777" w:rsidTr="009653EC">
        <w:trPr>
          <w:trHeight w:val="283"/>
        </w:trPr>
        <w:tc>
          <w:tcPr>
            <w:tcW w:w="2003" w:type="dxa"/>
            <w:vAlign w:val="center"/>
          </w:tcPr>
          <w:p w14:paraId="1A7173CA"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EJ Wills  </w:t>
            </w:r>
          </w:p>
        </w:tc>
        <w:tc>
          <w:tcPr>
            <w:tcW w:w="1625" w:type="dxa"/>
            <w:vAlign w:val="center"/>
          </w:tcPr>
          <w:p w14:paraId="0D73BEF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GRPC, SOC* </w:t>
            </w:r>
          </w:p>
        </w:tc>
        <w:tc>
          <w:tcPr>
            <w:tcW w:w="1258" w:type="dxa"/>
            <w:vAlign w:val="center"/>
          </w:tcPr>
          <w:p w14:paraId="2C71AE2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10/10</w:t>
            </w:r>
          </w:p>
        </w:tc>
        <w:tc>
          <w:tcPr>
            <w:tcW w:w="1257" w:type="dxa"/>
            <w:vAlign w:val="center"/>
          </w:tcPr>
          <w:p w14:paraId="2032A5EC"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5214187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3/3</w:t>
            </w:r>
          </w:p>
        </w:tc>
        <w:tc>
          <w:tcPr>
            <w:tcW w:w="1257" w:type="dxa"/>
            <w:vAlign w:val="center"/>
          </w:tcPr>
          <w:p w14:paraId="67FB5CE1"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312700C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3/3</w:t>
            </w:r>
          </w:p>
        </w:tc>
      </w:tr>
      <w:tr w:rsidR="009653EC" w:rsidRPr="009653EC" w14:paraId="62FF69E2" w14:textId="77777777" w:rsidTr="009653EC">
        <w:trPr>
          <w:trHeight w:val="283"/>
        </w:trPr>
        <w:tc>
          <w:tcPr>
            <w:tcW w:w="2003" w:type="dxa"/>
            <w:vAlign w:val="center"/>
          </w:tcPr>
          <w:p w14:paraId="51E7B360"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S O’Connor **</w:t>
            </w:r>
          </w:p>
        </w:tc>
        <w:tc>
          <w:tcPr>
            <w:tcW w:w="1625" w:type="dxa"/>
            <w:vAlign w:val="center"/>
          </w:tcPr>
          <w:p w14:paraId="40D9483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POC, BARC* </w:t>
            </w:r>
          </w:p>
        </w:tc>
        <w:tc>
          <w:tcPr>
            <w:tcW w:w="1258" w:type="dxa"/>
            <w:vAlign w:val="center"/>
          </w:tcPr>
          <w:p w14:paraId="6AB40D64"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4/5</w:t>
            </w:r>
          </w:p>
        </w:tc>
        <w:tc>
          <w:tcPr>
            <w:tcW w:w="1257" w:type="dxa"/>
            <w:vAlign w:val="center"/>
          </w:tcPr>
          <w:p w14:paraId="1872A400"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3/3</w:t>
            </w:r>
          </w:p>
        </w:tc>
        <w:tc>
          <w:tcPr>
            <w:tcW w:w="1258" w:type="dxa"/>
            <w:vAlign w:val="center"/>
          </w:tcPr>
          <w:p w14:paraId="010A5258"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0405B23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5/5</w:t>
            </w:r>
          </w:p>
        </w:tc>
        <w:tc>
          <w:tcPr>
            <w:tcW w:w="1258" w:type="dxa"/>
            <w:vAlign w:val="center"/>
          </w:tcPr>
          <w:p w14:paraId="6993B7CF"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76C2C852" w14:textId="77777777" w:rsidTr="009653EC">
        <w:trPr>
          <w:trHeight w:val="283"/>
        </w:trPr>
        <w:tc>
          <w:tcPr>
            <w:tcW w:w="2003" w:type="dxa"/>
            <w:vAlign w:val="center"/>
          </w:tcPr>
          <w:p w14:paraId="7B8DF7F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M </w:t>
            </w:r>
            <w:proofErr w:type="gramStart"/>
            <w:r w:rsidRPr="009653EC">
              <w:rPr>
                <w:rFonts w:cs="Arial"/>
                <w:color w:val="000000" w:themeColor="text1"/>
                <w:sz w:val="20"/>
                <w:szCs w:val="20"/>
              </w:rPr>
              <w:t>Mallon  *</w:t>
            </w:r>
            <w:proofErr w:type="gramEnd"/>
            <w:r w:rsidRPr="009653EC">
              <w:rPr>
                <w:rFonts w:cs="Arial"/>
                <w:color w:val="000000" w:themeColor="text1"/>
                <w:sz w:val="20"/>
                <w:szCs w:val="20"/>
              </w:rPr>
              <w:t>*</w:t>
            </w:r>
          </w:p>
        </w:tc>
        <w:tc>
          <w:tcPr>
            <w:tcW w:w="1625" w:type="dxa"/>
            <w:vAlign w:val="center"/>
          </w:tcPr>
          <w:p w14:paraId="106F8C8A"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GRPC*, BARC  </w:t>
            </w:r>
          </w:p>
        </w:tc>
        <w:tc>
          <w:tcPr>
            <w:tcW w:w="1258" w:type="dxa"/>
            <w:vAlign w:val="center"/>
          </w:tcPr>
          <w:p w14:paraId="226F45B4"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5/5</w:t>
            </w:r>
          </w:p>
        </w:tc>
        <w:tc>
          <w:tcPr>
            <w:tcW w:w="1257" w:type="dxa"/>
            <w:vAlign w:val="center"/>
          </w:tcPr>
          <w:p w14:paraId="21D1CD61"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3/3</w:t>
            </w:r>
          </w:p>
        </w:tc>
        <w:tc>
          <w:tcPr>
            <w:tcW w:w="1258" w:type="dxa"/>
            <w:vAlign w:val="center"/>
          </w:tcPr>
          <w:p w14:paraId="08C0C48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2/2</w:t>
            </w:r>
          </w:p>
        </w:tc>
        <w:tc>
          <w:tcPr>
            <w:tcW w:w="1257" w:type="dxa"/>
            <w:vAlign w:val="center"/>
          </w:tcPr>
          <w:p w14:paraId="6641258B"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6C4A3AE8"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172760C7" w14:textId="77777777" w:rsidTr="009653EC">
        <w:trPr>
          <w:trHeight w:val="283"/>
        </w:trPr>
        <w:tc>
          <w:tcPr>
            <w:tcW w:w="2003" w:type="dxa"/>
            <w:vAlign w:val="center"/>
          </w:tcPr>
          <w:p w14:paraId="298BDD2A"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D Leeson</w:t>
            </w:r>
          </w:p>
        </w:tc>
        <w:tc>
          <w:tcPr>
            <w:tcW w:w="1625" w:type="dxa"/>
            <w:vAlign w:val="center"/>
          </w:tcPr>
          <w:p w14:paraId="75B052F8"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GRPC*, BARC  </w:t>
            </w:r>
          </w:p>
        </w:tc>
        <w:tc>
          <w:tcPr>
            <w:tcW w:w="1258" w:type="dxa"/>
            <w:vAlign w:val="center"/>
          </w:tcPr>
          <w:p w14:paraId="086BF59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5/5</w:t>
            </w:r>
          </w:p>
        </w:tc>
        <w:tc>
          <w:tcPr>
            <w:tcW w:w="1257" w:type="dxa"/>
            <w:vAlign w:val="center"/>
          </w:tcPr>
          <w:p w14:paraId="30B8B715"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0/1</w:t>
            </w:r>
          </w:p>
        </w:tc>
        <w:tc>
          <w:tcPr>
            <w:tcW w:w="1258" w:type="dxa"/>
            <w:vAlign w:val="center"/>
          </w:tcPr>
          <w:p w14:paraId="395480B0"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2/2</w:t>
            </w:r>
          </w:p>
        </w:tc>
        <w:tc>
          <w:tcPr>
            <w:tcW w:w="1257" w:type="dxa"/>
            <w:vAlign w:val="center"/>
          </w:tcPr>
          <w:p w14:paraId="79D9B48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2FEFA205"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59660C07" w14:textId="77777777" w:rsidTr="009653EC">
        <w:trPr>
          <w:trHeight w:val="283"/>
        </w:trPr>
        <w:tc>
          <w:tcPr>
            <w:tcW w:w="2003" w:type="dxa"/>
            <w:vAlign w:val="center"/>
          </w:tcPr>
          <w:p w14:paraId="5CB8664B"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M Gupta ***</w:t>
            </w:r>
          </w:p>
        </w:tc>
        <w:tc>
          <w:tcPr>
            <w:tcW w:w="1625" w:type="dxa"/>
            <w:vAlign w:val="center"/>
          </w:tcPr>
          <w:p w14:paraId="2939275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BARC, POC  </w:t>
            </w:r>
          </w:p>
        </w:tc>
        <w:tc>
          <w:tcPr>
            <w:tcW w:w="1258" w:type="dxa"/>
            <w:vAlign w:val="center"/>
          </w:tcPr>
          <w:p w14:paraId="10A6CACA"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5/5</w:t>
            </w:r>
          </w:p>
        </w:tc>
        <w:tc>
          <w:tcPr>
            <w:tcW w:w="1257" w:type="dxa"/>
            <w:vAlign w:val="center"/>
          </w:tcPr>
          <w:p w14:paraId="69BE51D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1/1</w:t>
            </w:r>
          </w:p>
        </w:tc>
        <w:tc>
          <w:tcPr>
            <w:tcW w:w="1258" w:type="dxa"/>
            <w:vAlign w:val="center"/>
          </w:tcPr>
          <w:p w14:paraId="45578B1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4A80ACBA"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5/5</w:t>
            </w:r>
          </w:p>
        </w:tc>
        <w:tc>
          <w:tcPr>
            <w:tcW w:w="1258" w:type="dxa"/>
            <w:vAlign w:val="center"/>
          </w:tcPr>
          <w:p w14:paraId="456F4991"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065A9CD6" w14:textId="77777777" w:rsidTr="009653EC">
        <w:trPr>
          <w:trHeight w:val="283"/>
        </w:trPr>
        <w:tc>
          <w:tcPr>
            <w:tcW w:w="2003" w:type="dxa"/>
            <w:vAlign w:val="center"/>
          </w:tcPr>
          <w:p w14:paraId="3AE845E7"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F Allen *</w:t>
            </w:r>
          </w:p>
        </w:tc>
        <w:tc>
          <w:tcPr>
            <w:tcW w:w="1625" w:type="dxa"/>
            <w:vAlign w:val="center"/>
          </w:tcPr>
          <w:p w14:paraId="7BCE9531"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Board, POC</w:t>
            </w:r>
          </w:p>
        </w:tc>
        <w:tc>
          <w:tcPr>
            <w:tcW w:w="1258" w:type="dxa"/>
            <w:vAlign w:val="center"/>
          </w:tcPr>
          <w:p w14:paraId="3F3E76A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1/1</w:t>
            </w:r>
          </w:p>
        </w:tc>
        <w:tc>
          <w:tcPr>
            <w:tcW w:w="1257" w:type="dxa"/>
            <w:vAlign w:val="center"/>
          </w:tcPr>
          <w:p w14:paraId="5A5BD10B"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0F6F790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4283AA56"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1/1</w:t>
            </w:r>
          </w:p>
        </w:tc>
        <w:tc>
          <w:tcPr>
            <w:tcW w:w="1258" w:type="dxa"/>
            <w:vAlign w:val="center"/>
          </w:tcPr>
          <w:p w14:paraId="502A6B1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1ABB96FF" w14:textId="77777777" w:rsidTr="009653EC">
        <w:trPr>
          <w:trHeight w:val="283"/>
        </w:trPr>
        <w:tc>
          <w:tcPr>
            <w:tcW w:w="2003" w:type="dxa"/>
            <w:vAlign w:val="center"/>
          </w:tcPr>
          <w:p w14:paraId="5D3F648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G McVeigh</w:t>
            </w:r>
          </w:p>
        </w:tc>
        <w:tc>
          <w:tcPr>
            <w:tcW w:w="1625" w:type="dxa"/>
            <w:vAlign w:val="center"/>
          </w:tcPr>
          <w:p w14:paraId="640178DF"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BARC, POC  </w:t>
            </w:r>
          </w:p>
        </w:tc>
        <w:tc>
          <w:tcPr>
            <w:tcW w:w="1258" w:type="dxa"/>
            <w:vAlign w:val="center"/>
          </w:tcPr>
          <w:p w14:paraId="2786E25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4/5</w:t>
            </w:r>
          </w:p>
        </w:tc>
        <w:tc>
          <w:tcPr>
            <w:tcW w:w="1257" w:type="dxa"/>
            <w:vAlign w:val="center"/>
          </w:tcPr>
          <w:p w14:paraId="7CA53F6C"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1/1</w:t>
            </w:r>
          </w:p>
        </w:tc>
        <w:tc>
          <w:tcPr>
            <w:tcW w:w="1258" w:type="dxa"/>
            <w:vAlign w:val="center"/>
          </w:tcPr>
          <w:p w14:paraId="6A7F180E"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28CABAA9"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4/5</w:t>
            </w:r>
          </w:p>
        </w:tc>
        <w:tc>
          <w:tcPr>
            <w:tcW w:w="1258" w:type="dxa"/>
            <w:vAlign w:val="center"/>
          </w:tcPr>
          <w:p w14:paraId="0467BC9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r w:rsidR="009653EC" w:rsidRPr="009653EC" w14:paraId="07D96056" w14:textId="77777777" w:rsidTr="009653EC">
        <w:trPr>
          <w:trHeight w:val="283"/>
        </w:trPr>
        <w:tc>
          <w:tcPr>
            <w:tcW w:w="2003" w:type="dxa"/>
            <w:vAlign w:val="center"/>
          </w:tcPr>
          <w:p w14:paraId="299C84D0"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C Conway # </w:t>
            </w:r>
          </w:p>
        </w:tc>
        <w:tc>
          <w:tcPr>
            <w:tcW w:w="1625" w:type="dxa"/>
            <w:vAlign w:val="center"/>
          </w:tcPr>
          <w:p w14:paraId="749FE0AC"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 xml:space="preserve">Board, POC, SOC </w:t>
            </w:r>
          </w:p>
        </w:tc>
        <w:tc>
          <w:tcPr>
            <w:tcW w:w="1258" w:type="dxa"/>
            <w:vAlign w:val="center"/>
          </w:tcPr>
          <w:p w14:paraId="347B20C5"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10/10</w:t>
            </w:r>
          </w:p>
        </w:tc>
        <w:tc>
          <w:tcPr>
            <w:tcW w:w="1257" w:type="dxa"/>
            <w:vAlign w:val="center"/>
          </w:tcPr>
          <w:p w14:paraId="72A4E9D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3BAB2FB3"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7" w:type="dxa"/>
            <w:vAlign w:val="center"/>
          </w:tcPr>
          <w:p w14:paraId="3151BD05"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c>
          <w:tcPr>
            <w:tcW w:w="1258" w:type="dxa"/>
            <w:vAlign w:val="center"/>
          </w:tcPr>
          <w:p w14:paraId="27CD3E3D" w14:textId="77777777" w:rsidR="009653EC" w:rsidRPr="009653EC" w:rsidRDefault="009653EC" w:rsidP="009653EC">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9653EC">
              <w:rPr>
                <w:rFonts w:cs="Arial"/>
                <w:color w:val="000000" w:themeColor="text1"/>
                <w:sz w:val="20"/>
                <w:szCs w:val="20"/>
              </w:rPr>
              <w:t>-</w:t>
            </w:r>
          </w:p>
        </w:tc>
      </w:tr>
    </w:tbl>
    <w:p w14:paraId="6C254539" w14:textId="77777777" w:rsidR="009653EC" w:rsidRDefault="009653EC" w:rsidP="009653EC">
      <w:pPr>
        <w:rPr>
          <w:rFonts w:cs="Arial"/>
          <w:b/>
          <w:bCs/>
          <w:color w:val="000000" w:themeColor="text1"/>
        </w:rPr>
      </w:pPr>
    </w:p>
    <w:p w14:paraId="4BD9BCD3" w14:textId="77777777" w:rsidR="003A6F5C" w:rsidRPr="003A6F5C" w:rsidRDefault="003A6F5C" w:rsidP="003A6F5C">
      <w:pPr>
        <w:spacing w:line="240" w:lineRule="auto"/>
        <w:rPr>
          <w:sz w:val="18"/>
          <w:szCs w:val="18"/>
        </w:rPr>
      </w:pPr>
      <w:r w:rsidRPr="003A6F5C">
        <w:rPr>
          <w:sz w:val="18"/>
          <w:szCs w:val="18"/>
        </w:rPr>
        <w:t>*</w:t>
      </w:r>
      <w:r w:rsidRPr="003A6F5C">
        <w:rPr>
          <w:sz w:val="18"/>
          <w:szCs w:val="18"/>
        </w:rPr>
        <w:tab/>
        <w:t xml:space="preserve">Denotes Chair of Committee </w:t>
      </w:r>
    </w:p>
    <w:p w14:paraId="7B2DC3BD" w14:textId="77777777" w:rsidR="003A6F5C" w:rsidRPr="003A6F5C" w:rsidRDefault="003A6F5C" w:rsidP="003A6F5C">
      <w:pPr>
        <w:spacing w:line="240" w:lineRule="auto"/>
        <w:rPr>
          <w:sz w:val="18"/>
          <w:szCs w:val="18"/>
        </w:rPr>
      </w:pPr>
      <w:r w:rsidRPr="003A6F5C">
        <w:rPr>
          <w:sz w:val="18"/>
          <w:szCs w:val="18"/>
        </w:rPr>
        <w:t xml:space="preserve"># </w:t>
      </w:r>
      <w:r w:rsidRPr="003A6F5C">
        <w:rPr>
          <w:sz w:val="18"/>
          <w:szCs w:val="18"/>
        </w:rPr>
        <w:tab/>
        <w:t xml:space="preserve">The Group Chief Executive and Chief Financial Officer attend Board Audit and Risk Committee meetings  </w:t>
      </w:r>
    </w:p>
    <w:p w14:paraId="25BB28BE" w14:textId="77777777" w:rsidR="003A6F5C" w:rsidRPr="003A6F5C" w:rsidRDefault="003A6F5C" w:rsidP="003A6F5C">
      <w:pPr>
        <w:spacing w:line="240" w:lineRule="auto"/>
        <w:rPr>
          <w:sz w:val="18"/>
          <w:szCs w:val="18"/>
        </w:rPr>
      </w:pPr>
      <w:r w:rsidRPr="003A6F5C">
        <w:rPr>
          <w:sz w:val="18"/>
          <w:szCs w:val="18"/>
        </w:rPr>
        <w:t>**</w:t>
      </w:r>
      <w:r w:rsidRPr="003A6F5C">
        <w:rPr>
          <w:sz w:val="18"/>
          <w:szCs w:val="18"/>
        </w:rPr>
        <w:tab/>
        <w:t>Appointment as a Board Member ended during 2024/25</w:t>
      </w:r>
    </w:p>
    <w:p w14:paraId="229AD661" w14:textId="1816B6E6" w:rsidR="003A6F5C" w:rsidRDefault="003A6F5C" w:rsidP="003A6F5C">
      <w:pPr>
        <w:spacing w:line="240" w:lineRule="auto"/>
        <w:rPr>
          <w:sz w:val="18"/>
          <w:szCs w:val="18"/>
        </w:rPr>
      </w:pPr>
      <w:r w:rsidRPr="003A6F5C">
        <w:rPr>
          <w:sz w:val="18"/>
          <w:szCs w:val="18"/>
        </w:rPr>
        <w:t>***</w:t>
      </w:r>
      <w:r w:rsidRPr="003A6F5C">
        <w:rPr>
          <w:sz w:val="18"/>
          <w:szCs w:val="18"/>
        </w:rPr>
        <w:tab/>
        <w:t>Chair of Board Audit and Risk Committee</w:t>
      </w:r>
    </w:p>
    <w:p w14:paraId="38857B13" w14:textId="77777777" w:rsidR="003A6F5C" w:rsidRDefault="003A6F5C" w:rsidP="003A6F5C">
      <w:pPr>
        <w:spacing w:line="240" w:lineRule="auto"/>
        <w:rPr>
          <w:sz w:val="18"/>
          <w:szCs w:val="18"/>
        </w:rPr>
      </w:pPr>
    </w:p>
    <w:p w14:paraId="42FC5133" w14:textId="77777777" w:rsidR="003A6F5C" w:rsidRDefault="003A6F5C" w:rsidP="003A6F5C">
      <w:pPr>
        <w:rPr>
          <w:rFonts w:cs="Arial"/>
          <w:color w:val="000000" w:themeColor="text1"/>
        </w:rPr>
      </w:pPr>
    </w:p>
    <w:p w14:paraId="2CE6CE28" w14:textId="6779B407" w:rsidR="003A6F5C" w:rsidRPr="003A6F5C" w:rsidRDefault="003A6F5C" w:rsidP="00FF49BF">
      <w:pPr>
        <w:pStyle w:val="Heading2"/>
      </w:pPr>
      <w:bookmarkStart w:id="163" w:name="_Toc213058595"/>
      <w:r w:rsidRPr="003A6F5C">
        <w:t>Sources of Assurance and Risk Management Controls</w:t>
      </w:r>
      <w:bookmarkEnd w:id="163"/>
    </w:p>
    <w:p w14:paraId="4CFAF1DE" w14:textId="77777777" w:rsidR="003A6F5C" w:rsidRDefault="003A6F5C" w:rsidP="003A6F5C">
      <w:pPr>
        <w:rPr>
          <w:rFonts w:cs="Arial"/>
          <w:b/>
          <w:bCs/>
          <w:color w:val="000000" w:themeColor="text1"/>
        </w:rPr>
      </w:pPr>
    </w:p>
    <w:p w14:paraId="2D7F8E61" w14:textId="64C3F781" w:rsidR="003A6F5C" w:rsidRPr="003A6F5C" w:rsidRDefault="003A6F5C" w:rsidP="00FF49BF">
      <w:pPr>
        <w:pStyle w:val="Heading3"/>
      </w:pPr>
      <w:bookmarkStart w:id="164" w:name="_Toc213058596"/>
      <w:r w:rsidRPr="003A6F5C">
        <w:t>Effective Internal Controls</w:t>
      </w:r>
      <w:bookmarkEnd w:id="164"/>
    </w:p>
    <w:p w14:paraId="1185DB69" w14:textId="77777777" w:rsidR="003A6F5C" w:rsidRPr="003A6F5C" w:rsidRDefault="003A6F5C" w:rsidP="003A6F5C">
      <w:pPr>
        <w:rPr>
          <w:rFonts w:cs="Arial"/>
          <w:color w:val="000000" w:themeColor="text1"/>
        </w:rPr>
      </w:pPr>
      <w:r w:rsidRPr="003A6F5C">
        <w:rPr>
          <w:rFonts w:cs="Arial"/>
          <w:color w:val="000000" w:themeColor="text1"/>
        </w:rPr>
        <w:t xml:space="preserve">The Board acknowledges that it is responsible for Translink’s Risk Management Strategy and Framework. Through the Audit and Risk Committee, the Board carry out an annual review of the Group’s risk framework, to ensure that it accurately reflects the current Group’s operating environment and adequacy of the risk management process. </w:t>
      </w:r>
    </w:p>
    <w:p w14:paraId="573EF926" w14:textId="77777777" w:rsidR="003A6F5C" w:rsidRPr="003A6F5C" w:rsidRDefault="003A6F5C" w:rsidP="003A6F5C">
      <w:pPr>
        <w:rPr>
          <w:rFonts w:cs="Arial"/>
          <w:color w:val="000000" w:themeColor="text1"/>
        </w:rPr>
      </w:pPr>
    </w:p>
    <w:p w14:paraId="25E914E0" w14:textId="77777777" w:rsidR="003A6F5C" w:rsidRPr="003A6F5C" w:rsidRDefault="003A6F5C" w:rsidP="003A6F5C">
      <w:pPr>
        <w:rPr>
          <w:rFonts w:cs="Arial"/>
          <w:color w:val="000000" w:themeColor="text1"/>
        </w:rPr>
      </w:pPr>
      <w:r w:rsidRPr="003A6F5C">
        <w:rPr>
          <w:rFonts w:cs="Arial"/>
          <w:color w:val="000000" w:themeColor="text1"/>
        </w:rPr>
        <w:t xml:space="preserve">Translink has implemented an appropriate Corporate Risk and Assurance Framework (“Corporate RAF”) which simultaneously functions as a risk-identification and management tool as well as an assurance-mapping tool.  It plays a key part in Translink’s Risk Management Strategy (reserved to the Board) and ultimately its Corporate Governance Framework of controls. This integrated approach to risk management and assurance to ensure that its review of risk is used to inform the internal audit plan, accountability and assurance gaps, future corporate planning, and the continuous improvement of internal controls.  The Group General Counsel and Company </w:t>
      </w:r>
      <w:r w:rsidRPr="003A6F5C">
        <w:rPr>
          <w:rFonts w:cs="Arial"/>
          <w:color w:val="000000" w:themeColor="text1"/>
        </w:rPr>
        <w:lastRenderedPageBreak/>
        <w:t xml:space="preserve">Secretary presents the Corporate RAF to the BARC Committee at each meeting and to the complete Board bi-annually. </w:t>
      </w:r>
    </w:p>
    <w:p w14:paraId="79D2A8B1" w14:textId="77777777" w:rsidR="003A6F5C" w:rsidRPr="003A6F5C" w:rsidRDefault="003A6F5C" w:rsidP="003A6F5C">
      <w:pPr>
        <w:rPr>
          <w:rFonts w:cs="Arial"/>
          <w:color w:val="000000" w:themeColor="text1"/>
        </w:rPr>
      </w:pPr>
      <w:r w:rsidRPr="003A6F5C">
        <w:rPr>
          <w:rFonts w:cs="Arial"/>
          <w:color w:val="000000" w:themeColor="text1"/>
        </w:rPr>
        <w:t xml:space="preserve"> </w:t>
      </w:r>
    </w:p>
    <w:p w14:paraId="219E8DE8" w14:textId="77777777" w:rsidR="003A6F5C" w:rsidRPr="003A6F5C" w:rsidRDefault="003A6F5C" w:rsidP="00FF49BF">
      <w:pPr>
        <w:pStyle w:val="Heading3"/>
      </w:pPr>
      <w:bookmarkStart w:id="165" w:name="_Toc213058597"/>
      <w:r w:rsidRPr="003A6F5C">
        <w:t>Internal Audit</w:t>
      </w:r>
      <w:bookmarkEnd w:id="165"/>
    </w:p>
    <w:p w14:paraId="5AB6BDA5" w14:textId="312EF250" w:rsidR="003A6F5C" w:rsidRPr="003A6F5C" w:rsidRDefault="003A6F5C" w:rsidP="003A6F5C">
      <w:pPr>
        <w:rPr>
          <w:rFonts w:cs="Arial"/>
          <w:color w:val="000000" w:themeColor="text1"/>
        </w:rPr>
      </w:pPr>
      <w:r w:rsidRPr="003A6F5C">
        <w:rPr>
          <w:rFonts w:cs="Arial"/>
          <w:color w:val="000000" w:themeColor="text1"/>
        </w:rPr>
        <w:t xml:space="preserve">Internal audit services, including Head of Internal Audit, are provided by an independent organisation. Internal audit conducts a comprehensive programme of audit review and ad-hoc advisory services on various control items throughout the year. The results, recommendations and significant findings are reported to senior executive management at the quarterly Executive Audit &amp; Risk meetings. Management agrees and implements actions, which are tracked through </w:t>
      </w:r>
      <w:r w:rsidRPr="003A6F5C">
        <w:rPr>
          <w:rFonts w:cs="Arial"/>
          <w:color w:val="000000" w:themeColor="text1"/>
        </w:rPr>
        <w:br/>
        <w:t xml:space="preserve">to completion by Internal Audit and the Board Audit and </w:t>
      </w:r>
      <w:r w:rsidRPr="003A6F5C">
        <w:rPr>
          <w:rFonts w:cs="Arial"/>
          <w:color w:val="000000" w:themeColor="text1"/>
        </w:rPr>
        <w:br/>
        <w:t>Risk Committee.</w:t>
      </w:r>
    </w:p>
    <w:p w14:paraId="2F963DE8" w14:textId="77777777" w:rsidR="003A6F5C" w:rsidRPr="003A6F5C" w:rsidRDefault="003A6F5C" w:rsidP="003A6F5C">
      <w:pPr>
        <w:rPr>
          <w:rFonts w:cs="Arial"/>
          <w:color w:val="000000" w:themeColor="text1"/>
        </w:rPr>
      </w:pPr>
    </w:p>
    <w:p w14:paraId="31D1B464" w14:textId="77777777" w:rsidR="003A6F5C" w:rsidRPr="003A6F5C" w:rsidRDefault="003A6F5C" w:rsidP="003A6F5C">
      <w:pPr>
        <w:rPr>
          <w:rFonts w:cs="Arial"/>
          <w:color w:val="000000" w:themeColor="text1"/>
        </w:rPr>
      </w:pPr>
      <w:r w:rsidRPr="003A6F5C">
        <w:rPr>
          <w:rFonts w:cs="Arial"/>
          <w:color w:val="000000" w:themeColor="text1"/>
        </w:rPr>
        <w:t>At the end of the year, the Head of Internal Audit produces their formal opinion and provides an annual assurance rating for the Company.  This provides an important element of assurance to the Accounting Officer, Board Audit and Risk Committee, and Board.</w:t>
      </w:r>
    </w:p>
    <w:p w14:paraId="5AA70548" w14:textId="77777777" w:rsidR="003A6F5C" w:rsidRDefault="003A6F5C" w:rsidP="003A6F5C">
      <w:pPr>
        <w:rPr>
          <w:rFonts w:cs="Arial"/>
          <w:color w:val="000000" w:themeColor="text1"/>
        </w:rPr>
      </w:pPr>
    </w:p>
    <w:p w14:paraId="55022244" w14:textId="521DC1F7" w:rsidR="003A6F5C" w:rsidRPr="003A6F5C" w:rsidRDefault="003A6F5C" w:rsidP="00FF49BF">
      <w:pPr>
        <w:pStyle w:val="Heading3"/>
      </w:pPr>
      <w:bookmarkStart w:id="166" w:name="_Toc213058598"/>
      <w:r w:rsidRPr="003A6F5C">
        <w:t>External Audit</w:t>
      </w:r>
      <w:bookmarkEnd w:id="166"/>
    </w:p>
    <w:p w14:paraId="4DE95E8C" w14:textId="77777777" w:rsidR="003A6F5C" w:rsidRPr="003A6F5C" w:rsidRDefault="003A6F5C" w:rsidP="003A6F5C">
      <w:pPr>
        <w:rPr>
          <w:rFonts w:cs="Arial"/>
          <w:color w:val="000000" w:themeColor="text1"/>
        </w:rPr>
      </w:pPr>
      <w:r w:rsidRPr="003A6F5C">
        <w:rPr>
          <w:rFonts w:cs="Arial"/>
          <w:color w:val="000000" w:themeColor="text1"/>
        </w:rPr>
        <w:t xml:space="preserve">The external auditors provide the Board Audit and Risk Committee with reports, including a regulatory opinion, in connection with the annual accounts and general financial performance. Through their annual management letter and advice to the Company, key recommendations are considered and implemented.  </w:t>
      </w:r>
    </w:p>
    <w:p w14:paraId="0CDD0484" w14:textId="77777777" w:rsidR="003A6F5C" w:rsidRPr="003A6F5C" w:rsidRDefault="003A6F5C" w:rsidP="003A6F5C">
      <w:pPr>
        <w:rPr>
          <w:rFonts w:cs="Arial"/>
          <w:color w:val="000000" w:themeColor="text1"/>
        </w:rPr>
      </w:pPr>
    </w:p>
    <w:p w14:paraId="160305C3" w14:textId="77777777" w:rsidR="003A6F5C" w:rsidRPr="003A6F5C" w:rsidRDefault="003A6F5C" w:rsidP="00FF49BF">
      <w:pPr>
        <w:pStyle w:val="Heading3"/>
      </w:pPr>
      <w:bookmarkStart w:id="167" w:name="_Toc213058599"/>
      <w:r w:rsidRPr="003A6F5C">
        <w:t>Risk Management Processes</w:t>
      </w:r>
      <w:bookmarkEnd w:id="167"/>
    </w:p>
    <w:p w14:paraId="0D00BA19" w14:textId="77777777" w:rsidR="003A6F5C" w:rsidRPr="003A6F5C" w:rsidRDefault="003A6F5C" w:rsidP="003A6F5C">
      <w:pPr>
        <w:rPr>
          <w:rFonts w:cs="Arial"/>
          <w:color w:val="000000" w:themeColor="text1"/>
        </w:rPr>
      </w:pPr>
      <w:r w:rsidRPr="003A6F5C">
        <w:rPr>
          <w:rFonts w:cs="Arial"/>
          <w:color w:val="000000" w:themeColor="text1"/>
        </w:rPr>
        <w:t>The Board and Executive team are responsible for delivering improved levels of service, ensuring the proper use of public money, stewardship of publicly funded assets and the key public service which Translink provides. In meeting these commitments, the associated risk of proposed actions and decisions must be properly identified, evaluated, and managed to ensure that the exposure is within an acceptable range. Translink’s tolerable range of exposure and general boundaries for risk have been set by the Board and senior managers within their risk strategy, to reflect the Translink’s risk appetite.</w:t>
      </w:r>
    </w:p>
    <w:p w14:paraId="6FF003A8" w14:textId="77777777" w:rsidR="003A6F5C" w:rsidRPr="003A6F5C" w:rsidRDefault="003A6F5C" w:rsidP="003A6F5C">
      <w:pPr>
        <w:rPr>
          <w:rFonts w:cs="Arial"/>
          <w:color w:val="000000" w:themeColor="text1"/>
        </w:rPr>
      </w:pPr>
    </w:p>
    <w:p w14:paraId="65C9352C" w14:textId="77777777" w:rsidR="003A6F5C" w:rsidRPr="003A6F5C" w:rsidRDefault="003A6F5C" w:rsidP="003A6F5C">
      <w:pPr>
        <w:rPr>
          <w:rFonts w:cs="Arial"/>
          <w:color w:val="000000" w:themeColor="text1"/>
        </w:rPr>
      </w:pPr>
      <w:r w:rsidRPr="003A6F5C">
        <w:rPr>
          <w:rFonts w:cs="Arial"/>
          <w:color w:val="000000" w:themeColor="text1"/>
        </w:rPr>
        <w:t xml:space="preserve">The risk assessment process which has been developed, reviews risk from the perspective of likelihood and impact on business. The risk management process facilitates the identification and </w:t>
      </w:r>
      <w:r w:rsidRPr="003A6F5C">
        <w:rPr>
          <w:rFonts w:cs="Arial"/>
          <w:color w:val="000000" w:themeColor="text1"/>
        </w:rPr>
        <w:lastRenderedPageBreak/>
        <w:t xml:space="preserve">recording of risks at both senior management and divisional level. The system of internal control enables Translink to respond to a variety of operational, financial, strategic, and commercial risks. </w:t>
      </w:r>
    </w:p>
    <w:p w14:paraId="7309BD76" w14:textId="77777777" w:rsidR="003A6F5C" w:rsidRPr="003A6F5C" w:rsidRDefault="003A6F5C" w:rsidP="003A6F5C">
      <w:pPr>
        <w:rPr>
          <w:rFonts w:cs="Arial"/>
          <w:color w:val="000000" w:themeColor="text1"/>
        </w:rPr>
      </w:pPr>
    </w:p>
    <w:p w14:paraId="06F37805" w14:textId="54829237" w:rsidR="003A6F5C" w:rsidRPr="003A6F5C" w:rsidRDefault="003A6F5C" w:rsidP="003A6F5C">
      <w:pPr>
        <w:rPr>
          <w:rFonts w:cs="Arial"/>
          <w:color w:val="000000" w:themeColor="text1"/>
        </w:rPr>
      </w:pPr>
      <w:r w:rsidRPr="003A6F5C">
        <w:rPr>
          <w:rFonts w:cs="Arial"/>
          <w:color w:val="000000" w:themeColor="text1"/>
        </w:rPr>
        <w:t xml:space="preserve">The Corporate RAF is underpinned by a series of divisional risk registers developed across the organisation, along with an Emerging Risk Register. The divisional registers aid the Executive Committee to inform the Corporate RAF. Project Risk Registers are also utilised for all capital projects. Translink uses an innovative and digital solution to assist the business with effectively recording and managing risk. The web-based solution provides a live risk management tool to aid with decision making and strategic planning, driving continuous improvement of internal controls and the highest standards of reporting, business integrity and ethics.  The digital tool links key risks with the business objectives and encourages the embedding of risk management into all areas of the organisation. </w:t>
      </w:r>
    </w:p>
    <w:p w14:paraId="45500E84" w14:textId="77777777" w:rsidR="003A6F5C" w:rsidRPr="003A6F5C" w:rsidRDefault="003A6F5C" w:rsidP="003A6F5C">
      <w:pPr>
        <w:rPr>
          <w:rFonts w:cs="Arial"/>
          <w:color w:val="000000" w:themeColor="text1"/>
        </w:rPr>
      </w:pPr>
    </w:p>
    <w:p w14:paraId="2B49A85C" w14:textId="77777777" w:rsidR="003A6F5C" w:rsidRPr="003A6F5C" w:rsidRDefault="003A6F5C" w:rsidP="003A6F5C">
      <w:pPr>
        <w:rPr>
          <w:rFonts w:cs="Arial"/>
          <w:color w:val="000000" w:themeColor="text1"/>
        </w:rPr>
      </w:pPr>
      <w:r w:rsidRPr="003A6F5C">
        <w:rPr>
          <w:rFonts w:cs="Arial"/>
          <w:color w:val="000000" w:themeColor="text1"/>
        </w:rPr>
        <w:t xml:space="preserve">Risk Champions within each division work closely with Group General Counsel and Company Secretary in quarterly forums, which act as early warning signals for changing risk profiles or emerging risks. Risk Champions escalate risks from their divisional registers for discussion at the Risk Champion forum and in turn, any significant changes in risk provides or emerging risks are tabled for discussion at the Executive Audit and Risk Committee. </w:t>
      </w:r>
    </w:p>
    <w:p w14:paraId="43CC930F" w14:textId="77777777" w:rsidR="003A6F5C" w:rsidRPr="003A6F5C" w:rsidRDefault="003A6F5C" w:rsidP="003A6F5C">
      <w:pPr>
        <w:rPr>
          <w:rFonts w:cs="Arial"/>
          <w:color w:val="000000" w:themeColor="text1"/>
        </w:rPr>
      </w:pPr>
      <w:r w:rsidRPr="003A6F5C">
        <w:rPr>
          <w:rFonts w:cs="Arial"/>
          <w:color w:val="000000" w:themeColor="text1"/>
        </w:rPr>
        <w:t xml:space="preserve"> </w:t>
      </w:r>
    </w:p>
    <w:p w14:paraId="1A3284C9" w14:textId="77777777" w:rsidR="003A6F5C" w:rsidRPr="003A6F5C" w:rsidRDefault="003A6F5C" w:rsidP="003A6F5C">
      <w:pPr>
        <w:rPr>
          <w:rFonts w:cs="Arial"/>
          <w:color w:val="000000" w:themeColor="text1"/>
        </w:rPr>
      </w:pPr>
      <w:r w:rsidRPr="003A6F5C">
        <w:rPr>
          <w:rFonts w:cs="Arial"/>
          <w:color w:val="000000" w:themeColor="text1"/>
        </w:rPr>
        <w:t>The Group Chief Executive and Group General Counsel and Company Secretary take the lead in sponsoring and preserving the Corporate RAF. The Corporate RAF is reviewed by the Board Audit and Risk Committee at each meeting.</w:t>
      </w:r>
    </w:p>
    <w:p w14:paraId="1F1CE0CC" w14:textId="77777777" w:rsidR="003A6F5C" w:rsidRPr="003A6F5C" w:rsidRDefault="003A6F5C" w:rsidP="003A6F5C">
      <w:pPr>
        <w:rPr>
          <w:rFonts w:cs="Arial"/>
          <w:color w:val="000000" w:themeColor="text1"/>
        </w:rPr>
      </w:pPr>
    </w:p>
    <w:p w14:paraId="011F4B41" w14:textId="77777777" w:rsidR="003A6F5C" w:rsidRPr="003A6F5C" w:rsidRDefault="003A6F5C" w:rsidP="00FF49BF">
      <w:pPr>
        <w:pStyle w:val="Heading3"/>
      </w:pPr>
      <w:bookmarkStart w:id="168" w:name="_Toc213058600"/>
      <w:r w:rsidRPr="003A6F5C">
        <w:t>Assurance Mapping</w:t>
      </w:r>
      <w:bookmarkEnd w:id="168"/>
    </w:p>
    <w:p w14:paraId="2896BFE7" w14:textId="77777777" w:rsidR="003A6F5C" w:rsidRPr="003A6F5C" w:rsidRDefault="003A6F5C" w:rsidP="003A6F5C">
      <w:pPr>
        <w:rPr>
          <w:rFonts w:cs="Arial"/>
          <w:color w:val="000000" w:themeColor="text1"/>
        </w:rPr>
      </w:pPr>
      <w:r w:rsidRPr="003A6F5C">
        <w:rPr>
          <w:rFonts w:cs="Arial"/>
          <w:color w:val="000000" w:themeColor="text1"/>
        </w:rPr>
        <w:t>Prior to completing this Corporate Governance Statement, the Group Chief Executive requires all members of the Executive Committee to sign individual assurance letters in respect of relevant areas of their responsibility under the Partnership Agreement and Risk Management Strategy Framework.</w:t>
      </w:r>
    </w:p>
    <w:p w14:paraId="3A4CB8BE" w14:textId="77777777" w:rsidR="003A6F5C" w:rsidRPr="003A6F5C" w:rsidRDefault="003A6F5C" w:rsidP="003A6F5C">
      <w:pPr>
        <w:rPr>
          <w:rFonts w:cs="Arial"/>
          <w:color w:val="000000" w:themeColor="text1"/>
        </w:rPr>
      </w:pPr>
    </w:p>
    <w:p w14:paraId="2C581C5E" w14:textId="77777777" w:rsidR="003A6F5C" w:rsidRPr="003A6F5C" w:rsidRDefault="003A6F5C" w:rsidP="00FF49BF">
      <w:pPr>
        <w:pStyle w:val="Heading3"/>
      </w:pPr>
      <w:bookmarkStart w:id="169" w:name="_Toc213058601"/>
      <w:r w:rsidRPr="003A6F5C">
        <w:t>Executive Audit and Risk Meetings</w:t>
      </w:r>
      <w:bookmarkEnd w:id="169"/>
    </w:p>
    <w:p w14:paraId="4B44FB05" w14:textId="77777777" w:rsidR="003A6F5C" w:rsidRPr="003A6F5C" w:rsidRDefault="003A6F5C" w:rsidP="003A6F5C">
      <w:pPr>
        <w:rPr>
          <w:rFonts w:cs="Arial"/>
          <w:color w:val="000000" w:themeColor="text1"/>
        </w:rPr>
      </w:pPr>
      <w:r w:rsidRPr="003A6F5C">
        <w:rPr>
          <w:rFonts w:cs="Arial"/>
          <w:color w:val="000000" w:themeColor="text1"/>
        </w:rPr>
        <w:t xml:space="preserve">The Group Chief Executive chairs the quarterly Executive Audit and Risk meetings attended by executive management and Internal Audit, where consideration is given to any risks escalated from the divisional registers to the Corporate RAF, and the Emerging Risk Register. The meetings inform the overall assurance framework. They also help to shape the work of Internal Audit during the year and contribute to the progress of the annual audit plan. </w:t>
      </w:r>
    </w:p>
    <w:p w14:paraId="305EC37D" w14:textId="77777777" w:rsidR="003A6F5C" w:rsidRPr="003A6F5C" w:rsidRDefault="003A6F5C" w:rsidP="003A6F5C">
      <w:pPr>
        <w:rPr>
          <w:rFonts w:cs="Arial"/>
          <w:color w:val="000000" w:themeColor="text1"/>
        </w:rPr>
      </w:pPr>
    </w:p>
    <w:p w14:paraId="3E7E4FA1" w14:textId="77777777" w:rsidR="003A6F5C" w:rsidRPr="003A6F5C" w:rsidRDefault="003A6F5C" w:rsidP="00FF49BF">
      <w:pPr>
        <w:pStyle w:val="Heading3"/>
      </w:pPr>
      <w:bookmarkStart w:id="170" w:name="_Toc213058602"/>
      <w:r w:rsidRPr="003A6F5C">
        <w:t>Financial Reporting</w:t>
      </w:r>
      <w:bookmarkEnd w:id="170"/>
      <w:r w:rsidRPr="003A6F5C">
        <w:t xml:space="preserve"> </w:t>
      </w:r>
    </w:p>
    <w:p w14:paraId="0EC19654" w14:textId="77777777" w:rsidR="003A6F5C" w:rsidRPr="003A6F5C" w:rsidRDefault="003A6F5C" w:rsidP="003A6F5C">
      <w:pPr>
        <w:rPr>
          <w:rFonts w:cs="Arial"/>
          <w:color w:val="000000" w:themeColor="text1"/>
        </w:rPr>
      </w:pPr>
      <w:r w:rsidRPr="003A6F5C">
        <w:rPr>
          <w:rFonts w:cs="Arial"/>
          <w:color w:val="000000" w:themeColor="text1"/>
        </w:rPr>
        <w:t>The Group has comprehensive planning, budgeting, and forecasting processes in place, which include detailed operational budgets for the year ahead, and the delivery of Key Performance Obligations (KPOs).  The Board, the Department for Infrastructure and the Minister review and approve these.</w:t>
      </w:r>
    </w:p>
    <w:p w14:paraId="33B0C8E4" w14:textId="77777777" w:rsidR="003A6F5C" w:rsidRPr="003A6F5C" w:rsidRDefault="003A6F5C" w:rsidP="003A6F5C">
      <w:pPr>
        <w:rPr>
          <w:rFonts w:cs="Arial"/>
          <w:color w:val="000000" w:themeColor="text1"/>
        </w:rPr>
      </w:pPr>
    </w:p>
    <w:p w14:paraId="2017AB65" w14:textId="77777777" w:rsidR="003A6F5C" w:rsidRPr="003A6F5C" w:rsidRDefault="003A6F5C" w:rsidP="00FF49BF">
      <w:pPr>
        <w:pStyle w:val="Heading3"/>
      </w:pPr>
      <w:bookmarkStart w:id="171" w:name="_Toc213058603"/>
      <w:r w:rsidRPr="003A6F5C">
        <w:t>Investment Appraisal</w:t>
      </w:r>
      <w:bookmarkEnd w:id="171"/>
    </w:p>
    <w:p w14:paraId="47170FFE" w14:textId="77777777" w:rsidR="003A6F5C" w:rsidRPr="003A6F5C" w:rsidRDefault="003A6F5C" w:rsidP="003A6F5C">
      <w:pPr>
        <w:rPr>
          <w:rFonts w:cs="Arial"/>
          <w:color w:val="000000" w:themeColor="text1"/>
        </w:rPr>
      </w:pPr>
      <w:r w:rsidRPr="003A6F5C">
        <w:rPr>
          <w:rFonts w:cs="Arial"/>
          <w:color w:val="000000" w:themeColor="text1"/>
        </w:rPr>
        <w:t xml:space="preserve">Capital expenditure is regulated tightly through budgetary processes and authorisation levels. All appropriate appraisals are escalated to the relevant Committee or Board and to </w:t>
      </w:r>
      <w:proofErr w:type="spellStart"/>
      <w:r w:rsidRPr="003A6F5C">
        <w:rPr>
          <w:rFonts w:cs="Arial"/>
          <w:color w:val="000000" w:themeColor="text1"/>
        </w:rPr>
        <w:t>DfI</w:t>
      </w:r>
      <w:proofErr w:type="spellEnd"/>
      <w:r w:rsidRPr="003A6F5C">
        <w:rPr>
          <w:rFonts w:cs="Arial"/>
          <w:color w:val="000000" w:themeColor="text1"/>
        </w:rPr>
        <w:t xml:space="preserve"> as appropriate, for consideration and approval, in line with Translink’s Scheme of Delegation</w:t>
      </w:r>
    </w:p>
    <w:p w14:paraId="5ACD55FE" w14:textId="77777777" w:rsidR="003A6F5C" w:rsidRPr="003A6F5C" w:rsidRDefault="003A6F5C" w:rsidP="003A6F5C">
      <w:pPr>
        <w:rPr>
          <w:rFonts w:cs="Arial"/>
          <w:color w:val="000000" w:themeColor="text1"/>
        </w:rPr>
      </w:pPr>
    </w:p>
    <w:p w14:paraId="1268DF7F" w14:textId="77777777" w:rsidR="003A6F5C" w:rsidRPr="003A6F5C" w:rsidRDefault="003A6F5C" w:rsidP="00FF49BF">
      <w:pPr>
        <w:pStyle w:val="Heading3"/>
      </w:pPr>
      <w:bookmarkStart w:id="172" w:name="_Toc213058604"/>
      <w:r w:rsidRPr="003A6F5C">
        <w:t>The Work of the Board’s Sub-Committees</w:t>
      </w:r>
      <w:bookmarkEnd w:id="172"/>
    </w:p>
    <w:p w14:paraId="5C52C607" w14:textId="77777777" w:rsidR="003A6F5C" w:rsidRPr="003A6F5C" w:rsidRDefault="003A6F5C" w:rsidP="003A6F5C">
      <w:pPr>
        <w:rPr>
          <w:rFonts w:cs="Arial"/>
          <w:color w:val="000000" w:themeColor="text1"/>
        </w:rPr>
      </w:pPr>
      <w:r w:rsidRPr="003A6F5C">
        <w:rPr>
          <w:rFonts w:cs="Arial"/>
          <w:color w:val="000000" w:themeColor="text1"/>
        </w:rPr>
        <w:t xml:space="preserve">An important part of the Group’s assurance and accountability framework during the period was the role played by each of the Board Sub-Committees. These Committees each have an annual cycle of work and provide additional scrutiny of the work and activity of management throughout the year. Each Committee Chair provides key updates to the Board at relevant Board meetings.  </w:t>
      </w:r>
    </w:p>
    <w:p w14:paraId="6E83F1E7" w14:textId="77777777" w:rsidR="003A6F5C" w:rsidRPr="003A6F5C" w:rsidRDefault="003A6F5C" w:rsidP="003A6F5C">
      <w:pPr>
        <w:rPr>
          <w:rFonts w:cs="Arial"/>
          <w:color w:val="000000" w:themeColor="text1"/>
        </w:rPr>
      </w:pPr>
      <w:r w:rsidRPr="003A6F5C">
        <w:rPr>
          <w:rFonts w:cs="Arial"/>
          <w:color w:val="000000" w:themeColor="text1"/>
        </w:rPr>
        <w:t xml:space="preserve">The above internal control systems have been in place for the year under review and up to the date of approval of the annual report and accounts. </w:t>
      </w:r>
    </w:p>
    <w:p w14:paraId="56E41251" w14:textId="77777777" w:rsidR="003A6F5C" w:rsidRPr="003A6F5C" w:rsidRDefault="003A6F5C" w:rsidP="003A6F5C">
      <w:pPr>
        <w:rPr>
          <w:rFonts w:cs="Arial"/>
          <w:color w:val="000000" w:themeColor="text1"/>
        </w:rPr>
      </w:pPr>
    </w:p>
    <w:p w14:paraId="069FA0BF" w14:textId="77777777" w:rsidR="003A6F5C" w:rsidRPr="003A6F5C" w:rsidRDefault="003A6F5C" w:rsidP="00FF49BF">
      <w:pPr>
        <w:pStyle w:val="Heading3"/>
      </w:pPr>
      <w:bookmarkStart w:id="173" w:name="_Toc213058605"/>
      <w:r w:rsidRPr="003A6F5C">
        <w:t>Principal Risks and Uncertainties</w:t>
      </w:r>
      <w:bookmarkEnd w:id="173"/>
    </w:p>
    <w:p w14:paraId="34E66168" w14:textId="77777777" w:rsidR="003A6F5C" w:rsidRPr="003A6F5C" w:rsidRDefault="003A6F5C" w:rsidP="003A6F5C">
      <w:pPr>
        <w:rPr>
          <w:rFonts w:cs="Arial"/>
          <w:color w:val="000000" w:themeColor="text1"/>
        </w:rPr>
      </w:pPr>
      <w:r w:rsidRPr="003A6F5C">
        <w:rPr>
          <w:rFonts w:cs="Arial"/>
          <w:color w:val="000000" w:themeColor="text1"/>
        </w:rPr>
        <w:t>The Board has carried out a robust assessment of the principal risks facing Translink, including those that would threaten its business model, future performance, solvency or liquidity.</w:t>
      </w:r>
    </w:p>
    <w:p w14:paraId="05339818" w14:textId="77777777" w:rsidR="003A6F5C" w:rsidRPr="003A6F5C" w:rsidRDefault="003A6F5C" w:rsidP="003A6F5C">
      <w:pPr>
        <w:rPr>
          <w:rFonts w:cs="Arial"/>
          <w:color w:val="000000" w:themeColor="text1"/>
        </w:rPr>
      </w:pPr>
    </w:p>
    <w:p w14:paraId="275E84DF" w14:textId="77777777" w:rsidR="003A6F5C" w:rsidRDefault="003A6F5C" w:rsidP="003A6F5C">
      <w:pPr>
        <w:rPr>
          <w:rFonts w:cs="Arial"/>
          <w:color w:val="000000" w:themeColor="text1"/>
        </w:rPr>
      </w:pPr>
      <w:r w:rsidRPr="003A6F5C">
        <w:rPr>
          <w:rFonts w:cs="Arial"/>
          <w:color w:val="000000" w:themeColor="text1"/>
        </w:rPr>
        <w:t xml:space="preserve">Translink notes the following corporate risks that will continue to pose challenges for the foreseeable future.  These </w:t>
      </w:r>
      <w:proofErr w:type="gramStart"/>
      <w:r w:rsidRPr="003A6F5C">
        <w:rPr>
          <w:rFonts w:cs="Arial"/>
          <w:color w:val="000000" w:themeColor="text1"/>
        </w:rPr>
        <w:t>particular risks</w:t>
      </w:r>
      <w:proofErr w:type="gramEnd"/>
      <w:r w:rsidRPr="003A6F5C">
        <w:rPr>
          <w:rFonts w:cs="Arial"/>
          <w:color w:val="000000" w:themeColor="text1"/>
        </w:rPr>
        <w:t xml:space="preserve"> require ongoing attention </w:t>
      </w:r>
      <w:proofErr w:type="gramStart"/>
      <w:r w:rsidRPr="003A6F5C">
        <w:rPr>
          <w:rFonts w:cs="Arial"/>
          <w:color w:val="000000" w:themeColor="text1"/>
        </w:rPr>
        <w:t>in order to</w:t>
      </w:r>
      <w:proofErr w:type="gramEnd"/>
      <w:r w:rsidRPr="003A6F5C">
        <w:rPr>
          <w:rFonts w:cs="Arial"/>
          <w:color w:val="000000" w:themeColor="text1"/>
        </w:rPr>
        <w:t xml:space="preserve"> maintain the risks at tolerable levels.  </w:t>
      </w:r>
    </w:p>
    <w:p w14:paraId="73887D3D" w14:textId="77777777" w:rsidR="009D5720" w:rsidRDefault="009D5720" w:rsidP="003A6F5C">
      <w:pPr>
        <w:rPr>
          <w:rFonts w:cs="Arial"/>
          <w:color w:val="000000" w:themeColor="text1"/>
        </w:rPr>
      </w:pPr>
    </w:p>
    <w:p w14:paraId="784859B5" w14:textId="77777777" w:rsidR="009D5720" w:rsidRPr="009D5720" w:rsidRDefault="009D5720" w:rsidP="00FF49BF">
      <w:pPr>
        <w:pStyle w:val="Heading3"/>
      </w:pPr>
      <w:bookmarkStart w:id="174" w:name="_Toc213058606"/>
      <w:r w:rsidRPr="009D5720">
        <w:t>Funding Shortfalls</w:t>
      </w:r>
      <w:bookmarkEnd w:id="174"/>
    </w:p>
    <w:p w14:paraId="0AA66214" w14:textId="77777777" w:rsidR="009D5720" w:rsidRPr="009D5720" w:rsidRDefault="009D5720" w:rsidP="009D5720">
      <w:pPr>
        <w:rPr>
          <w:color w:val="000000"/>
        </w:rPr>
      </w:pPr>
      <w:r w:rsidRPr="009D5720">
        <w:rPr>
          <w:color w:val="000000"/>
        </w:rPr>
        <w:t xml:space="preserve">Uncertainty regarding government funding, exacerbated by the ongoing political uncertainty remains a significant ongoing risk and is highlighted in the Group’s risk registers. A Public Service Contract is in place between Translink and </w:t>
      </w:r>
      <w:proofErr w:type="spellStart"/>
      <w:r w:rsidRPr="009D5720">
        <w:rPr>
          <w:color w:val="000000"/>
        </w:rPr>
        <w:t>DfI</w:t>
      </w:r>
      <w:proofErr w:type="spellEnd"/>
      <w:r w:rsidRPr="009D5720">
        <w:rPr>
          <w:color w:val="000000"/>
        </w:rPr>
        <w:t xml:space="preserve"> to ensure that Translink is adequately funded for the network it is required to deliver, this is subject to ongoing discussions with </w:t>
      </w:r>
      <w:proofErr w:type="spellStart"/>
      <w:r w:rsidRPr="009D5720">
        <w:rPr>
          <w:color w:val="000000"/>
        </w:rPr>
        <w:t>DfI</w:t>
      </w:r>
      <w:proofErr w:type="spellEnd"/>
      <w:r w:rsidRPr="009D5720">
        <w:rPr>
          <w:color w:val="000000"/>
        </w:rPr>
        <w:t>/</w:t>
      </w:r>
      <w:proofErr w:type="spellStart"/>
      <w:r w:rsidRPr="009D5720">
        <w:rPr>
          <w:color w:val="000000"/>
        </w:rPr>
        <w:t>DoF</w:t>
      </w:r>
      <w:proofErr w:type="spellEnd"/>
      <w:r w:rsidRPr="009D5720">
        <w:rPr>
          <w:color w:val="000000"/>
        </w:rPr>
        <w:t xml:space="preserve"> and Translink has management controls in place to manage revenues, costs and cash.</w:t>
      </w:r>
    </w:p>
    <w:p w14:paraId="2C0D4D58" w14:textId="77777777" w:rsidR="009D5720" w:rsidRPr="009D5720" w:rsidRDefault="009D5720" w:rsidP="009D5720">
      <w:pPr>
        <w:rPr>
          <w:color w:val="000000"/>
        </w:rPr>
      </w:pPr>
    </w:p>
    <w:p w14:paraId="155CE5AA" w14:textId="02AF9259" w:rsidR="009D5720" w:rsidRPr="009D5720" w:rsidRDefault="009D5720" w:rsidP="00FF49BF">
      <w:pPr>
        <w:pStyle w:val="Heading3"/>
      </w:pPr>
      <w:bookmarkStart w:id="175" w:name="_Toc213058607"/>
      <w:r w:rsidRPr="009D5720">
        <w:t>Delivery of Major Projects</w:t>
      </w:r>
      <w:bookmarkEnd w:id="175"/>
      <w:r w:rsidRPr="009D5720">
        <w:t xml:space="preserve"> </w:t>
      </w:r>
    </w:p>
    <w:p w14:paraId="27E3632E" w14:textId="77777777" w:rsidR="009D5720" w:rsidRPr="009D5720" w:rsidRDefault="009D5720" w:rsidP="009D5720">
      <w:pPr>
        <w:rPr>
          <w:color w:val="000000"/>
        </w:rPr>
      </w:pPr>
      <w:r w:rsidRPr="009D5720">
        <w:rPr>
          <w:color w:val="000000"/>
        </w:rPr>
        <w:t xml:space="preserve">Translink is responsible for the delivery of many high value and transformational infrastructure projects including the Belfast Grand Central Station (the largest integrated bus and rail station on the island of Ireland) and the Translink Future Ticketing System, which have several complex interdependencies.  Translink has been careful to ensure that assessment of potential risks </w:t>
      </w:r>
      <w:proofErr w:type="gramStart"/>
      <w:r w:rsidRPr="009D5720">
        <w:rPr>
          <w:color w:val="000000"/>
        </w:rPr>
        <w:t>are</w:t>
      </w:r>
      <w:proofErr w:type="gramEnd"/>
      <w:r w:rsidRPr="009D5720">
        <w:rPr>
          <w:color w:val="000000"/>
        </w:rPr>
        <w:t xml:space="preserve"> identified, categorised and evaluated in consultation with key project stakeholders at the commencement of projects, </w:t>
      </w:r>
      <w:proofErr w:type="gramStart"/>
      <w:r w:rsidRPr="009D5720">
        <w:rPr>
          <w:color w:val="000000"/>
        </w:rPr>
        <w:t>and also</w:t>
      </w:r>
      <w:proofErr w:type="gramEnd"/>
      <w:r w:rsidRPr="009D5720">
        <w:rPr>
          <w:color w:val="000000"/>
        </w:rPr>
        <w:t xml:space="preserve"> over the lifetime of the project. To supplement this, independent gateway reviews are held for all major capital projects.  A business change programme is in place to mitigate identified risks associated with project interdependencies.  </w:t>
      </w:r>
    </w:p>
    <w:p w14:paraId="5960ACEF" w14:textId="77777777" w:rsidR="009D5720" w:rsidRPr="009D5720" w:rsidRDefault="009D5720" w:rsidP="009D5720">
      <w:pPr>
        <w:rPr>
          <w:color w:val="000000"/>
        </w:rPr>
      </w:pPr>
    </w:p>
    <w:p w14:paraId="6CD722C4" w14:textId="77777777" w:rsidR="009D5720" w:rsidRPr="009D5720" w:rsidRDefault="009D5720" w:rsidP="009D5720">
      <w:r w:rsidRPr="009D5720">
        <w:t>Other Risks which Appear on the Corporate Risk and Assurance Framework Include:</w:t>
      </w:r>
    </w:p>
    <w:p w14:paraId="145DA028" w14:textId="77777777" w:rsidR="009D5720" w:rsidRPr="009D5720" w:rsidRDefault="009D5720" w:rsidP="009D5720">
      <w:pPr>
        <w:rPr>
          <w:color w:val="000000"/>
        </w:rPr>
      </w:pPr>
    </w:p>
    <w:p w14:paraId="73B1F35A" w14:textId="77777777" w:rsidR="000525D5" w:rsidRPr="000525D5" w:rsidRDefault="009D5720" w:rsidP="009D5720">
      <w:pPr>
        <w:pStyle w:val="ListParagraph"/>
        <w:numPr>
          <w:ilvl w:val="0"/>
          <w:numId w:val="62"/>
        </w:numPr>
        <w:rPr>
          <w:color w:val="000000"/>
        </w:rPr>
      </w:pPr>
      <w:r w:rsidRPr="009D5720">
        <w:rPr>
          <w:color w:val="000000"/>
        </w:rPr>
        <w:t>Failure to optimally manage and secure sufficient benefit from key service-delivery partnership</w:t>
      </w:r>
      <w:r w:rsidR="000525D5">
        <w:rPr>
          <w:color w:val="00BF28"/>
        </w:rPr>
        <w:t xml:space="preserve"> </w:t>
      </w:r>
    </w:p>
    <w:p w14:paraId="37338261" w14:textId="6BD55F32" w:rsidR="009D5720" w:rsidRPr="009D5720" w:rsidRDefault="009D5720" w:rsidP="009D5720">
      <w:pPr>
        <w:pStyle w:val="ListParagraph"/>
        <w:numPr>
          <w:ilvl w:val="0"/>
          <w:numId w:val="62"/>
        </w:numPr>
        <w:rPr>
          <w:color w:val="000000"/>
        </w:rPr>
      </w:pPr>
      <w:r w:rsidRPr="009D5720">
        <w:rPr>
          <w:color w:val="000000"/>
        </w:rPr>
        <w:t>Key supplier failure/</w:t>
      </w:r>
      <w:proofErr w:type="gramStart"/>
      <w:r w:rsidRPr="009D5720">
        <w:rPr>
          <w:color w:val="000000"/>
        </w:rPr>
        <w:t>unavailability;</w:t>
      </w:r>
      <w:proofErr w:type="gramEnd"/>
    </w:p>
    <w:p w14:paraId="4E1D864C" w14:textId="2815FE60" w:rsidR="009D5720" w:rsidRPr="009D5720" w:rsidRDefault="009D5720" w:rsidP="009D5720">
      <w:pPr>
        <w:pStyle w:val="ListParagraph"/>
        <w:numPr>
          <w:ilvl w:val="0"/>
          <w:numId w:val="62"/>
        </w:numPr>
        <w:rPr>
          <w:color w:val="000000"/>
        </w:rPr>
      </w:pPr>
      <w:r w:rsidRPr="009D5720">
        <w:rPr>
          <w:color w:val="000000"/>
        </w:rPr>
        <w:t xml:space="preserve">Difficulty in maintaining good employee relations impacting on the delivery of </w:t>
      </w:r>
      <w:proofErr w:type="gramStart"/>
      <w:r w:rsidRPr="009D5720">
        <w:rPr>
          <w:color w:val="000000"/>
        </w:rPr>
        <w:t>services;</w:t>
      </w:r>
      <w:proofErr w:type="gramEnd"/>
      <w:r w:rsidRPr="009D5720">
        <w:rPr>
          <w:color w:val="000000"/>
        </w:rPr>
        <w:t xml:space="preserve"> </w:t>
      </w:r>
    </w:p>
    <w:p w14:paraId="5DB60140" w14:textId="6ECC6544" w:rsidR="009D5720" w:rsidRPr="009D5720" w:rsidRDefault="009D5720" w:rsidP="009D5720">
      <w:pPr>
        <w:pStyle w:val="ListParagraph"/>
        <w:numPr>
          <w:ilvl w:val="0"/>
          <w:numId w:val="62"/>
        </w:numPr>
        <w:rPr>
          <w:color w:val="000000"/>
        </w:rPr>
      </w:pPr>
      <w:r w:rsidRPr="009D5720">
        <w:rPr>
          <w:color w:val="000000"/>
        </w:rPr>
        <w:t xml:space="preserve">Failure to establish and control an effective framework for managing Translink’s capital investment </w:t>
      </w:r>
      <w:proofErr w:type="gramStart"/>
      <w:r w:rsidRPr="009D5720">
        <w:rPr>
          <w:color w:val="000000"/>
        </w:rPr>
        <w:t>portfolio;</w:t>
      </w:r>
      <w:proofErr w:type="gramEnd"/>
    </w:p>
    <w:p w14:paraId="2A5AE6D1" w14:textId="3255CAFB" w:rsidR="009D5720" w:rsidRPr="009D5720" w:rsidRDefault="009D5720" w:rsidP="009D5720">
      <w:pPr>
        <w:pStyle w:val="ListParagraph"/>
        <w:numPr>
          <w:ilvl w:val="0"/>
          <w:numId w:val="62"/>
        </w:numPr>
        <w:rPr>
          <w:color w:val="000000"/>
        </w:rPr>
      </w:pPr>
      <w:r w:rsidRPr="009D5720">
        <w:rPr>
          <w:color w:val="000000"/>
        </w:rPr>
        <w:t xml:space="preserve">Failure to avoid a catastrophic or major </w:t>
      </w:r>
      <w:proofErr w:type="gramStart"/>
      <w:r w:rsidRPr="009D5720">
        <w:rPr>
          <w:color w:val="000000"/>
        </w:rPr>
        <w:t>incident;</w:t>
      </w:r>
      <w:proofErr w:type="gramEnd"/>
    </w:p>
    <w:p w14:paraId="7C55AF59" w14:textId="2058BA9B" w:rsidR="009D5720" w:rsidRPr="009D5720" w:rsidRDefault="009D5720" w:rsidP="009D5720">
      <w:pPr>
        <w:pStyle w:val="ListParagraph"/>
        <w:numPr>
          <w:ilvl w:val="0"/>
          <w:numId w:val="62"/>
        </w:numPr>
        <w:rPr>
          <w:color w:val="000000"/>
        </w:rPr>
      </w:pPr>
      <w:r w:rsidRPr="009D5720">
        <w:rPr>
          <w:color w:val="000000"/>
        </w:rPr>
        <w:t xml:space="preserve">Cyber </w:t>
      </w:r>
      <w:proofErr w:type="gramStart"/>
      <w:r w:rsidRPr="009D5720">
        <w:rPr>
          <w:color w:val="000000"/>
        </w:rPr>
        <w:t>security;</w:t>
      </w:r>
      <w:proofErr w:type="gramEnd"/>
    </w:p>
    <w:p w14:paraId="7E34D7D9" w14:textId="06FB815D" w:rsidR="009D5720" w:rsidRPr="009D5720" w:rsidRDefault="009D5720" w:rsidP="009D5720">
      <w:pPr>
        <w:pStyle w:val="ListParagraph"/>
        <w:numPr>
          <w:ilvl w:val="0"/>
          <w:numId w:val="62"/>
        </w:numPr>
        <w:rPr>
          <w:color w:val="000000"/>
        </w:rPr>
      </w:pPr>
      <w:r w:rsidRPr="009D5720">
        <w:rPr>
          <w:color w:val="000000"/>
        </w:rPr>
        <w:t>Impact of Brexit (European Railway Standards</w:t>
      </w:r>
      <w:proofErr w:type="gramStart"/>
      <w:r w:rsidRPr="009D5720">
        <w:rPr>
          <w:color w:val="000000"/>
        </w:rPr>
        <w:t>);</w:t>
      </w:r>
      <w:proofErr w:type="gramEnd"/>
    </w:p>
    <w:p w14:paraId="4C499D09" w14:textId="799E70F9" w:rsidR="009D5720" w:rsidRPr="009D5720" w:rsidRDefault="009D5720" w:rsidP="009D5720">
      <w:pPr>
        <w:pStyle w:val="ListParagraph"/>
        <w:numPr>
          <w:ilvl w:val="0"/>
          <w:numId w:val="62"/>
        </w:numPr>
        <w:rPr>
          <w:color w:val="000000"/>
        </w:rPr>
      </w:pPr>
      <w:r w:rsidRPr="009D5720">
        <w:rPr>
          <w:color w:val="000000"/>
        </w:rPr>
        <w:t xml:space="preserve">Damage to corporate </w:t>
      </w:r>
      <w:proofErr w:type="gramStart"/>
      <w:r w:rsidRPr="009D5720">
        <w:rPr>
          <w:color w:val="000000"/>
        </w:rPr>
        <w:t>brand;</w:t>
      </w:r>
      <w:proofErr w:type="gramEnd"/>
    </w:p>
    <w:p w14:paraId="3F1A5031" w14:textId="4E60F665" w:rsidR="009D5720" w:rsidRPr="009D5720" w:rsidRDefault="009D5720" w:rsidP="009D5720">
      <w:pPr>
        <w:pStyle w:val="ListParagraph"/>
        <w:numPr>
          <w:ilvl w:val="0"/>
          <w:numId w:val="62"/>
        </w:numPr>
        <w:rPr>
          <w:color w:val="000000"/>
        </w:rPr>
      </w:pPr>
      <w:proofErr w:type="gramStart"/>
      <w:r w:rsidRPr="009D5720">
        <w:rPr>
          <w:color w:val="000000"/>
        </w:rPr>
        <w:t>Pandemic;</w:t>
      </w:r>
      <w:proofErr w:type="gramEnd"/>
    </w:p>
    <w:p w14:paraId="6F832D2F" w14:textId="78D956C8" w:rsidR="009D5720" w:rsidRPr="009D5720" w:rsidRDefault="009D5720" w:rsidP="009D5720">
      <w:pPr>
        <w:pStyle w:val="ListParagraph"/>
        <w:numPr>
          <w:ilvl w:val="0"/>
          <w:numId w:val="62"/>
        </w:numPr>
        <w:rPr>
          <w:color w:val="000000"/>
        </w:rPr>
      </w:pPr>
      <w:r w:rsidRPr="009D5720">
        <w:rPr>
          <w:color w:val="000000"/>
        </w:rPr>
        <w:t xml:space="preserve">Insufficient whole lifecycle asset management </w:t>
      </w:r>
      <w:proofErr w:type="gramStart"/>
      <w:r w:rsidRPr="009D5720">
        <w:rPr>
          <w:color w:val="000000"/>
        </w:rPr>
        <w:t>funding;</w:t>
      </w:r>
      <w:proofErr w:type="gramEnd"/>
    </w:p>
    <w:p w14:paraId="1669458F" w14:textId="44E32B8B" w:rsidR="009D5720" w:rsidRPr="009D5720" w:rsidRDefault="009D5720" w:rsidP="009D5720">
      <w:pPr>
        <w:pStyle w:val="ListParagraph"/>
        <w:numPr>
          <w:ilvl w:val="0"/>
          <w:numId w:val="62"/>
        </w:numPr>
        <w:rPr>
          <w:color w:val="000000"/>
        </w:rPr>
      </w:pPr>
      <w:r w:rsidRPr="009D5720">
        <w:rPr>
          <w:color w:val="000000"/>
        </w:rPr>
        <w:t>Ability to respond to the adverse effects of Climate Change on Infrastructure and Property Assets; and</w:t>
      </w:r>
    </w:p>
    <w:p w14:paraId="5F9E3E90" w14:textId="5A0A5B1F" w:rsidR="009D5720" w:rsidRPr="009D5720" w:rsidRDefault="009D5720" w:rsidP="009D5720">
      <w:pPr>
        <w:pStyle w:val="ListParagraph"/>
        <w:numPr>
          <w:ilvl w:val="0"/>
          <w:numId w:val="62"/>
        </w:numPr>
        <w:rPr>
          <w:color w:val="000000"/>
        </w:rPr>
      </w:pPr>
      <w:r w:rsidRPr="009D5720">
        <w:rPr>
          <w:color w:val="000000"/>
        </w:rPr>
        <w:t>Contribution to or impact on Climate change.</w:t>
      </w:r>
    </w:p>
    <w:p w14:paraId="54D2FC51" w14:textId="77777777" w:rsidR="009D5720" w:rsidRPr="009D5720" w:rsidRDefault="009D5720" w:rsidP="009D5720">
      <w:pPr>
        <w:rPr>
          <w:color w:val="000000"/>
        </w:rPr>
      </w:pPr>
      <w:r w:rsidRPr="009D5720">
        <w:rPr>
          <w:color w:val="000000"/>
        </w:rPr>
        <w:t xml:space="preserve"> </w:t>
      </w:r>
    </w:p>
    <w:p w14:paraId="3D269FBE" w14:textId="77777777" w:rsidR="009D5720" w:rsidRPr="009D5720" w:rsidRDefault="009D5720" w:rsidP="00FF49BF">
      <w:pPr>
        <w:pStyle w:val="Heading3"/>
      </w:pPr>
      <w:bookmarkStart w:id="176" w:name="_Toc213058608"/>
      <w:r w:rsidRPr="009D5720">
        <w:t>Liaison with Regulatory Authorities</w:t>
      </w:r>
      <w:bookmarkEnd w:id="176"/>
    </w:p>
    <w:p w14:paraId="0DCB2095" w14:textId="77777777" w:rsidR="009D5720" w:rsidRPr="009D5720" w:rsidRDefault="009D5720" w:rsidP="009D5720">
      <w:pPr>
        <w:rPr>
          <w:color w:val="000000"/>
        </w:rPr>
      </w:pPr>
      <w:r w:rsidRPr="009D5720">
        <w:rPr>
          <w:color w:val="000000"/>
        </w:rPr>
        <w:t xml:space="preserve">The Group has committed to preparing Regulatory Accounts for Northern Ireland Railways Company Limited for the year ended 30 March 2025, in compliance with Office of Rail </w:t>
      </w:r>
      <w:r w:rsidRPr="009D5720">
        <w:rPr>
          <w:color w:val="000000"/>
        </w:rPr>
        <w:br/>
        <w:t>and Road.</w:t>
      </w:r>
    </w:p>
    <w:p w14:paraId="44AD9E77" w14:textId="77777777" w:rsidR="009D5720" w:rsidRPr="009D5720" w:rsidRDefault="009D5720" w:rsidP="009D5720">
      <w:pPr>
        <w:rPr>
          <w:color w:val="000000"/>
        </w:rPr>
      </w:pPr>
    </w:p>
    <w:p w14:paraId="53A506C2" w14:textId="77777777" w:rsidR="009D5720" w:rsidRPr="009D5720" w:rsidRDefault="009D5720" w:rsidP="009D5720"/>
    <w:p w14:paraId="7D011DE9" w14:textId="77777777" w:rsidR="009D5720" w:rsidRPr="009D5720" w:rsidRDefault="009D5720" w:rsidP="00FF49BF">
      <w:pPr>
        <w:pStyle w:val="Heading3"/>
      </w:pPr>
      <w:bookmarkStart w:id="177" w:name="_Toc213058609"/>
      <w:r w:rsidRPr="009D5720">
        <w:t>Assessment of Internal Control</w:t>
      </w:r>
      <w:bookmarkEnd w:id="177"/>
    </w:p>
    <w:p w14:paraId="2EE560E4" w14:textId="7C721F84" w:rsidR="009D5720" w:rsidRPr="009D5720" w:rsidRDefault="009D5720" w:rsidP="009D5720">
      <w:pPr>
        <w:rPr>
          <w:color w:val="000000"/>
        </w:rPr>
      </w:pPr>
      <w:r w:rsidRPr="009D5720">
        <w:rPr>
          <w:color w:val="000000"/>
        </w:rPr>
        <w:t xml:space="preserve">The Company’s principal risks are tested and probed on an ongoing basis by </w:t>
      </w:r>
      <w:proofErr w:type="gramStart"/>
      <w:r w:rsidRPr="009D5720">
        <w:rPr>
          <w:color w:val="000000"/>
        </w:rPr>
        <w:t>myself</w:t>
      </w:r>
      <w:proofErr w:type="gramEnd"/>
      <w:r w:rsidRPr="009D5720">
        <w:rPr>
          <w:color w:val="000000"/>
        </w:rPr>
        <w:t xml:space="preserve"> as Accounting Officer but also by the Board of Directors, Executive Committee and the Risk Champions. </w:t>
      </w:r>
    </w:p>
    <w:p w14:paraId="30C2DE39" w14:textId="77777777" w:rsidR="009D5720" w:rsidRPr="009D5720" w:rsidRDefault="009D5720" w:rsidP="009D5720">
      <w:pPr>
        <w:rPr>
          <w:color w:val="000000"/>
        </w:rPr>
      </w:pPr>
      <w:r w:rsidRPr="009D5720">
        <w:rPr>
          <w:color w:val="000000"/>
        </w:rPr>
        <w:t xml:space="preserve"> </w:t>
      </w:r>
    </w:p>
    <w:p w14:paraId="3ED410EA" w14:textId="77777777" w:rsidR="009D5720" w:rsidRPr="009D5720" w:rsidRDefault="009D5720" w:rsidP="009D5720">
      <w:pPr>
        <w:rPr>
          <w:color w:val="000000"/>
        </w:rPr>
      </w:pPr>
      <w:r w:rsidRPr="009D5720">
        <w:rPr>
          <w:color w:val="000000"/>
        </w:rPr>
        <w:t xml:space="preserve">In this statement, I have provided an outline of the most significant risks which have affected our business during the financial year balanced with the assurance I take from the range of controls and processes in place to manage these risks.  For the period, my assessment is that the relevant systems of internal control and risk management are operating effectively.  Significant risks are identified, recorded, managed, and targeted for response as appropriate.  </w:t>
      </w:r>
    </w:p>
    <w:p w14:paraId="6899C389" w14:textId="77777777" w:rsidR="009D5720" w:rsidRPr="009D5720" w:rsidRDefault="009D5720" w:rsidP="009D5720">
      <w:pPr>
        <w:rPr>
          <w:color w:val="000000"/>
        </w:rPr>
      </w:pPr>
    </w:p>
    <w:p w14:paraId="6DEF5980" w14:textId="77777777" w:rsidR="009D5720" w:rsidRPr="009D5720" w:rsidRDefault="009D5720" w:rsidP="00FF49BF">
      <w:pPr>
        <w:pStyle w:val="Heading3"/>
      </w:pPr>
      <w:bookmarkStart w:id="178" w:name="_Toc213058610"/>
      <w:r w:rsidRPr="009D5720">
        <w:t>Internal Control Divergences</w:t>
      </w:r>
      <w:bookmarkEnd w:id="178"/>
    </w:p>
    <w:p w14:paraId="12497193" w14:textId="77777777" w:rsidR="009D5720" w:rsidRPr="009D5720" w:rsidRDefault="009D5720" w:rsidP="009D5720">
      <w:pPr>
        <w:rPr>
          <w:color w:val="000000"/>
        </w:rPr>
      </w:pPr>
      <w:r w:rsidRPr="009D5720">
        <w:rPr>
          <w:color w:val="000000"/>
        </w:rPr>
        <w:t>There have been no major internal control divergences which have arisen during the financial year.</w:t>
      </w:r>
    </w:p>
    <w:p w14:paraId="2696C170" w14:textId="77777777" w:rsidR="009D5720" w:rsidRPr="009D5720" w:rsidRDefault="009D5720" w:rsidP="009D5720">
      <w:pPr>
        <w:rPr>
          <w:color w:val="000000"/>
        </w:rPr>
      </w:pPr>
    </w:p>
    <w:p w14:paraId="00879F89" w14:textId="77777777" w:rsidR="009D5720" w:rsidRPr="009D5720" w:rsidRDefault="009D5720" w:rsidP="00FF49BF">
      <w:pPr>
        <w:pStyle w:val="Heading2"/>
      </w:pPr>
      <w:bookmarkStart w:id="179" w:name="_Toc213058611"/>
      <w:r w:rsidRPr="009D5720">
        <w:t>Conclusion</w:t>
      </w:r>
      <w:bookmarkEnd w:id="179"/>
    </w:p>
    <w:p w14:paraId="6E0006EF" w14:textId="6BACF3E3" w:rsidR="009D5720" w:rsidRPr="009D5720" w:rsidRDefault="009D5720" w:rsidP="009D5720">
      <w:pPr>
        <w:rPr>
          <w:color w:val="000000"/>
        </w:rPr>
      </w:pPr>
      <w:r w:rsidRPr="009D5720">
        <w:rPr>
          <w:color w:val="000000"/>
        </w:rPr>
        <w:t>Translink has a rigorous system of accountability which I rely upon to form an opinion on the control framework.</w:t>
      </w:r>
      <w:r>
        <w:rPr>
          <w:color w:val="000000"/>
        </w:rPr>
        <w:t xml:space="preserve"> </w:t>
      </w:r>
      <w:r w:rsidRPr="009D5720">
        <w:rPr>
          <w:color w:val="000000"/>
        </w:rPr>
        <w:t>Assurances and written confirmations provided to me by Executive Committee colleagues inform my assessment of risk.</w:t>
      </w:r>
      <w:r>
        <w:rPr>
          <w:color w:val="000000"/>
        </w:rPr>
        <w:t xml:space="preserve"> </w:t>
      </w:r>
      <w:r w:rsidRPr="009D5720">
        <w:rPr>
          <w:color w:val="000000"/>
        </w:rPr>
        <w:t>I am pleased to report that I am content that Translink has operated a system of good governance and internal control during the reporting period.</w:t>
      </w:r>
    </w:p>
    <w:p w14:paraId="1216F990" w14:textId="77777777" w:rsidR="009D5720" w:rsidRPr="009D5720" w:rsidRDefault="009D5720" w:rsidP="009D5720">
      <w:pPr>
        <w:rPr>
          <w:outline/>
          <w:color w:val="000000"/>
          <w14:textOutline w14:w="9525" w14:cap="flat" w14:cmpd="sng" w14:algn="ctr">
            <w14:solidFill>
              <w14:srgbClr w14:val="000000"/>
            </w14:solidFill>
            <w14:prstDash w14:val="solid"/>
            <w14:round/>
          </w14:textOutline>
          <w14:textFill>
            <w14:noFill/>
          </w14:textFill>
        </w:rPr>
      </w:pPr>
    </w:p>
    <w:p w14:paraId="4A2129C7" w14:textId="77777777" w:rsidR="009D5720" w:rsidRPr="00A92B87" w:rsidRDefault="009D5720" w:rsidP="009D5720">
      <w:pPr>
        <w:rPr>
          <w:b/>
          <w:bCs/>
          <w:color w:val="000000"/>
        </w:rPr>
      </w:pPr>
      <w:r w:rsidRPr="00A92B87">
        <w:rPr>
          <w:b/>
          <w:bCs/>
          <w:color w:val="000000"/>
        </w:rPr>
        <w:t xml:space="preserve">Chris Conway </w:t>
      </w:r>
      <w:r w:rsidRPr="00A92B87">
        <w:rPr>
          <w:b/>
          <w:bCs/>
          <w:color w:val="000000"/>
        </w:rPr>
        <w:tab/>
      </w:r>
    </w:p>
    <w:p w14:paraId="754C8D02" w14:textId="77777777" w:rsidR="009D5720" w:rsidRPr="009D5720" w:rsidRDefault="009D5720" w:rsidP="009D5720">
      <w:pPr>
        <w:rPr>
          <w:color w:val="000000"/>
        </w:rPr>
      </w:pPr>
      <w:r w:rsidRPr="009D5720">
        <w:rPr>
          <w:color w:val="000000"/>
        </w:rPr>
        <w:t>Chief Executive Officer</w:t>
      </w:r>
      <w:r w:rsidRPr="009D5720">
        <w:rPr>
          <w:color w:val="000000"/>
        </w:rPr>
        <w:tab/>
      </w:r>
    </w:p>
    <w:p w14:paraId="14CA7E24" w14:textId="77777777" w:rsidR="009D5720" w:rsidRDefault="009D5720" w:rsidP="009D5720">
      <w:pPr>
        <w:rPr>
          <w:color w:val="000000"/>
        </w:rPr>
      </w:pPr>
      <w:r w:rsidRPr="009D5720">
        <w:rPr>
          <w:color w:val="000000"/>
        </w:rPr>
        <w:t>18 June 2025</w:t>
      </w:r>
    </w:p>
    <w:p w14:paraId="7A83ADA1" w14:textId="44ED4704" w:rsidR="009D5720" w:rsidRDefault="009D5720">
      <w:pPr>
        <w:spacing w:line="240" w:lineRule="auto"/>
        <w:rPr>
          <w:color w:val="000000"/>
        </w:rPr>
      </w:pPr>
      <w:r>
        <w:rPr>
          <w:color w:val="000000"/>
        </w:rPr>
        <w:br w:type="page"/>
      </w:r>
    </w:p>
    <w:p w14:paraId="0CE18596" w14:textId="77777777" w:rsidR="009D5720" w:rsidRPr="00FF49BF" w:rsidRDefault="009D5720" w:rsidP="00FF49BF">
      <w:pPr>
        <w:pStyle w:val="Heading1"/>
      </w:pPr>
      <w:bookmarkStart w:id="180" w:name="_Toc213058612"/>
      <w:r w:rsidRPr="00FF49BF">
        <w:lastRenderedPageBreak/>
        <w:t>Audit and Risk</w:t>
      </w:r>
      <w:bookmarkEnd w:id="180"/>
      <w:r w:rsidRPr="00FF49BF">
        <w:t xml:space="preserve"> </w:t>
      </w:r>
    </w:p>
    <w:p w14:paraId="5DCA4E2D" w14:textId="42CE760D" w:rsidR="009D5720" w:rsidRPr="00FF49BF" w:rsidRDefault="009D5720" w:rsidP="00FF49BF">
      <w:pPr>
        <w:pStyle w:val="Heading1"/>
      </w:pPr>
      <w:bookmarkStart w:id="181" w:name="_Toc213058613"/>
      <w:r w:rsidRPr="00FF49BF">
        <w:t>Committee Report</w:t>
      </w:r>
      <w:bookmarkEnd w:id="181"/>
    </w:p>
    <w:p w14:paraId="2F027A8E" w14:textId="77777777" w:rsidR="009D5720" w:rsidRPr="009D5720" w:rsidRDefault="009D5720" w:rsidP="00FF49BF">
      <w:pPr>
        <w:pStyle w:val="Heading2"/>
      </w:pPr>
      <w:bookmarkStart w:id="182" w:name="_Toc213058614"/>
      <w:r w:rsidRPr="009D5720">
        <w:t>Summary of the Role of the Audit Committee</w:t>
      </w:r>
      <w:bookmarkEnd w:id="182"/>
    </w:p>
    <w:p w14:paraId="0D2468B7" w14:textId="5989E9E1" w:rsidR="009D5720" w:rsidRPr="009D5720" w:rsidRDefault="009D5720" w:rsidP="009D5720">
      <w:pPr>
        <w:rPr>
          <w:rFonts w:cs="Arial"/>
          <w:color w:val="000000" w:themeColor="text1"/>
        </w:rPr>
      </w:pPr>
      <w:r w:rsidRPr="009D5720">
        <w:rPr>
          <w:rFonts w:cs="Arial"/>
          <w:color w:val="000000" w:themeColor="text1"/>
        </w:rPr>
        <w:t>The Audit and Risk Committee is a formally constituted committee of the Board. The primary responsibilities and</w:t>
      </w:r>
      <w:r>
        <w:rPr>
          <w:rFonts w:cs="Arial"/>
          <w:color w:val="000000" w:themeColor="text1"/>
        </w:rPr>
        <w:t xml:space="preserve"> </w:t>
      </w:r>
      <w:r w:rsidRPr="009D5720">
        <w:rPr>
          <w:rFonts w:cs="Arial"/>
          <w:color w:val="000000" w:themeColor="text1"/>
        </w:rPr>
        <w:t>tasks undertaken by the Committee are to:</w:t>
      </w:r>
    </w:p>
    <w:p w14:paraId="48D1E0C3" w14:textId="77777777" w:rsidR="009D5720" w:rsidRPr="009D5720" w:rsidRDefault="009D5720" w:rsidP="009D5720">
      <w:pPr>
        <w:rPr>
          <w:rFonts w:cs="Arial"/>
          <w:color w:val="000000" w:themeColor="text1"/>
        </w:rPr>
      </w:pPr>
    </w:p>
    <w:p w14:paraId="36A88018" w14:textId="1ADE3E4C"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monitor the integrity of the financial </w:t>
      </w:r>
      <w:proofErr w:type="gramStart"/>
      <w:r w:rsidRPr="009D5720">
        <w:rPr>
          <w:rFonts w:cs="Arial"/>
          <w:color w:val="000000" w:themeColor="text1"/>
        </w:rPr>
        <w:t>statements;</w:t>
      </w:r>
      <w:proofErr w:type="gramEnd"/>
      <w:r w:rsidRPr="009D5720">
        <w:rPr>
          <w:rFonts w:cs="Arial"/>
          <w:color w:val="000000" w:themeColor="text1"/>
        </w:rPr>
        <w:t xml:space="preserve"> </w:t>
      </w:r>
    </w:p>
    <w:p w14:paraId="7946D7BB" w14:textId="5B08B01E"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review the Group’s internal financial </w:t>
      </w:r>
      <w:proofErr w:type="gramStart"/>
      <w:r w:rsidRPr="009D5720">
        <w:rPr>
          <w:rFonts w:cs="Arial"/>
          <w:color w:val="000000" w:themeColor="text1"/>
        </w:rPr>
        <w:t>controls;</w:t>
      </w:r>
      <w:proofErr w:type="gramEnd"/>
      <w:r w:rsidRPr="009D5720">
        <w:rPr>
          <w:rFonts w:cs="Arial"/>
          <w:color w:val="000000" w:themeColor="text1"/>
        </w:rPr>
        <w:t xml:space="preserve"> </w:t>
      </w:r>
    </w:p>
    <w:p w14:paraId="2DCF17EC" w14:textId="775945D0"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monitor and review the effectiveness of the Group’s internal audit </w:t>
      </w:r>
      <w:proofErr w:type="gramStart"/>
      <w:r w:rsidRPr="009D5720">
        <w:rPr>
          <w:rFonts w:cs="Arial"/>
          <w:color w:val="000000" w:themeColor="text1"/>
        </w:rPr>
        <w:t>function;</w:t>
      </w:r>
      <w:proofErr w:type="gramEnd"/>
    </w:p>
    <w:p w14:paraId="7CD57D4A" w14:textId="36D83160"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make recommendations to the Board in relation to the appointment and removal of the External Auditors including remuneration and terms of </w:t>
      </w:r>
      <w:proofErr w:type="gramStart"/>
      <w:r w:rsidRPr="009D5720">
        <w:rPr>
          <w:rFonts w:cs="Arial"/>
          <w:color w:val="000000" w:themeColor="text1"/>
        </w:rPr>
        <w:t>engagement;</w:t>
      </w:r>
      <w:proofErr w:type="gramEnd"/>
    </w:p>
    <w:p w14:paraId="253487CE" w14:textId="1EEB109C"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ensure that effective risk management procedures and process are in </w:t>
      </w:r>
      <w:proofErr w:type="gramStart"/>
      <w:r w:rsidRPr="009D5720">
        <w:rPr>
          <w:rFonts w:cs="Arial"/>
          <w:color w:val="000000" w:themeColor="text1"/>
        </w:rPr>
        <w:t>place;</w:t>
      </w:r>
      <w:proofErr w:type="gramEnd"/>
    </w:p>
    <w:p w14:paraId="6B4AB057" w14:textId="3AE8F741"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 xml:space="preserve">develop and implement policy on the engagement of </w:t>
      </w:r>
      <w:r w:rsidRPr="009D5720">
        <w:rPr>
          <w:rFonts w:cs="Arial"/>
          <w:color w:val="000000" w:themeColor="text1"/>
        </w:rPr>
        <w:br/>
        <w:t>the Internal and External Auditors to supply non-audit services; and</w:t>
      </w:r>
    </w:p>
    <w:p w14:paraId="2B5BF6E3" w14:textId="16625680" w:rsidR="009D5720" w:rsidRPr="009D5720" w:rsidRDefault="009D5720" w:rsidP="009D5720">
      <w:pPr>
        <w:pStyle w:val="ListParagraph"/>
        <w:numPr>
          <w:ilvl w:val="0"/>
          <w:numId w:val="63"/>
        </w:numPr>
        <w:rPr>
          <w:rFonts w:cs="Arial"/>
          <w:color w:val="000000" w:themeColor="text1"/>
        </w:rPr>
      </w:pPr>
      <w:r w:rsidRPr="009D5720">
        <w:rPr>
          <w:rFonts w:cs="Arial"/>
          <w:color w:val="000000" w:themeColor="text1"/>
        </w:rPr>
        <w:t>advise the Board on whether the annual report and financial statements, taken as a whole, are fair, balanced and understandable.</w:t>
      </w:r>
    </w:p>
    <w:p w14:paraId="021B30EB" w14:textId="77777777" w:rsidR="009D5720" w:rsidRPr="009D5720" w:rsidRDefault="009D5720" w:rsidP="009D5720">
      <w:pPr>
        <w:rPr>
          <w:rFonts w:cs="Arial"/>
          <w:color w:val="000000" w:themeColor="text1"/>
        </w:rPr>
      </w:pPr>
    </w:p>
    <w:p w14:paraId="683061AA" w14:textId="77777777" w:rsidR="009D5720" w:rsidRPr="009D5720" w:rsidRDefault="009D5720" w:rsidP="009D5720">
      <w:pPr>
        <w:rPr>
          <w:rFonts w:cs="Arial"/>
          <w:color w:val="000000" w:themeColor="text1"/>
        </w:rPr>
      </w:pPr>
      <w:r w:rsidRPr="009D5720">
        <w:rPr>
          <w:rFonts w:cs="Arial"/>
          <w:color w:val="000000" w:themeColor="text1"/>
        </w:rPr>
        <w:t>The Terms of Reference of the Committee are reviewed annually, most recently in September 2024, and are available on the Translink website.</w:t>
      </w:r>
    </w:p>
    <w:p w14:paraId="231F9CBD" w14:textId="77777777" w:rsidR="009D5720" w:rsidRPr="009D5720" w:rsidRDefault="009D5720" w:rsidP="009D5720">
      <w:pPr>
        <w:rPr>
          <w:rFonts w:cs="Arial"/>
          <w:color w:val="000000" w:themeColor="text1"/>
        </w:rPr>
      </w:pPr>
    </w:p>
    <w:p w14:paraId="0ECCD14F" w14:textId="77777777" w:rsidR="009D5720" w:rsidRPr="009D5720" w:rsidRDefault="009D5720" w:rsidP="00FF49BF">
      <w:pPr>
        <w:pStyle w:val="Heading2"/>
      </w:pPr>
      <w:bookmarkStart w:id="183" w:name="_Toc213058615"/>
      <w:r w:rsidRPr="009D5720">
        <w:t>Composition of the Audit Committee</w:t>
      </w:r>
      <w:bookmarkEnd w:id="183"/>
    </w:p>
    <w:p w14:paraId="62868496" w14:textId="77777777" w:rsidR="009D5720" w:rsidRPr="009D5720" w:rsidRDefault="009D5720" w:rsidP="009D5720">
      <w:pPr>
        <w:rPr>
          <w:rFonts w:cs="Arial"/>
          <w:color w:val="000000" w:themeColor="text1"/>
        </w:rPr>
      </w:pPr>
      <w:r w:rsidRPr="009D5720">
        <w:rPr>
          <w:rFonts w:cs="Arial"/>
          <w:color w:val="000000" w:themeColor="text1"/>
        </w:rPr>
        <w:t>The Audit and Risk Committee is appointed by the Chair of the Company and approved by the Board. The members during 2024/25 were non-executive Directors and comprised of:</w:t>
      </w:r>
    </w:p>
    <w:p w14:paraId="5D9953DE" w14:textId="77777777" w:rsidR="009D5720" w:rsidRPr="009D5720" w:rsidRDefault="009D5720" w:rsidP="009D5720">
      <w:pPr>
        <w:rPr>
          <w:rFonts w:cs="Arial"/>
          <w:color w:val="000000" w:themeColor="text1"/>
        </w:rPr>
      </w:pPr>
    </w:p>
    <w:p w14:paraId="5E3362A2" w14:textId="77777777" w:rsidR="009D5720" w:rsidRPr="009D5720" w:rsidRDefault="009D5720" w:rsidP="009D5720">
      <w:pPr>
        <w:rPr>
          <w:rFonts w:cs="Arial"/>
          <w:color w:val="000000" w:themeColor="text1"/>
        </w:rPr>
      </w:pPr>
      <w:r w:rsidRPr="009D5720">
        <w:rPr>
          <w:rFonts w:cs="Arial"/>
          <w:color w:val="000000" w:themeColor="text1"/>
        </w:rPr>
        <w:t>Sharon O’Connor (Chair – until 30 September 2024)</w:t>
      </w:r>
    </w:p>
    <w:p w14:paraId="745BCBC5" w14:textId="77777777" w:rsidR="009D5720" w:rsidRPr="009D5720" w:rsidRDefault="009D5720" w:rsidP="009D5720">
      <w:pPr>
        <w:rPr>
          <w:rFonts w:cs="Arial"/>
          <w:color w:val="000000" w:themeColor="text1"/>
        </w:rPr>
      </w:pPr>
      <w:r w:rsidRPr="009D5720">
        <w:rPr>
          <w:rFonts w:cs="Arial"/>
          <w:color w:val="000000" w:themeColor="text1"/>
        </w:rPr>
        <w:t>Marie Mallon (until 30 September 2024)</w:t>
      </w:r>
    </w:p>
    <w:p w14:paraId="00A54C7E" w14:textId="77777777" w:rsidR="009D5720" w:rsidRPr="009D5720" w:rsidRDefault="009D5720" w:rsidP="009D5720">
      <w:pPr>
        <w:rPr>
          <w:rFonts w:cs="Arial"/>
          <w:color w:val="000000" w:themeColor="text1"/>
        </w:rPr>
      </w:pPr>
      <w:r w:rsidRPr="009D5720">
        <w:rPr>
          <w:rFonts w:cs="Arial"/>
          <w:color w:val="000000" w:themeColor="text1"/>
        </w:rPr>
        <w:t>Mike Brown (until 18 December 2024)</w:t>
      </w:r>
    </w:p>
    <w:p w14:paraId="60741DEB" w14:textId="77777777" w:rsidR="009D5720" w:rsidRPr="009D5720" w:rsidRDefault="009D5720" w:rsidP="009D5720">
      <w:pPr>
        <w:rPr>
          <w:rFonts w:cs="Arial"/>
          <w:color w:val="000000" w:themeColor="text1"/>
        </w:rPr>
      </w:pPr>
      <w:r w:rsidRPr="009D5720">
        <w:rPr>
          <w:rFonts w:cs="Arial"/>
          <w:color w:val="000000" w:themeColor="text1"/>
        </w:rPr>
        <w:t>Manish Gupta (Chair – from 1 October 2024)</w:t>
      </w:r>
    </w:p>
    <w:p w14:paraId="61AC974A" w14:textId="77777777" w:rsidR="009D5720" w:rsidRPr="009D5720" w:rsidRDefault="009D5720" w:rsidP="009D5720">
      <w:pPr>
        <w:rPr>
          <w:rFonts w:cs="Arial"/>
          <w:color w:val="000000" w:themeColor="text1"/>
        </w:rPr>
      </w:pPr>
      <w:r w:rsidRPr="009D5720">
        <w:rPr>
          <w:rFonts w:cs="Arial"/>
          <w:color w:val="000000" w:themeColor="text1"/>
        </w:rPr>
        <w:t>Don Leeson (from 1 October 2024)</w:t>
      </w:r>
    </w:p>
    <w:p w14:paraId="3534CBCC" w14:textId="77777777" w:rsidR="009D5720" w:rsidRPr="009D5720" w:rsidRDefault="009D5720" w:rsidP="009D5720">
      <w:pPr>
        <w:rPr>
          <w:rFonts w:cs="Arial"/>
          <w:color w:val="000000" w:themeColor="text1"/>
        </w:rPr>
      </w:pPr>
      <w:r w:rsidRPr="009D5720">
        <w:rPr>
          <w:rFonts w:cs="Arial"/>
          <w:color w:val="000000" w:themeColor="text1"/>
        </w:rPr>
        <w:t>Grainne McVeigh (from 1 October 2024)</w:t>
      </w:r>
    </w:p>
    <w:p w14:paraId="457B29C0" w14:textId="77777777" w:rsidR="009D5720" w:rsidRPr="009D5720" w:rsidRDefault="009D5720" w:rsidP="009D5720">
      <w:pPr>
        <w:rPr>
          <w:rFonts w:cs="Arial"/>
          <w:color w:val="000000" w:themeColor="text1"/>
        </w:rPr>
      </w:pPr>
    </w:p>
    <w:p w14:paraId="20FD8005" w14:textId="77777777" w:rsidR="009D5720" w:rsidRPr="009D5720" w:rsidRDefault="009D5720" w:rsidP="009D5720">
      <w:pPr>
        <w:rPr>
          <w:rFonts w:cs="Arial"/>
          <w:color w:val="000000" w:themeColor="text1"/>
        </w:rPr>
      </w:pPr>
      <w:r w:rsidRPr="009D5720">
        <w:rPr>
          <w:rFonts w:cs="Arial"/>
          <w:color w:val="000000" w:themeColor="text1"/>
        </w:rPr>
        <w:lastRenderedPageBreak/>
        <w:t xml:space="preserve">The Committee is independent of </w:t>
      </w:r>
      <w:proofErr w:type="gramStart"/>
      <w:r w:rsidRPr="009D5720">
        <w:rPr>
          <w:rFonts w:cs="Arial"/>
          <w:color w:val="000000" w:themeColor="text1"/>
        </w:rPr>
        <w:t>management</w:t>
      </w:r>
      <w:proofErr w:type="gramEnd"/>
      <w:r w:rsidRPr="009D5720">
        <w:rPr>
          <w:rFonts w:cs="Arial"/>
          <w:color w:val="000000" w:themeColor="text1"/>
        </w:rPr>
        <w:t xml:space="preserve"> and its membership has an appropriate range of skills in relation to governance, risk and control </w:t>
      </w:r>
      <w:proofErr w:type="gramStart"/>
      <w:r w:rsidRPr="009D5720">
        <w:rPr>
          <w:rFonts w:cs="Arial"/>
          <w:color w:val="000000" w:themeColor="text1"/>
        </w:rPr>
        <w:t>and also</w:t>
      </w:r>
      <w:proofErr w:type="gramEnd"/>
      <w:r w:rsidRPr="009D5720">
        <w:rPr>
          <w:rFonts w:cs="Arial"/>
          <w:color w:val="000000" w:themeColor="text1"/>
        </w:rPr>
        <w:t xml:space="preserve"> meets the requirements for recent and relevant financial experience sufficient to allow them to competently analyse the financial statements and understand good financial management disciplines.</w:t>
      </w:r>
    </w:p>
    <w:p w14:paraId="38250E6B" w14:textId="77777777" w:rsidR="009D5720" w:rsidRPr="009D5720" w:rsidRDefault="009D5720" w:rsidP="009D5720">
      <w:pPr>
        <w:rPr>
          <w:rFonts w:cs="Arial"/>
          <w:color w:val="000000" w:themeColor="text1"/>
        </w:rPr>
      </w:pPr>
    </w:p>
    <w:p w14:paraId="1DFCAE2F" w14:textId="77777777" w:rsidR="009D5720" w:rsidRPr="009D5720" w:rsidRDefault="009D5720" w:rsidP="00FF49BF">
      <w:pPr>
        <w:pStyle w:val="Heading3"/>
      </w:pPr>
      <w:bookmarkStart w:id="184" w:name="_Toc213058616"/>
      <w:r w:rsidRPr="009D5720">
        <w:t>Other Attendees</w:t>
      </w:r>
      <w:bookmarkEnd w:id="184"/>
    </w:p>
    <w:p w14:paraId="01B2FD79" w14:textId="77777777" w:rsidR="009D5720" w:rsidRPr="009D5720" w:rsidRDefault="009D5720" w:rsidP="009D5720">
      <w:pPr>
        <w:rPr>
          <w:rFonts w:cs="Arial"/>
          <w:color w:val="000000" w:themeColor="text1"/>
        </w:rPr>
      </w:pPr>
      <w:r w:rsidRPr="009D5720">
        <w:rPr>
          <w:rFonts w:cs="Arial"/>
          <w:color w:val="000000" w:themeColor="text1"/>
        </w:rPr>
        <w:t>In addition to members, the Group Chief Executive, the Chief Financial Officer, General Counsel and Company Secretary, the Head of Internal Audit and Internal Audit Director/Manager, the External Auditors, a representative from the Department for Infrastructure (</w:t>
      </w:r>
      <w:proofErr w:type="spellStart"/>
      <w:r w:rsidRPr="009D5720">
        <w:rPr>
          <w:rFonts w:cs="Arial"/>
          <w:color w:val="000000" w:themeColor="text1"/>
        </w:rPr>
        <w:t>Dfl</w:t>
      </w:r>
      <w:proofErr w:type="spellEnd"/>
      <w:r w:rsidRPr="009D5720">
        <w:rPr>
          <w:rFonts w:cs="Arial"/>
          <w:color w:val="000000" w:themeColor="text1"/>
        </w:rPr>
        <w:t>) and the Committee Secretary attend Committee meetings, along with any other invitees called by the Chair to attend from time to time.</w:t>
      </w:r>
    </w:p>
    <w:p w14:paraId="2B8208F6" w14:textId="77777777" w:rsidR="009D5720" w:rsidRDefault="009D5720" w:rsidP="009D5720">
      <w:pPr>
        <w:rPr>
          <w:rFonts w:cs="Arial"/>
          <w:color w:val="000000" w:themeColor="text1"/>
        </w:rPr>
      </w:pPr>
    </w:p>
    <w:p w14:paraId="448A1DB8" w14:textId="01B5837D" w:rsidR="009D5720" w:rsidRPr="009D5720" w:rsidRDefault="009D5720" w:rsidP="00FF49BF">
      <w:pPr>
        <w:pStyle w:val="Heading3"/>
      </w:pPr>
      <w:bookmarkStart w:id="185" w:name="_Toc213058617"/>
      <w:r w:rsidRPr="009D5720">
        <w:t>Meetings</w:t>
      </w:r>
      <w:bookmarkEnd w:id="185"/>
    </w:p>
    <w:p w14:paraId="01A307AB" w14:textId="77777777" w:rsidR="009D5720" w:rsidRPr="009D5720" w:rsidRDefault="009D5720" w:rsidP="009D5720">
      <w:pPr>
        <w:rPr>
          <w:rFonts w:cs="Arial"/>
          <w:color w:val="000000" w:themeColor="text1"/>
        </w:rPr>
      </w:pPr>
      <w:r w:rsidRPr="009D5720">
        <w:rPr>
          <w:rFonts w:cs="Arial"/>
          <w:color w:val="000000" w:themeColor="text1"/>
        </w:rPr>
        <w:t>The Committee met on four occasions in 2024/25.</w:t>
      </w:r>
    </w:p>
    <w:p w14:paraId="6669ED35" w14:textId="77777777" w:rsidR="009D5720" w:rsidRPr="009D5720" w:rsidRDefault="009D5720" w:rsidP="009D5720">
      <w:pPr>
        <w:rPr>
          <w:rFonts w:cs="Arial"/>
          <w:color w:val="000000" w:themeColor="text1"/>
        </w:rPr>
      </w:pPr>
    </w:p>
    <w:p w14:paraId="08BDEC0A" w14:textId="77777777" w:rsidR="009D5720" w:rsidRPr="009D5720" w:rsidRDefault="009D5720" w:rsidP="00FF49BF">
      <w:pPr>
        <w:pStyle w:val="Heading2"/>
      </w:pPr>
      <w:bookmarkStart w:id="186" w:name="_Toc213058618"/>
      <w:r w:rsidRPr="009D5720">
        <w:t>Governance</w:t>
      </w:r>
      <w:bookmarkEnd w:id="186"/>
    </w:p>
    <w:p w14:paraId="7914FC25" w14:textId="77777777" w:rsidR="009D5720" w:rsidRPr="009D5720" w:rsidRDefault="009D5720" w:rsidP="009D5720">
      <w:pPr>
        <w:rPr>
          <w:rFonts w:cs="Arial"/>
          <w:color w:val="000000" w:themeColor="text1"/>
        </w:rPr>
      </w:pPr>
      <w:r w:rsidRPr="009D5720">
        <w:rPr>
          <w:rFonts w:cs="Arial"/>
          <w:color w:val="000000" w:themeColor="text1"/>
        </w:rPr>
        <w:t xml:space="preserve">The Board is kept informed of the work of the Committee by means of summaries of meetings, the approved minutes of meetings and reports from the Committee Chair at subsequent Board meetings. Normally, on an annual basis, the Committee considers its own effectiveness and the effectiveness of the external audit function. The last such review took place in December 2023 when the Committee considered that its performance was compliant with </w:t>
      </w:r>
      <w:r w:rsidRPr="009D5720">
        <w:rPr>
          <w:rFonts w:cs="Arial"/>
          <w:color w:val="000000" w:themeColor="text1"/>
        </w:rPr>
        <w:br/>
        <w:t>good practice.</w:t>
      </w:r>
    </w:p>
    <w:p w14:paraId="351A0058" w14:textId="77777777" w:rsidR="009D5720" w:rsidRPr="009D5720" w:rsidRDefault="009D5720" w:rsidP="009D5720">
      <w:pPr>
        <w:rPr>
          <w:rFonts w:cs="Arial"/>
          <w:color w:val="000000" w:themeColor="text1"/>
        </w:rPr>
      </w:pPr>
    </w:p>
    <w:p w14:paraId="418BEED5" w14:textId="77777777" w:rsidR="009D5720" w:rsidRPr="009D5720" w:rsidRDefault="009D5720" w:rsidP="009D5720">
      <w:pPr>
        <w:rPr>
          <w:rFonts w:cs="Arial"/>
          <w:color w:val="000000" w:themeColor="text1"/>
        </w:rPr>
      </w:pPr>
      <w:r w:rsidRPr="009D5720">
        <w:rPr>
          <w:rFonts w:cs="Arial"/>
          <w:color w:val="000000" w:themeColor="text1"/>
        </w:rPr>
        <w:t xml:space="preserve">The Group operated under a Partnership Agreement between </w:t>
      </w:r>
      <w:proofErr w:type="spellStart"/>
      <w:r w:rsidRPr="009D5720">
        <w:rPr>
          <w:rFonts w:cs="Arial"/>
          <w:color w:val="000000" w:themeColor="text1"/>
        </w:rPr>
        <w:t>NITHCo</w:t>
      </w:r>
      <w:proofErr w:type="spellEnd"/>
      <w:r w:rsidRPr="009D5720">
        <w:rPr>
          <w:rFonts w:cs="Arial"/>
          <w:color w:val="000000" w:themeColor="text1"/>
        </w:rPr>
        <w:t xml:space="preserve"> and the </w:t>
      </w:r>
      <w:proofErr w:type="spellStart"/>
      <w:r w:rsidRPr="009D5720">
        <w:rPr>
          <w:rFonts w:cs="Arial"/>
          <w:color w:val="000000" w:themeColor="text1"/>
        </w:rPr>
        <w:t>DfI</w:t>
      </w:r>
      <w:proofErr w:type="spellEnd"/>
      <w:r w:rsidRPr="009D5720">
        <w:rPr>
          <w:rFonts w:cs="Arial"/>
          <w:color w:val="000000" w:themeColor="text1"/>
        </w:rPr>
        <w:t xml:space="preserve"> which is available on the Translink website. </w:t>
      </w:r>
    </w:p>
    <w:p w14:paraId="30564A6E" w14:textId="77777777" w:rsidR="009D5720" w:rsidRPr="009D5720" w:rsidRDefault="009D5720" w:rsidP="009D5720">
      <w:pPr>
        <w:rPr>
          <w:rFonts w:cs="Arial"/>
          <w:color w:val="000000" w:themeColor="text1"/>
        </w:rPr>
      </w:pPr>
    </w:p>
    <w:p w14:paraId="79722AC2" w14:textId="77777777" w:rsidR="009D5720" w:rsidRPr="009D5720" w:rsidRDefault="009D5720" w:rsidP="009D5720">
      <w:pPr>
        <w:rPr>
          <w:rFonts w:cs="Arial"/>
          <w:color w:val="000000" w:themeColor="text1"/>
        </w:rPr>
      </w:pPr>
      <w:r w:rsidRPr="009D5720">
        <w:rPr>
          <w:rFonts w:cs="Arial"/>
          <w:color w:val="000000" w:themeColor="text1"/>
        </w:rPr>
        <w:t xml:space="preserve">Following an open procurement competition, conducted in accordance with Public Sector Internal Audit Standards, EY were appointed as Internal Auditors, for an initial term of three years commencing on 1 April 2022.  The first of the three available one-year extensions has been exercised for 2025/26. </w:t>
      </w:r>
    </w:p>
    <w:p w14:paraId="2BDF5BA6" w14:textId="77777777" w:rsidR="009D5720" w:rsidRPr="009D5720" w:rsidRDefault="009D5720" w:rsidP="009D5720">
      <w:pPr>
        <w:rPr>
          <w:rFonts w:cs="Arial"/>
          <w:color w:val="000000" w:themeColor="text1"/>
        </w:rPr>
      </w:pPr>
    </w:p>
    <w:p w14:paraId="32CBBCDB" w14:textId="77777777" w:rsidR="009D5720" w:rsidRPr="009D5720" w:rsidRDefault="009D5720" w:rsidP="009D5720">
      <w:pPr>
        <w:rPr>
          <w:rFonts w:cs="Arial"/>
          <w:color w:val="000000" w:themeColor="text1"/>
        </w:rPr>
      </w:pPr>
      <w:r w:rsidRPr="009D5720">
        <w:rPr>
          <w:rFonts w:cs="Arial"/>
          <w:color w:val="000000" w:themeColor="text1"/>
        </w:rPr>
        <w:t xml:space="preserve">Following an open procurement competition, Grant Thornton were appointed as External Auditors, for an initial term of three years commencing with the audit of the 2023/24 accounts. </w:t>
      </w:r>
    </w:p>
    <w:p w14:paraId="4D18F752" w14:textId="77777777" w:rsidR="009D5720" w:rsidRPr="009D5720" w:rsidRDefault="009D5720" w:rsidP="009D5720">
      <w:pPr>
        <w:rPr>
          <w:rFonts w:cs="Arial"/>
          <w:color w:val="000000" w:themeColor="text1"/>
        </w:rPr>
      </w:pPr>
    </w:p>
    <w:p w14:paraId="51D4F5DB" w14:textId="77777777" w:rsidR="009D5720" w:rsidRPr="009D5720" w:rsidRDefault="009D5720" w:rsidP="009D5720">
      <w:pPr>
        <w:rPr>
          <w:rFonts w:cs="Arial"/>
          <w:color w:val="000000" w:themeColor="text1"/>
        </w:rPr>
      </w:pPr>
      <w:r w:rsidRPr="009D5720">
        <w:rPr>
          <w:rFonts w:cs="Arial"/>
          <w:color w:val="000000" w:themeColor="text1"/>
        </w:rPr>
        <w:lastRenderedPageBreak/>
        <w:t>The Committee only permits the Internal and External Auditors to undertake non-audit services when it considers that the nature and extent of the services and related fees do not compromise audit objectivity and independence and has regard to the Financial Reporting Council’s Revised Ethical Standard 2019 which introduced new restrictions around the provision of non-audit services.</w:t>
      </w:r>
    </w:p>
    <w:p w14:paraId="71E8B011" w14:textId="77777777" w:rsidR="009D5720" w:rsidRPr="009D5720" w:rsidRDefault="009D5720" w:rsidP="009D5720">
      <w:pPr>
        <w:rPr>
          <w:rFonts w:cs="Arial"/>
          <w:color w:val="000000" w:themeColor="text1"/>
        </w:rPr>
      </w:pPr>
    </w:p>
    <w:p w14:paraId="465F7BAD" w14:textId="77777777" w:rsidR="009D5720" w:rsidRPr="009D5720" w:rsidRDefault="009D5720" w:rsidP="00FF49BF">
      <w:pPr>
        <w:pStyle w:val="Heading2"/>
      </w:pPr>
      <w:bookmarkStart w:id="187" w:name="_Toc213058619"/>
      <w:r w:rsidRPr="009D5720">
        <w:t>Activities in Respect of the Year</w:t>
      </w:r>
      <w:bookmarkEnd w:id="187"/>
    </w:p>
    <w:p w14:paraId="58188366" w14:textId="77777777" w:rsidR="009D5720" w:rsidRPr="009D5720" w:rsidRDefault="009D5720" w:rsidP="009D5720">
      <w:pPr>
        <w:rPr>
          <w:rFonts w:cs="Arial"/>
          <w:color w:val="000000" w:themeColor="text1"/>
        </w:rPr>
      </w:pPr>
      <w:r w:rsidRPr="009D5720">
        <w:rPr>
          <w:rFonts w:cs="Arial"/>
          <w:color w:val="000000" w:themeColor="text1"/>
        </w:rPr>
        <w:t xml:space="preserve">The Committee undertook the following activities in respect </w:t>
      </w:r>
      <w:r w:rsidRPr="009D5720">
        <w:rPr>
          <w:rFonts w:cs="Arial"/>
          <w:color w:val="000000" w:themeColor="text1"/>
        </w:rPr>
        <w:br/>
        <w:t>of the year:</w:t>
      </w:r>
    </w:p>
    <w:p w14:paraId="3F75BAF1" w14:textId="77777777" w:rsidR="009D5720" w:rsidRPr="009D5720" w:rsidRDefault="009D5720" w:rsidP="009D5720">
      <w:pPr>
        <w:rPr>
          <w:rFonts w:cs="Arial"/>
          <w:color w:val="000000" w:themeColor="text1"/>
        </w:rPr>
      </w:pPr>
    </w:p>
    <w:p w14:paraId="2291960E" w14:textId="77777777" w:rsidR="009D5720" w:rsidRPr="009D5720" w:rsidRDefault="009D5720" w:rsidP="00FF49BF">
      <w:pPr>
        <w:pStyle w:val="Heading3"/>
      </w:pPr>
      <w:bookmarkStart w:id="188" w:name="_Toc213058620"/>
      <w:r w:rsidRPr="009D5720">
        <w:t>Internal Audit</w:t>
      </w:r>
      <w:bookmarkEnd w:id="188"/>
    </w:p>
    <w:p w14:paraId="46365D25" w14:textId="4D1501A5"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 xml:space="preserve">Reviewed and approved the Internal Audit Strategy and Plan for the </w:t>
      </w:r>
      <w:proofErr w:type="gramStart"/>
      <w:r w:rsidRPr="00410648">
        <w:rPr>
          <w:rFonts w:cs="Arial"/>
          <w:color w:val="000000" w:themeColor="text1"/>
        </w:rPr>
        <w:t>year;</w:t>
      </w:r>
      <w:proofErr w:type="gramEnd"/>
    </w:p>
    <w:p w14:paraId="2EA027EA" w14:textId="39ECEC96"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 xml:space="preserve">Received and reviewed a report from the Head of Internal Audit at each quarterly meeting including a summary of progress against the plan, recommendations arising from reviews undertaken and progress made in the implementation of such </w:t>
      </w:r>
      <w:proofErr w:type="gramStart"/>
      <w:r w:rsidRPr="00410648">
        <w:rPr>
          <w:rFonts w:cs="Arial"/>
          <w:color w:val="000000" w:themeColor="text1"/>
        </w:rPr>
        <w:t>recommendations;</w:t>
      </w:r>
      <w:proofErr w:type="gramEnd"/>
    </w:p>
    <w:p w14:paraId="5127FCD2" w14:textId="2C0D3B2C"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 xml:space="preserve">Reviewed the Annual Report and opinion by the Head of Internal Audit and noted that the overall level of assurance was </w:t>
      </w:r>
      <w:proofErr w:type="gramStart"/>
      <w:r w:rsidRPr="00410648">
        <w:rPr>
          <w:rFonts w:cs="Arial"/>
          <w:color w:val="000000" w:themeColor="text1"/>
        </w:rPr>
        <w:t>satisfactory;</w:t>
      </w:r>
      <w:proofErr w:type="gramEnd"/>
    </w:p>
    <w:p w14:paraId="061AE2B4" w14:textId="12A3D30A"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 xml:space="preserve">Followed up prior year Internal Audit reviews to ensure that recommendations were </w:t>
      </w:r>
      <w:proofErr w:type="gramStart"/>
      <w:r w:rsidRPr="00410648">
        <w:rPr>
          <w:rFonts w:cs="Arial"/>
          <w:color w:val="000000" w:themeColor="text1"/>
        </w:rPr>
        <w:t>implemented;</w:t>
      </w:r>
      <w:proofErr w:type="gramEnd"/>
      <w:r w:rsidRPr="00410648">
        <w:rPr>
          <w:rFonts w:cs="Arial"/>
          <w:color w:val="000000" w:themeColor="text1"/>
        </w:rPr>
        <w:t xml:space="preserve"> </w:t>
      </w:r>
    </w:p>
    <w:p w14:paraId="5077C1C5" w14:textId="31E3E81F"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Monitored and reviewed the effectiveness of the internal audit function; and</w:t>
      </w:r>
    </w:p>
    <w:p w14:paraId="1D518D1E" w14:textId="0F4CBDAA" w:rsidR="009D5720" w:rsidRPr="00410648" w:rsidRDefault="009D5720" w:rsidP="00410648">
      <w:pPr>
        <w:pStyle w:val="ListParagraph"/>
        <w:numPr>
          <w:ilvl w:val="0"/>
          <w:numId w:val="64"/>
        </w:numPr>
        <w:rPr>
          <w:rFonts w:cs="Arial"/>
          <w:color w:val="000000" w:themeColor="text1"/>
        </w:rPr>
      </w:pPr>
      <w:r w:rsidRPr="00410648">
        <w:rPr>
          <w:rFonts w:cs="Arial"/>
          <w:color w:val="000000" w:themeColor="text1"/>
        </w:rPr>
        <w:t>Considered all identified instances of fraud, theft and whistleblowing.</w:t>
      </w:r>
    </w:p>
    <w:p w14:paraId="51B8C19D" w14:textId="77777777" w:rsidR="00410648" w:rsidRDefault="00410648" w:rsidP="009D5720">
      <w:pPr>
        <w:rPr>
          <w:rFonts w:cs="Arial"/>
          <w:b/>
          <w:bCs/>
          <w:color w:val="000000" w:themeColor="text1"/>
        </w:rPr>
      </w:pPr>
    </w:p>
    <w:p w14:paraId="6C964025" w14:textId="17C3E870" w:rsidR="009D5720" w:rsidRPr="00410648" w:rsidRDefault="009D5720" w:rsidP="00FF49BF">
      <w:pPr>
        <w:pStyle w:val="Heading3"/>
      </w:pPr>
      <w:bookmarkStart w:id="189" w:name="_Toc213058621"/>
      <w:r w:rsidRPr="00410648">
        <w:t>External Audit</w:t>
      </w:r>
      <w:bookmarkEnd w:id="189"/>
    </w:p>
    <w:p w14:paraId="5B27C6D9" w14:textId="37E89554" w:rsidR="009D5720" w:rsidRPr="00410648" w:rsidRDefault="009D5720" w:rsidP="00410648">
      <w:pPr>
        <w:pStyle w:val="ListParagraph"/>
        <w:numPr>
          <w:ilvl w:val="0"/>
          <w:numId w:val="65"/>
        </w:numPr>
        <w:rPr>
          <w:rFonts w:cs="Arial"/>
          <w:color w:val="000000" w:themeColor="text1"/>
        </w:rPr>
      </w:pPr>
      <w:r w:rsidRPr="00410648">
        <w:rPr>
          <w:rFonts w:cs="Arial"/>
          <w:color w:val="000000" w:themeColor="text1"/>
        </w:rPr>
        <w:t>Engaged with the External Auditors at all stages of their work including review of the audit strategy, audit progress and conclusions, including a review of the final Management Letter; and</w:t>
      </w:r>
    </w:p>
    <w:p w14:paraId="200452F8" w14:textId="70B58391" w:rsidR="009D5720" w:rsidRPr="00410648" w:rsidRDefault="009D5720" w:rsidP="00410648">
      <w:pPr>
        <w:pStyle w:val="ListParagraph"/>
        <w:numPr>
          <w:ilvl w:val="0"/>
          <w:numId w:val="65"/>
        </w:numPr>
        <w:rPr>
          <w:rFonts w:cs="Arial"/>
          <w:color w:val="000000" w:themeColor="text1"/>
        </w:rPr>
      </w:pPr>
      <w:r w:rsidRPr="00410648">
        <w:rPr>
          <w:rFonts w:cs="Arial"/>
          <w:color w:val="000000" w:themeColor="text1"/>
        </w:rPr>
        <w:t>Reviewed the independence and objectivity and the effectiveness of the External Auditors.</w:t>
      </w:r>
    </w:p>
    <w:p w14:paraId="60EFA94B" w14:textId="77777777" w:rsidR="009D5720" w:rsidRPr="009D5720" w:rsidRDefault="009D5720" w:rsidP="009D5720">
      <w:pPr>
        <w:rPr>
          <w:rFonts w:cs="Arial"/>
          <w:color w:val="000000" w:themeColor="text1"/>
        </w:rPr>
      </w:pPr>
    </w:p>
    <w:p w14:paraId="653E7ABC" w14:textId="77777777" w:rsidR="009D5720" w:rsidRPr="00410648" w:rsidRDefault="009D5720" w:rsidP="00FF49BF">
      <w:pPr>
        <w:pStyle w:val="Heading3"/>
      </w:pPr>
      <w:bookmarkStart w:id="190" w:name="_Toc213058622"/>
      <w:r w:rsidRPr="00410648">
        <w:t>Financial Management and Reporting</w:t>
      </w:r>
      <w:bookmarkEnd w:id="190"/>
    </w:p>
    <w:p w14:paraId="28F76BFE" w14:textId="36C369B6" w:rsidR="009D5720" w:rsidRPr="00410648" w:rsidRDefault="009D5720" w:rsidP="00410648">
      <w:pPr>
        <w:pStyle w:val="ListParagraph"/>
        <w:numPr>
          <w:ilvl w:val="0"/>
          <w:numId w:val="66"/>
        </w:numPr>
        <w:rPr>
          <w:rFonts w:cs="Arial"/>
          <w:color w:val="000000" w:themeColor="text1"/>
        </w:rPr>
      </w:pPr>
      <w:r w:rsidRPr="00410648">
        <w:rPr>
          <w:rFonts w:cs="Arial"/>
          <w:color w:val="000000" w:themeColor="text1"/>
        </w:rPr>
        <w:t xml:space="preserve">Considered a comprehensive review of the financial statements prepared by the Chief Financial </w:t>
      </w:r>
      <w:proofErr w:type="gramStart"/>
      <w:r w:rsidRPr="00410648">
        <w:rPr>
          <w:rFonts w:cs="Arial"/>
          <w:color w:val="000000" w:themeColor="text1"/>
        </w:rPr>
        <w:t>Officer;</w:t>
      </w:r>
      <w:proofErr w:type="gramEnd"/>
      <w:r w:rsidRPr="00410648">
        <w:rPr>
          <w:rFonts w:cs="Arial"/>
          <w:color w:val="000000" w:themeColor="text1"/>
        </w:rPr>
        <w:t xml:space="preserve"> </w:t>
      </w:r>
    </w:p>
    <w:p w14:paraId="341B3462" w14:textId="4C2432F6" w:rsidR="009D5720" w:rsidRPr="00410648" w:rsidRDefault="009D5720" w:rsidP="009D5720">
      <w:pPr>
        <w:pStyle w:val="ListParagraph"/>
        <w:numPr>
          <w:ilvl w:val="0"/>
          <w:numId w:val="66"/>
        </w:numPr>
        <w:rPr>
          <w:rFonts w:cs="Arial"/>
          <w:color w:val="000000" w:themeColor="text1"/>
        </w:rPr>
      </w:pPr>
      <w:r w:rsidRPr="00410648">
        <w:rPr>
          <w:rFonts w:cs="Arial"/>
          <w:color w:val="000000" w:themeColor="text1"/>
        </w:rPr>
        <w:t>Considered the appropriateness of key accounting</w:t>
      </w:r>
      <w:r w:rsidR="00410648">
        <w:rPr>
          <w:rFonts w:cs="Arial"/>
          <w:color w:val="000000" w:themeColor="text1"/>
        </w:rPr>
        <w:t xml:space="preserve"> </w:t>
      </w:r>
      <w:r w:rsidRPr="00410648">
        <w:rPr>
          <w:rFonts w:cs="Arial"/>
          <w:color w:val="000000" w:themeColor="text1"/>
        </w:rPr>
        <w:t xml:space="preserve">policies, whether the accounts give a true and fair view, the appropriateness of the going concern assumption, and disclosures and key judgements in the financial </w:t>
      </w:r>
      <w:proofErr w:type="gramStart"/>
      <w:r w:rsidRPr="00410648">
        <w:rPr>
          <w:rFonts w:cs="Arial"/>
          <w:color w:val="000000" w:themeColor="text1"/>
        </w:rPr>
        <w:t>statements;</w:t>
      </w:r>
      <w:proofErr w:type="gramEnd"/>
    </w:p>
    <w:p w14:paraId="12B55205" w14:textId="23C3D49F" w:rsidR="009D5720" w:rsidRPr="00410648" w:rsidRDefault="009D5720" w:rsidP="00410648">
      <w:pPr>
        <w:pStyle w:val="ListParagraph"/>
        <w:numPr>
          <w:ilvl w:val="0"/>
          <w:numId w:val="66"/>
        </w:numPr>
        <w:rPr>
          <w:rFonts w:cs="Arial"/>
          <w:color w:val="000000" w:themeColor="text1"/>
        </w:rPr>
      </w:pPr>
      <w:r w:rsidRPr="00410648">
        <w:rPr>
          <w:rFonts w:cs="Arial"/>
          <w:color w:val="000000" w:themeColor="text1"/>
        </w:rPr>
        <w:lastRenderedPageBreak/>
        <w:t xml:space="preserve">Considered significant matters in relation to the production of financial statements, including disclosures in relation to Going </w:t>
      </w:r>
      <w:proofErr w:type="gramStart"/>
      <w:r w:rsidRPr="00410648">
        <w:rPr>
          <w:rFonts w:cs="Arial"/>
          <w:color w:val="000000" w:themeColor="text1"/>
        </w:rPr>
        <w:t>Concern;</w:t>
      </w:r>
      <w:proofErr w:type="gramEnd"/>
    </w:p>
    <w:p w14:paraId="018C6793" w14:textId="77777777" w:rsidR="00410648" w:rsidRDefault="00410648" w:rsidP="009D5720">
      <w:pPr>
        <w:rPr>
          <w:rFonts w:cs="Arial"/>
          <w:color w:val="000000" w:themeColor="text1"/>
        </w:rPr>
      </w:pPr>
    </w:p>
    <w:p w14:paraId="5118490E" w14:textId="393A02DB" w:rsidR="009D5720" w:rsidRPr="00410648" w:rsidRDefault="009D5720" w:rsidP="00410648">
      <w:pPr>
        <w:pStyle w:val="ListParagraph"/>
        <w:numPr>
          <w:ilvl w:val="0"/>
          <w:numId w:val="66"/>
        </w:numPr>
        <w:rPr>
          <w:rFonts w:cs="Arial"/>
          <w:color w:val="000000" w:themeColor="text1"/>
        </w:rPr>
      </w:pPr>
      <w:r w:rsidRPr="00410648">
        <w:rPr>
          <w:rFonts w:cs="Arial"/>
          <w:color w:val="000000" w:themeColor="text1"/>
        </w:rPr>
        <w:t>Considered the report of the auditors on the financial statements and matters for those charged with governance raised by them; and</w:t>
      </w:r>
    </w:p>
    <w:p w14:paraId="2BB7839E" w14:textId="570076CA" w:rsidR="009D5720" w:rsidRPr="00410648" w:rsidRDefault="009D5720" w:rsidP="00410648">
      <w:pPr>
        <w:pStyle w:val="ListParagraph"/>
        <w:numPr>
          <w:ilvl w:val="0"/>
          <w:numId w:val="66"/>
        </w:numPr>
        <w:rPr>
          <w:rFonts w:cs="Arial"/>
          <w:color w:val="000000" w:themeColor="text1"/>
        </w:rPr>
      </w:pPr>
      <w:r w:rsidRPr="00410648">
        <w:rPr>
          <w:rFonts w:cs="Arial"/>
          <w:color w:val="000000" w:themeColor="text1"/>
        </w:rPr>
        <w:t>Reviewed the 2024/25 annual financial statements, along with the documents issued with them, including the Corporate Governance Statement, and recommended the adoption of these by the Board.</w:t>
      </w:r>
    </w:p>
    <w:p w14:paraId="3A40FC98" w14:textId="77777777" w:rsidR="009D5720" w:rsidRPr="009D5720" w:rsidRDefault="009D5720" w:rsidP="009D5720">
      <w:pPr>
        <w:rPr>
          <w:rFonts w:cs="Arial"/>
          <w:color w:val="000000" w:themeColor="text1"/>
        </w:rPr>
      </w:pPr>
    </w:p>
    <w:p w14:paraId="6A2735E6" w14:textId="77777777" w:rsidR="009D5720" w:rsidRPr="00410648" w:rsidRDefault="009D5720" w:rsidP="00FF49BF">
      <w:pPr>
        <w:pStyle w:val="Heading3"/>
      </w:pPr>
      <w:bookmarkStart w:id="191" w:name="_Toc213058623"/>
      <w:r w:rsidRPr="00410648">
        <w:t>Risk Management</w:t>
      </w:r>
      <w:bookmarkEnd w:id="191"/>
    </w:p>
    <w:p w14:paraId="7D4B9ADB" w14:textId="0DC3335B" w:rsidR="009D5720" w:rsidRPr="00410648" w:rsidRDefault="009D5720" w:rsidP="00410648">
      <w:pPr>
        <w:pStyle w:val="ListParagraph"/>
        <w:numPr>
          <w:ilvl w:val="0"/>
          <w:numId w:val="67"/>
        </w:numPr>
        <w:rPr>
          <w:rFonts w:cs="Arial"/>
          <w:color w:val="000000" w:themeColor="text1"/>
        </w:rPr>
      </w:pPr>
      <w:r w:rsidRPr="00410648">
        <w:rPr>
          <w:rFonts w:cs="Arial"/>
          <w:color w:val="000000" w:themeColor="text1"/>
        </w:rPr>
        <w:t xml:space="preserve">Reviewed Risk Management procedures in </w:t>
      </w:r>
      <w:proofErr w:type="gramStart"/>
      <w:r w:rsidRPr="00410648">
        <w:rPr>
          <w:rFonts w:cs="Arial"/>
          <w:color w:val="000000" w:themeColor="text1"/>
        </w:rPr>
        <w:t>operation;</w:t>
      </w:r>
      <w:proofErr w:type="gramEnd"/>
    </w:p>
    <w:p w14:paraId="5880CFC0" w14:textId="1495EC73" w:rsidR="009D5720" w:rsidRPr="00410648" w:rsidRDefault="009D5720" w:rsidP="00410648">
      <w:pPr>
        <w:pStyle w:val="ListParagraph"/>
        <w:numPr>
          <w:ilvl w:val="0"/>
          <w:numId w:val="67"/>
        </w:numPr>
        <w:rPr>
          <w:rFonts w:cs="Arial"/>
          <w:color w:val="000000" w:themeColor="text1"/>
        </w:rPr>
      </w:pPr>
      <w:r w:rsidRPr="00410648">
        <w:rPr>
          <w:rFonts w:cs="Arial"/>
          <w:color w:val="000000" w:themeColor="text1"/>
        </w:rPr>
        <w:t xml:space="preserve">Reviewed policies and procedures in place and actions taken to prevent, detect, report and investigate </w:t>
      </w:r>
      <w:proofErr w:type="gramStart"/>
      <w:r w:rsidRPr="00410648">
        <w:rPr>
          <w:rFonts w:cs="Arial"/>
          <w:color w:val="000000" w:themeColor="text1"/>
        </w:rPr>
        <w:t>fraud;</w:t>
      </w:r>
      <w:proofErr w:type="gramEnd"/>
    </w:p>
    <w:p w14:paraId="60AECCE5" w14:textId="569CA8B4" w:rsidR="009D5720" w:rsidRPr="00410648" w:rsidRDefault="009D5720" w:rsidP="00410648">
      <w:pPr>
        <w:pStyle w:val="ListParagraph"/>
        <w:numPr>
          <w:ilvl w:val="0"/>
          <w:numId w:val="67"/>
        </w:numPr>
        <w:rPr>
          <w:rFonts w:cs="Arial"/>
          <w:color w:val="000000" w:themeColor="text1"/>
        </w:rPr>
      </w:pPr>
      <w:r w:rsidRPr="00410648">
        <w:rPr>
          <w:rFonts w:cs="Arial"/>
          <w:color w:val="000000" w:themeColor="text1"/>
        </w:rPr>
        <w:t>Regularly considered, and challenged management on, the Corporate Risk and Assurance registers, including emerging risks, the fraud and theft register and the whistleblowing register. The key risks considered by the Committee and their response are set out in the section Principal Risks and Uncertainties on page 15 of the Annual report; and</w:t>
      </w:r>
    </w:p>
    <w:p w14:paraId="2CF7465C" w14:textId="5300F2AE" w:rsidR="009D5720" w:rsidRPr="00410648" w:rsidRDefault="009D5720" w:rsidP="00410648">
      <w:pPr>
        <w:pStyle w:val="ListParagraph"/>
        <w:numPr>
          <w:ilvl w:val="0"/>
          <w:numId w:val="67"/>
        </w:numPr>
        <w:rPr>
          <w:rFonts w:cs="Arial"/>
          <w:color w:val="000000" w:themeColor="text1"/>
        </w:rPr>
      </w:pPr>
      <w:r w:rsidRPr="00410648">
        <w:rPr>
          <w:rFonts w:cs="Arial"/>
          <w:color w:val="000000" w:themeColor="text1"/>
        </w:rPr>
        <w:t>Provided input and feedback on revisions to the format, structure and presentation of the Corporate Risk Register.</w:t>
      </w:r>
    </w:p>
    <w:p w14:paraId="2552F0BE" w14:textId="77777777" w:rsidR="009D5720" w:rsidRPr="009D5720" w:rsidRDefault="009D5720" w:rsidP="009D5720">
      <w:pPr>
        <w:rPr>
          <w:rFonts w:cs="Arial"/>
          <w:color w:val="000000" w:themeColor="text1"/>
        </w:rPr>
      </w:pPr>
    </w:p>
    <w:p w14:paraId="79EA8123" w14:textId="77777777" w:rsidR="009D5720" w:rsidRPr="00410648" w:rsidRDefault="009D5720" w:rsidP="00FF49BF">
      <w:pPr>
        <w:pStyle w:val="Heading3"/>
      </w:pPr>
      <w:bookmarkStart w:id="192" w:name="_Toc213058624"/>
      <w:r w:rsidRPr="00410648">
        <w:t>Governance</w:t>
      </w:r>
      <w:bookmarkEnd w:id="192"/>
    </w:p>
    <w:p w14:paraId="34690CEF" w14:textId="507F0321" w:rsidR="009D5720" w:rsidRPr="00410648" w:rsidRDefault="009D5720" w:rsidP="00410648">
      <w:pPr>
        <w:pStyle w:val="ListParagraph"/>
        <w:numPr>
          <w:ilvl w:val="0"/>
          <w:numId w:val="68"/>
        </w:numPr>
        <w:rPr>
          <w:rFonts w:cs="Arial"/>
          <w:color w:val="000000" w:themeColor="text1"/>
        </w:rPr>
      </w:pPr>
      <w:r w:rsidRPr="00410648">
        <w:rPr>
          <w:rFonts w:cs="Arial"/>
          <w:color w:val="000000" w:themeColor="text1"/>
        </w:rPr>
        <w:t xml:space="preserve">Reviewed and updated its Terms of </w:t>
      </w:r>
      <w:proofErr w:type="gramStart"/>
      <w:r w:rsidRPr="00410648">
        <w:rPr>
          <w:rFonts w:cs="Arial"/>
          <w:color w:val="000000" w:themeColor="text1"/>
        </w:rPr>
        <w:t>Reference;</w:t>
      </w:r>
      <w:proofErr w:type="gramEnd"/>
      <w:r w:rsidRPr="00410648">
        <w:rPr>
          <w:rFonts w:cs="Arial"/>
          <w:color w:val="000000" w:themeColor="text1"/>
        </w:rPr>
        <w:t xml:space="preserve"> </w:t>
      </w:r>
    </w:p>
    <w:p w14:paraId="3D21F1FC" w14:textId="33A7FB68" w:rsidR="009D5720" w:rsidRPr="00410648" w:rsidRDefault="009D5720" w:rsidP="00410648">
      <w:pPr>
        <w:pStyle w:val="ListParagraph"/>
        <w:numPr>
          <w:ilvl w:val="0"/>
          <w:numId w:val="68"/>
        </w:numPr>
        <w:rPr>
          <w:rFonts w:cs="Arial"/>
          <w:color w:val="000000" w:themeColor="text1"/>
        </w:rPr>
      </w:pPr>
      <w:r w:rsidRPr="00410648">
        <w:rPr>
          <w:rFonts w:cs="Arial"/>
          <w:color w:val="000000" w:themeColor="text1"/>
        </w:rPr>
        <w:t xml:space="preserve">At each meeting reviewed any new and revised guidance from Department of Finance, </w:t>
      </w:r>
      <w:proofErr w:type="spellStart"/>
      <w:r w:rsidRPr="00410648">
        <w:rPr>
          <w:rFonts w:cs="Arial"/>
          <w:color w:val="000000" w:themeColor="text1"/>
        </w:rPr>
        <w:t>Dfl</w:t>
      </w:r>
      <w:proofErr w:type="spellEnd"/>
      <w:r w:rsidRPr="00410648">
        <w:rPr>
          <w:rFonts w:cs="Arial"/>
          <w:color w:val="000000" w:themeColor="text1"/>
        </w:rPr>
        <w:t xml:space="preserve"> and the Northern Ireland Audit Office; and</w:t>
      </w:r>
    </w:p>
    <w:p w14:paraId="5A4D1D1F" w14:textId="04F24DC4" w:rsidR="009D5720" w:rsidRPr="00410648" w:rsidRDefault="009D5720" w:rsidP="00410648">
      <w:pPr>
        <w:pStyle w:val="ListParagraph"/>
        <w:numPr>
          <w:ilvl w:val="0"/>
          <w:numId w:val="68"/>
        </w:numPr>
        <w:rPr>
          <w:rFonts w:cs="Arial"/>
          <w:color w:val="000000" w:themeColor="text1"/>
        </w:rPr>
      </w:pPr>
      <w:r w:rsidRPr="00410648">
        <w:rPr>
          <w:rFonts w:cs="Arial"/>
          <w:color w:val="000000" w:themeColor="text1"/>
        </w:rPr>
        <w:t>Highlighted significant issues raised at BARC in the Committee Chair’s reports to Board meetings in advance of circulation of minutes.</w:t>
      </w:r>
    </w:p>
    <w:p w14:paraId="5B632087" w14:textId="77777777" w:rsidR="009D5720" w:rsidRPr="009D5720" w:rsidRDefault="009D5720" w:rsidP="009D5720">
      <w:pPr>
        <w:rPr>
          <w:rFonts w:cs="Arial"/>
          <w:color w:val="000000" w:themeColor="text1"/>
        </w:rPr>
      </w:pPr>
    </w:p>
    <w:p w14:paraId="04E3B4F6" w14:textId="77777777" w:rsidR="009D5720" w:rsidRPr="00410648" w:rsidRDefault="009D5720" w:rsidP="00FF49BF">
      <w:pPr>
        <w:pStyle w:val="Heading3"/>
      </w:pPr>
      <w:bookmarkStart w:id="193" w:name="_Toc213058625"/>
      <w:r w:rsidRPr="00410648">
        <w:t>The Committee also:</w:t>
      </w:r>
      <w:bookmarkEnd w:id="193"/>
    </w:p>
    <w:p w14:paraId="2EA1F3A5" w14:textId="2899E540" w:rsidR="009D5720" w:rsidRPr="00410648" w:rsidRDefault="009D5720" w:rsidP="00410648">
      <w:pPr>
        <w:pStyle w:val="ListParagraph"/>
        <w:numPr>
          <w:ilvl w:val="0"/>
          <w:numId w:val="69"/>
        </w:numPr>
        <w:rPr>
          <w:rFonts w:cs="Arial"/>
          <w:color w:val="000000" w:themeColor="text1"/>
        </w:rPr>
      </w:pPr>
      <w:r w:rsidRPr="00410648">
        <w:rPr>
          <w:rFonts w:cs="Arial"/>
          <w:color w:val="000000" w:themeColor="text1"/>
        </w:rPr>
        <w:t>Met separately with the External Auditors and the Head of Internal Audit in the absence of executive management as part of its annual programme; and</w:t>
      </w:r>
    </w:p>
    <w:p w14:paraId="160CD636" w14:textId="32FC9ECB" w:rsidR="009D5720" w:rsidRPr="00410648" w:rsidRDefault="009D5720" w:rsidP="00410648">
      <w:pPr>
        <w:pStyle w:val="ListParagraph"/>
        <w:numPr>
          <w:ilvl w:val="0"/>
          <w:numId w:val="69"/>
        </w:numPr>
        <w:rPr>
          <w:rFonts w:cs="Arial"/>
          <w:color w:val="000000" w:themeColor="text1"/>
        </w:rPr>
      </w:pPr>
      <w:r w:rsidRPr="00410648">
        <w:rPr>
          <w:rFonts w:cs="Arial"/>
          <w:color w:val="000000" w:themeColor="text1"/>
        </w:rPr>
        <w:t>Met with the Group Chief Executive and Chief Financial Officer as part of its annual programme.</w:t>
      </w:r>
    </w:p>
    <w:p w14:paraId="0582A439" w14:textId="77777777" w:rsidR="009D5720" w:rsidRPr="009D5720" w:rsidRDefault="009D5720" w:rsidP="009D5720">
      <w:pPr>
        <w:rPr>
          <w:rFonts w:cs="Arial"/>
          <w:color w:val="000000" w:themeColor="text1"/>
        </w:rPr>
      </w:pPr>
    </w:p>
    <w:p w14:paraId="7FE2C092" w14:textId="77777777" w:rsidR="009D5720" w:rsidRPr="00410648" w:rsidRDefault="009D5720" w:rsidP="00FF49BF">
      <w:pPr>
        <w:pStyle w:val="Heading2"/>
      </w:pPr>
      <w:bookmarkStart w:id="194" w:name="_Toc213058626"/>
      <w:r w:rsidRPr="00410648">
        <w:lastRenderedPageBreak/>
        <w:t>Conclusion</w:t>
      </w:r>
      <w:bookmarkEnd w:id="194"/>
    </w:p>
    <w:p w14:paraId="3902A523" w14:textId="77777777" w:rsidR="009D5720" w:rsidRPr="009D5720" w:rsidRDefault="009D5720" w:rsidP="009D5720">
      <w:pPr>
        <w:rPr>
          <w:rFonts w:cs="Arial"/>
          <w:color w:val="000000" w:themeColor="text1"/>
        </w:rPr>
      </w:pPr>
      <w:r w:rsidRPr="009D5720">
        <w:rPr>
          <w:rFonts w:cs="Arial"/>
          <w:color w:val="000000" w:themeColor="text1"/>
        </w:rPr>
        <w:t xml:space="preserve">The Audit and Risk Committee </w:t>
      </w:r>
      <w:proofErr w:type="gramStart"/>
      <w:r w:rsidRPr="009D5720">
        <w:rPr>
          <w:rFonts w:cs="Arial"/>
          <w:color w:val="000000" w:themeColor="text1"/>
        </w:rPr>
        <w:t>considers</w:t>
      </w:r>
      <w:proofErr w:type="gramEnd"/>
      <w:r w:rsidRPr="009D5720">
        <w:rPr>
          <w:rFonts w:cs="Arial"/>
          <w:color w:val="000000" w:themeColor="text1"/>
        </w:rPr>
        <w:t xml:space="preserve"> that for the 2024/25 financial year it has discharged its responsibilities in full in accordance with its remit. </w:t>
      </w:r>
    </w:p>
    <w:p w14:paraId="3586128C" w14:textId="77777777" w:rsidR="009D5720" w:rsidRPr="009D5720" w:rsidRDefault="009D5720" w:rsidP="009D5720">
      <w:pPr>
        <w:rPr>
          <w:rFonts w:cs="Arial"/>
          <w:color w:val="000000" w:themeColor="text1"/>
        </w:rPr>
      </w:pPr>
    </w:p>
    <w:p w14:paraId="73824EBC" w14:textId="77777777" w:rsidR="009D5720" w:rsidRPr="009D5720" w:rsidRDefault="009D5720" w:rsidP="009D5720">
      <w:pPr>
        <w:rPr>
          <w:rFonts w:cs="Arial"/>
          <w:color w:val="000000" w:themeColor="text1"/>
        </w:rPr>
      </w:pPr>
      <w:r w:rsidRPr="009D5720">
        <w:rPr>
          <w:rFonts w:cs="Arial"/>
          <w:color w:val="000000" w:themeColor="text1"/>
        </w:rPr>
        <w:t>The Committee’s view of the effectiveness of the system of internal control is informed by the assurances provided through the maintenance and reporting of the risk registers and the documented assurance framework, the work of the Internal Auditors, the External Auditors in their Report to those charged with Governance, and by the work of the Group Chief Executive and the Executive Committee who have responsibility for the development and maintenance of the internal control framework.</w:t>
      </w:r>
    </w:p>
    <w:p w14:paraId="6913863E" w14:textId="77777777" w:rsidR="009D5720" w:rsidRPr="009D5720" w:rsidRDefault="009D5720" w:rsidP="009D5720">
      <w:pPr>
        <w:rPr>
          <w:rFonts w:cs="Arial"/>
          <w:color w:val="000000" w:themeColor="text1"/>
        </w:rPr>
      </w:pPr>
    </w:p>
    <w:p w14:paraId="24C211C8" w14:textId="4918A351" w:rsidR="009D5720" w:rsidRPr="009D5720" w:rsidRDefault="009D5720" w:rsidP="009D5720">
      <w:pPr>
        <w:rPr>
          <w:rFonts w:cs="Arial"/>
          <w:color w:val="000000" w:themeColor="text1"/>
        </w:rPr>
      </w:pPr>
      <w:r w:rsidRPr="009D5720">
        <w:rPr>
          <w:rFonts w:cs="Arial"/>
          <w:color w:val="000000" w:themeColor="text1"/>
        </w:rPr>
        <w:t>The Committee is satisfied that:</w:t>
      </w:r>
    </w:p>
    <w:p w14:paraId="4430DC21" w14:textId="06503332" w:rsidR="009D5720" w:rsidRPr="00410648" w:rsidRDefault="009D5720" w:rsidP="00410648">
      <w:pPr>
        <w:pStyle w:val="ListParagraph"/>
        <w:numPr>
          <w:ilvl w:val="0"/>
          <w:numId w:val="70"/>
        </w:numPr>
        <w:rPr>
          <w:rFonts w:cs="Arial"/>
          <w:color w:val="000000" w:themeColor="text1"/>
        </w:rPr>
      </w:pPr>
      <w:r w:rsidRPr="00410648">
        <w:rPr>
          <w:rFonts w:cs="Arial"/>
          <w:color w:val="000000" w:themeColor="text1"/>
        </w:rPr>
        <w:t xml:space="preserve">throughout the year there was ongoing progress made in relation to Internal Audit recommendations </w:t>
      </w:r>
      <w:proofErr w:type="gramStart"/>
      <w:r w:rsidRPr="00410648">
        <w:rPr>
          <w:rFonts w:cs="Arial"/>
          <w:color w:val="000000" w:themeColor="text1"/>
        </w:rPr>
        <w:t>made;</w:t>
      </w:r>
      <w:proofErr w:type="gramEnd"/>
    </w:p>
    <w:p w14:paraId="2179B9DA" w14:textId="4DC8C36E" w:rsidR="009D5720" w:rsidRPr="00410648" w:rsidRDefault="009D5720" w:rsidP="00410648">
      <w:pPr>
        <w:pStyle w:val="ListParagraph"/>
        <w:numPr>
          <w:ilvl w:val="0"/>
          <w:numId w:val="70"/>
        </w:numPr>
        <w:rPr>
          <w:rFonts w:cs="Arial"/>
          <w:color w:val="000000" w:themeColor="text1"/>
        </w:rPr>
      </w:pPr>
      <w:r w:rsidRPr="00410648">
        <w:rPr>
          <w:rFonts w:cs="Arial"/>
          <w:color w:val="000000" w:themeColor="text1"/>
        </w:rPr>
        <w:t xml:space="preserve">the system of internal control in operation throughout the period is satisfactory and that there have been no material breaches of internal control brought to the attention of the Committee by either management or the Internal or External </w:t>
      </w:r>
      <w:proofErr w:type="gramStart"/>
      <w:r w:rsidRPr="00410648">
        <w:rPr>
          <w:rFonts w:cs="Arial"/>
          <w:color w:val="000000" w:themeColor="text1"/>
        </w:rPr>
        <w:t>Auditors;</w:t>
      </w:r>
      <w:proofErr w:type="gramEnd"/>
    </w:p>
    <w:p w14:paraId="55DBAE32" w14:textId="29FE2AA1" w:rsidR="009D5720" w:rsidRPr="00410648" w:rsidRDefault="009D5720" w:rsidP="00410648">
      <w:pPr>
        <w:pStyle w:val="ListParagraph"/>
        <w:numPr>
          <w:ilvl w:val="0"/>
          <w:numId w:val="70"/>
        </w:numPr>
        <w:rPr>
          <w:rFonts w:cs="Arial"/>
          <w:color w:val="000000" w:themeColor="text1"/>
        </w:rPr>
      </w:pPr>
      <w:r w:rsidRPr="00410648">
        <w:rPr>
          <w:rFonts w:cs="Arial"/>
          <w:color w:val="000000" w:themeColor="text1"/>
        </w:rPr>
        <w:t>there are effective risk management processes and procedures in place:</w:t>
      </w:r>
    </w:p>
    <w:p w14:paraId="67B6915F" w14:textId="16B629E6" w:rsidR="009D5720" w:rsidRPr="00410648" w:rsidRDefault="009D5720" w:rsidP="00410648">
      <w:pPr>
        <w:pStyle w:val="ListParagraph"/>
        <w:numPr>
          <w:ilvl w:val="0"/>
          <w:numId w:val="70"/>
        </w:numPr>
        <w:rPr>
          <w:rFonts w:cs="Arial"/>
          <w:color w:val="000000" w:themeColor="text1"/>
        </w:rPr>
      </w:pPr>
      <w:r w:rsidRPr="00410648">
        <w:rPr>
          <w:rFonts w:cs="Arial"/>
          <w:color w:val="000000" w:themeColor="text1"/>
        </w:rPr>
        <w:t>both the Internal Auditors and the External Auditors provide effective independent challenge to management; and</w:t>
      </w:r>
    </w:p>
    <w:p w14:paraId="61F3E837" w14:textId="65721400" w:rsidR="009D5720" w:rsidRPr="00410648" w:rsidRDefault="009D5720" w:rsidP="00410648">
      <w:pPr>
        <w:pStyle w:val="ListParagraph"/>
        <w:numPr>
          <w:ilvl w:val="0"/>
          <w:numId w:val="70"/>
        </w:numPr>
        <w:rPr>
          <w:rFonts w:cs="Arial"/>
          <w:color w:val="000000" w:themeColor="text1"/>
        </w:rPr>
      </w:pPr>
      <w:r w:rsidRPr="00410648">
        <w:rPr>
          <w:rFonts w:cs="Arial"/>
          <w:color w:val="000000" w:themeColor="text1"/>
        </w:rPr>
        <w:t>the key accounting policies applied in the preparation of the</w:t>
      </w:r>
      <w:r w:rsidRPr="00410648">
        <w:rPr>
          <w:rFonts w:cs="Arial"/>
          <w:color w:val="000000" w:themeColor="text1"/>
        </w:rPr>
        <w:br/>
        <w:t xml:space="preserve">financial statements are appropriate and that the financial statements have been properly prepared in accordance with them and give a true and fair view of the Group’s results for the year and </w:t>
      </w:r>
      <w:proofErr w:type="gramStart"/>
      <w:r w:rsidRPr="00410648">
        <w:rPr>
          <w:rFonts w:cs="Arial"/>
          <w:color w:val="000000" w:themeColor="text1"/>
        </w:rPr>
        <w:t>state of affairs</w:t>
      </w:r>
      <w:proofErr w:type="gramEnd"/>
      <w:r w:rsidRPr="00410648">
        <w:rPr>
          <w:rFonts w:cs="Arial"/>
          <w:color w:val="000000" w:themeColor="text1"/>
        </w:rPr>
        <w:t xml:space="preserve"> at the year end.</w:t>
      </w:r>
    </w:p>
    <w:p w14:paraId="652065BD" w14:textId="77777777" w:rsidR="009D5720" w:rsidRPr="009D5720" w:rsidRDefault="009D5720" w:rsidP="009D5720">
      <w:pPr>
        <w:rPr>
          <w:rFonts w:cs="Arial"/>
          <w:color w:val="000000" w:themeColor="text1"/>
        </w:rPr>
      </w:pPr>
    </w:p>
    <w:p w14:paraId="55327D4B" w14:textId="77777777" w:rsidR="009D5720" w:rsidRPr="00A92B87" w:rsidRDefault="009D5720" w:rsidP="009D5720">
      <w:pPr>
        <w:rPr>
          <w:rFonts w:cs="Arial"/>
          <w:b/>
          <w:bCs/>
          <w:color w:val="000000" w:themeColor="text1"/>
        </w:rPr>
      </w:pPr>
      <w:r w:rsidRPr="00A92B87">
        <w:rPr>
          <w:rFonts w:cs="Arial"/>
          <w:b/>
          <w:bCs/>
          <w:color w:val="000000" w:themeColor="text1"/>
        </w:rPr>
        <w:t>Manish Gupta</w:t>
      </w:r>
    </w:p>
    <w:p w14:paraId="0CFD8808" w14:textId="77777777" w:rsidR="009D5720" w:rsidRPr="009D5720" w:rsidRDefault="009D5720" w:rsidP="009D5720">
      <w:pPr>
        <w:rPr>
          <w:rFonts w:cs="Arial"/>
          <w:color w:val="000000" w:themeColor="text1"/>
        </w:rPr>
      </w:pPr>
      <w:r w:rsidRPr="009D5720">
        <w:rPr>
          <w:rFonts w:cs="Arial"/>
          <w:color w:val="000000" w:themeColor="text1"/>
        </w:rPr>
        <w:t>Chair, Audit and Risk Committee</w:t>
      </w:r>
    </w:p>
    <w:p w14:paraId="69173EC6" w14:textId="3E94FFC0" w:rsidR="00410648" w:rsidRDefault="009D5720" w:rsidP="009D5720">
      <w:pPr>
        <w:rPr>
          <w:rFonts w:cs="Arial"/>
          <w:color w:val="000000" w:themeColor="text1"/>
        </w:rPr>
      </w:pPr>
      <w:r w:rsidRPr="009D5720">
        <w:rPr>
          <w:rFonts w:cs="Arial"/>
          <w:color w:val="000000" w:themeColor="text1"/>
        </w:rPr>
        <w:t>18 June 2025</w:t>
      </w:r>
    </w:p>
    <w:p w14:paraId="7524364C" w14:textId="77777777" w:rsidR="00410648" w:rsidRDefault="00410648">
      <w:pPr>
        <w:spacing w:line="240" w:lineRule="auto"/>
        <w:rPr>
          <w:rFonts w:cs="Arial"/>
          <w:color w:val="000000" w:themeColor="text1"/>
        </w:rPr>
      </w:pPr>
      <w:r>
        <w:rPr>
          <w:rFonts w:cs="Arial"/>
          <w:color w:val="000000" w:themeColor="text1"/>
        </w:rPr>
        <w:br w:type="page"/>
      </w:r>
    </w:p>
    <w:p w14:paraId="7E763C16" w14:textId="77777777" w:rsidR="00B27A2E" w:rsidRPr="00FF49BF" w:rsidRDefault="00B27A2E" w:rsidP="00FF49BF">
      <w:pPr>
        <w:pStyle w:val="Heading1"/>
      </w:pPr>
      <w:bookmarkStart w:id="195" w:name="_Toc213058627"/>
      <w:r w:rsidRPr="00FF49BF">
        <w:lastRenderedPageBreak/>
        <w:t>Safety Oversight</w:t>
      </w:r>
      <w:bookmarkEnd w:id="195"/>
    </w:p>
    <w:p w14:paraId="06A019BF" w14:textId="791B3D1C" w:rsidR="00B27A2E" w:rsidRPr="00FF49BF" w:rsidRDefault="00B27A2E" w:rsidP="00FF49BF">
      <w:pPr>
        <w:pStyle w:val="Heading1"/>
      </w:pPr>
      <w:bookmarkStart w:id="196" w:name="_Toc213058628"/>
      <w:r w:rsidRPr="00FF49BF">
        <w:t>Committee Report</w:t>
      </w:r>
      <w:bookmarkEnd w:id="196"/>
    </w:p>
    <w:p w14:paraId="7B35EB1B" w14:textId="77777777" w:rsidR="00FF49BF" w:rsidRPr="00FF49BF" w:rsidRDefault="00FF49BF" w:rsidP="00FF49BF">
      <w:pPr>
        <w:pStyle w:val="Heading1"/>
      </w:pPr>
    </w:p>
    <w:p w14:paraId="0E277299" w14:textId="336D17C7" w:rsidR="00B27A2E" w:rsidRDefault="00B27A2E" w:rsidP="00B27A2E">
      <w:pPr>
        <w:rPr>
          <w:rFonts w:cs="Arial"/>
          <w:color w:val="000000" w:themeColor="text1"/>
        </w:rPr>
      </w:pPr>
      <w:r w:rsidRPr="00B27A2E">
        <w:rPr>
          <w:rFonts w:cs="Arial"/>
          <w:color w:val="000000" w:themeColor="text1"/>
        </w:rPr>
        <w:t>Translink’s Safety Oversight Committee is appointed by Translink’s Board to promote and monitor the Group’s safety, health, and environmental performance.</w:t>
      </w:r>
    </w:p>
    <w:p w14:paraId="4D6A1301" w14:textId="77777777" w:rsidR="00B27A2E" w:rsidRPr="00B27A2E" w:rsidRDefault="00B27A2E" w:rsidP="00B27A2E">
      <w:pPr>
        <w:rPr>
          <w:rFonts w:cs="Arial"/>
          <w:color w:val="000000" w:themeColor="text1"/>
        </w:rPr>
      </w:pPr>
    </w:p>
    <w:p w14:paraId="1A641806" w14:textId="77777777" w:rsidR="00B27A2E" w:rsidRPr="00B27A2E" w:rsidRDefault="00B27A2E" w:rsidP="00B27A2E">
      <w:pPr>
        <w:rPr>
          <w:rFonts w:cs="Arial"/>
          <w:color w:val="000000" w:themeColor="text1"/>
        </w:rPr>
      </w:pPr>
      <w:r w:rsidRPr="00B27A2E">
        <w:rPr>
          <w:rFonts w:cs="Arial"/>
          <w:color w:val="000000" w:themeColor="text1"/>
        </w:rPr>
        <w:t>The Committee meets three times per year to review the findings of reports, presentations, safety audits, accident inquiries, incident management reports and related information to reinforce best practice and to ensure lessons are learned and embedded for the future. The Committee has been active in challenging and satisfying itself of the adequacy and effectiveness of the safety, health, and environmental management systems, reporting as appropriate to the Board regarding corporate responsibility strategy and overall safety-related performance.</w:t>
      </w:r>
    </w:p>
    <w:p w14:paraId="0CFA59C0" w14:textId="77777777" w:rsidR="00B27A2E" w:rsidRPr="00B27A2E" w:rsidRDefault="00B27A2E" w:rsidP="00B27A2E">
      <w:pPr>
        <w:rPr>
          <w:rFonts w:cs="Arial"/>
          <w:color w:val="000000" w:themeColor="text1"/>
        </w:rPr>
      </w:pPr>
    </w:p>
    <w:p w14:paraId="7B51DDBC" w14:textId="77777777" w:rsidR="00B27A2E" w:rsidRPr="00B27A2E" w:rsidRDefault="00B27A2E" w:rsidP="00B27A2E">
      <w:pPr>
        <w:rPr>
          <w:rFonts w:cs="Arial"/>
          <w:color w:val="000000" w:themeColor="text1"/>
        </w:rPr>
      </w:pPr>
      <w:r w:rsidRPr="00B27A2E">
        <w:rPr>
          <w:rFonts w:cs="Arial"/>
          <w:color w:val="000000" w:themeColor="text1"/>
        </w:rPr>
        <w:t xml:space="preserve">The Committee regularly reviews its terms of reference. The Board demonstrates leadership in this area by engaging with Senior Managers to help drive safe behaviour and culture and to demonstrate commitment to continually improving Translink’s safety, health, and environmental performance.  </w:t>
      </w:r>
    </w:p>
    <w:p w14:paraId="0EB45DFA" w14:textId="77777777" w:rsidR="00B27A2E" w:rsidRPr="00B27A2E" w:rsidRDefault="00B27A2E" w:rsidP="00B27A2E">
      <w:pPr>
        <w:rPr>
          <w:rFonts w:cs="Arial"/>
          <w:color w:val="000000" w:themeColor="text1"/>
        </w:rPr>
      </w:pPr>
    </w:p>
    <w:p w14:paraId="3885E9DB" w14:textId="77777777" w:rsidR="00B27A2E" w:rsidRPr="00B27A2E" w:rsidRDefault="00B27A2E" w:rsidP="00FF49BF">
      <w:pPr>
        <w:pStyle w:val="Heading2"/>
      </w:pPr>
      <w:bookmarkStart w:id="197" w:name="_Toc213058629"/>
      <w:r w:rsidRPr="00B27A2E">
        <w:t>Safety Management System (SMS)</w:t>
      </w:r>
      <w:bookmarkEnd w:id="197"/>
      <w:r w:rsidRPr="00B27A2E">
        <w:t xml:space="preserve"> </w:t>
      </w:r>
    </w:p>
    <w:p w14:paraId="04694C95" w14:textId="77777777" w:rsidR="00B27A2E" w:rsidRPr="00B27A2E" w:rsidRDefault="00B27A2E" w:rsidP="00B27A2E">
      <w:pPr>
        <w:rPr>
          <w:rFonts w:cs="Arial"/>
          <w:color w:val="000000" w:themeColor="text1"/>
        </w:rPr>
      </w:pPr>
      <w:r w:rsidRPr="00B27A2E">
        <w:rPr>
          <w:rFonts w:cs="Arial"/>
          <w:color w:val="000000" w:themeColor="text1"/>
        </w:rPr>
        <w:t>The Translink Safety Management System ensures that Translink’s bus and rail services, engineering, infrastructure, corporate services, and all supporting functions are under the control of a single set of management system principles. Its practical application and the outworking’s of the safety, health and environmental policies are steered by its 14 principles which ensure that management is in line with international standards for safety, health, and environmental management.</w:t>
      </w:r>
    </w:p>
    <w:p w14:paraId="56AB9152" w14:textId="77777777" w:rsidR="00B27A2E" w:rsidRPr="00B27A2E" w:rsidRDefault="00B27A2E" w:rsidP="00B27A2E">
      <w:pPr>
        <w:rPr>
          <w:rFonts w:cs="Arial"/>
          <w:color w:val="000000" w:themeColor="text1"/>
        </w:rPr>
      </w:pPr>
    </w:p>
    <w:p w14:paraId="0EF2E28A" w14:textId="77777777" w:rsidR="00B27A2E" w:rsidRPr="00B27A2E" w:rsidRDefault="00B27A2E" w:rsidP="00B27A2E">
      <w:pPr>
        <w:rPr>
          <w:rFonts w:cs="Arial"/>
          <w:color w:val="000000" w:themeColor="text1"/>
        </w:rPr>
      </w:pPr>
      <w:r w:rsidRPr="00B27A2E">
        <w:rPr>
          <w:rFonts w:cs="Arial"/>
          <w:color w:val="000000" w:themeColor="text1"/>
        </w:rPr>
        <w:t>Compliance with our SMS Principles is monitored by a continuous internal assurance process. This is an essential and prominent feature of our internal reporting throughout the business and is reviewed by the Committee.</w:t>
      </w:r>
    </w:p>
    <w:p w14:paraId="16E98341" w14:textId="77777777" w:rsidR="00B27A2E" w:rsidRPr="00B27A2E" w:rsidRDefault="00B27A2E" w:rsidP="00B27A2E">
      <w:pPr>
        <w:rPr>
          <w:rFonts w:cs="Arial"/>
          <w:color w:val="000000" w:themeColor="text1"/>
        </w:rPr>
      </w:pPr>
    </w:p>
    <w:p w14:paraId="175D1428" w14:textId="77777777" w:rsidR="00B27A2E" w:rsidRPr="00B27A2E" w:rsidRDefault="00B27A2E" w:rsidP="00B27A2E">
      <w:pPr>
        <w:rPr>
          <w:rFonts w:cs="Arial"/>
          <w:b/>
          <w:bCs/>
          <w:color w:val="000000" w:themeColor="text1"/>
        </w:rPr>
      </w:pPr>
    </w:p>
    <w:p w14:paraId="68DAF734" w14:textId="77777777" w:rsidR="00B27A2E" w:rsidRPr="00B27A2E" w:rsidRDefault="00B27A2E" w:rsidP="00B27A2E">
      <w:pPr>
        <w:rPr>
          <w:rFonts w:cs="Arial"/>
          <w:b/>
          <w:bCs/>
          <w:color w:val="000000" w:themeColor="text1"/>
        </w:rPr>
      </w:pPr>
    </w:p>
    <w:p w14:paraId="334A7A55" w14:textId="77777777" w:rsidR="00B27A2E" w:rsidRPr="00B27A2E" w:rsidRDefault="00B27A2E" w:rsidP="00B27A2E">
      <w:pPr>
        <w:rPr>
          <w:rFonts w:cs="Arial"/>
          <w:b/>
          <w:bCs/>
          <w:color w:val="000000" w:themeColor="text1"/>
        </w:rPr>
      </w:pPr>
    </w:p>
    <w:p w14:paraId="4B43CCB2" w14:textId="77777777" w:rsidR="00B27A2E" w:rsidRPr="00B27A2E" w:rsidRDefault="00B27A2E" w:rsidP="00B27A2E">
      <w:pPr>
        <w:rPr>
          <w:rFonts w:cs="Arial"/>
          <w:b/>
          <w:bCs/>
          <w:color w:val="000000" w:themeColor="text1"/>
        </w:rPr>
      </w:pPr>
    </w:p>
    <w:p w14:paraId="03109CE3" w14:textId="77777777" w:rsidR="00B27A2E" w:rsidRPr="00B27A2E" w:rsidRDefault="00B27A2E" w:rsidP="00FF49BF">
      <w:pPr>
        <w:pStyle w:val="Heading2"/>
      </w:pPr>
      <w:bookmarkStart w:id="198" w:name="_Toc213058630"/>
      <w:r w:rsidRPr="00B27A2E">
        <w:t>Corporate Responsibility Strategy and the Environment</w:t>
      </w:r>
      <w:bookmarkEnd w:id="198"/>
      <w:r w:rsidRPr="00B27A2E">
        <w:t xml:space="preserve"> </w:t>
      </w:r>
    </w:p>
    <w:p w14:paraId="2F5F6A3C" w14:textId="77777777" w:rsidR="00B27A2E" w:rsidRPr="00B27A2E" w:rsidRDefault="00B27A2E" w:rsidP="00B27A2E">
      <w:pPr>
        <w:rPr>
          <w:rFonts w:cs="Arial"/>
          <w:color w:val="000000" w:themeColor="text1"/>
        </w:rPr>
      </w:pPr>
      <w:r w:rsidRPr="00B27A2E">
        <w:rPr>
          <w:rFonts w:cs="Arial"/>
          <w:color w:val="000000" w:themeColor="text1"/>
        </w:rPr>
        <w:t xml:space="preserve">Translink touches the lives of everyone in Northern Ireland and the Committee recognises the importance of placing a strong emphasis on corporate responsibility, delivering projects and initiatives which make us a leading business in this area. The Committee is actively engaged, influencing, and driving strategic direction through the development and delivery of the Translink </w:t>
      </w:r>
      <w:proofErr w:type="spellStart"/>
      <w:r w:rsidRPr="00B27A2E">
        <w:rPr>
          <w:rFonts w:cs="Arial"/>
          <w:color w:val="000000" w:themeColor="text1"/>
        </w:rPr>
        <w:t>Better.Connected</w:t>
      </w:r>
      <w:proofErr w:type="spellEnd"/>
      <w:r w:rsidRPr="00B27A2E">
        <w:rPr>
          <w:rFonts w:cs="Arial"/>
          <w:color w:val="000000" w:themeColor="text1"/>
        </w:rPr>
        <w:t xml:space="preserve"> Strategy.</w:t>
      </w:r>
    </w:p>
    <w:p w14:paraId="7A7B5B5C" w14:textId="77777777" w:rsidR="00B27A2E" w:rsidRPr="00B27A2E" w:rsidRDefault="00B27A2E" w:rsidP="00B27A2E">
      <w:pPr>
        <w:rPr>
          <w:rFonts w:cs="Arial"/>
          <w:color w:val="000000" w:themeColor="text1"/>
        </w:rPr>
      </w:pPr>
    </w:p>
    <w:p w14:paraId="696CC7EA" w14:textId="77777777" w:rsidR="00B27A2E" w:rsidRPr="00B27A2E" w:rsidRDefault="00B27A2E" w:rsidP="00B27A2E">
      <w:pPr>
        <w:rPr>
          <w:rFonts w:cs="Arial"/>
          <w:color w:val="000000" w:themeColor="text1"/>
        </w:rPr>
      </w:pPr>
      <w:r w:rsidRPr="00B27A2E">
        <w:rPr>
          <w:rFonts w:cs="Arial"/>
          <w:color w:val="000000" w:themeColor="text1"/>
        </w:rPr>
        <w:t xml:space="preserve">Translink holds a Platinum CORE standard for Corporate Responsibility from Business in the </w:t>
      </w:r>
      <w:proofErr w:type="gramStart"/>
      <w:r w:rsidRPr="00B27A2E">
        <w:rPr>
          <w:rFonts w:cs="Arial"/>
          <w:color w:val="000000" w:themeColor="text1"/>
        </w:rPr>
        <w:t>Community, and</w:t>
      </w:r>
      <w:proofErr w:type="gramEnd"/>
      <w:r w:rsidRPr="00B27A2E">
        <w:rPr>
          <w:rFonts w:cs="Arial"/>
          <w:color w:val="000000" w:themeColor="text1"/>
        </w:rPr>
        <w:t xml:space="preserve"> again retained its Platinum status in BITC’s Environmental Benchmarking Survey, Northern Ireland’s leading environmental benchmarking exercise, attracting organisations from more than 14 industry sectors including participants from some of Northern Ireland’s top companies and leading public sector organisations.</w:t>
      </w:r>
    </w:p>
    <w:p w14:paraId="0D3E40A4" w14:textId="77777777" w:rsidR="00B27A2E" w:rsidRPr="00B27A2E" w:rsidRDefault="00B27A2E" w:rsidP="00B27A2E">
      <w:pPr>
        <w:rPr>
          <w:rFonts w:cs="Arial"/>
          <w:color w:val="000000" w:themeColor="text1"/>
        </w:rPr>
      </w:pPr>
    </w:p>
    <w:p w14:paraId="284284E2" w14:textId="77777777" w:rsidR="00B27A2E" w:rsidRPr="00FF49BF" w:rsidRDefault="00B27A2E" w:rsidP="00FF49BF">
      <w:pPr>
        <w:pStyle w:val="Heading2"/>
      </w:pPr>
      <w:bookmarkStart w:id="199" w:name="_Toc213058631"/>
      <w:r w:rsidRPr="00FF49BF">
        <w:t>Regulators and other Agencies</w:t>
      </w:r>
      <w:bookmarkEnd w:id="199"/>
      <w:r w:rsidRPr="00FF49BF">
        <w:t xml:space="preserve"> </w:t>
      </w:r>
    </w:p>
    <w:p w14:paraId="1AF09983" w14:textId="77777777" w:rsidR="00B27A2E" w:rsidRPr="00B27A2E" w:rsidRDefault="00B27A2E" w:rsidP="00B27A2E">
      <w:pPr>
        <w:rPr>
          <w:rFonts w:cs="Arial"/>
          <w:color w:val="000000" w:themeColor="text1"/>
        </w:rPr>
      </w:pPr>
      <w:r w:rsidRPr="00B27A2E">
        <w:rPr>
          <w:rFonts w:cs="Arial"/>
          <w:color w:val="000000" w:themeColor="text1"/>
        </w:rPr>
        <w:t>Translink continues to work closely with regulators, including holding knowledge-sharing events with the Department for Infrastructure, the Health and Safety Executive for Northern Ireland, the Rail Accident Investigation Branch, the Police Service of Northern Ireland, the Northern Ireland Environment Agency, the Commission for Railway Regulation, and others.</w:t>
      </w:r>
    </w:p>
    <w:p w14:paraId="1B3DEE0A" w14:textId="77777777" w:rsidR="00B27A2E" w:rsidRPr="00B27A2E" w:rsidRDefault="00B27A2E" w:rsidP="00B27A2E">
      <w:pPr>
        <w:rPr>
          <w:rFonts w:cs="Arial"/>
          <w:color w:val="000000" w:themeColor="text1"/>
        </w:rPr>
      </w:pPr>
    </w:p>
    <w:p w14:paraId="31E1B8FF" w14:textId="77777777" w:rsidR="00B27A2E" w:rsidRPr="00B27A2E" w:rsidRDefault="00B27A2E" w:rsidP="00B27A2E">
      <w:pPr>
        <w:rPr>
          <w:rFonts w:cs="Arial"/>
          <w:color w:val="000000" w:themeColor="text1"/>
        </w:rPr>
      </w:pPr>
      <w:r w:rsidRPr="00B27A2E">
        <w:rPr>
          <w:rFonts w:cs="Arial"/>
          <w:color w:val="000000" w:themeColor="text1"/>
        </w:rPr>
        <w:t xml:space="preserve">The Committee welcomes the exchange of information and knowledge through Translink’s work with regulators and other agencies and through contacts with the bus and rail operating industry within Europe and more widely through our links with international trade associations.  </w:t>
      </w:r>
    </w:p>
    <w:p w14:paraId="3B82CD6D" w14:textId="77777777" w:rsidR="00B27A2E" w:rsidRPr="00B27A2E" w:rsidRDefault="00B27A2E" w:rsidP="00B27A2E">
      <w:pPr>
        <w:rPr>
          <w:rFonts w:cs="Arial"/>
          <w:color w:val="000000" w:themeColor="text1"/>
        </w:rPr>
      </w:pPr>
      <w:r w:rsidRPr="00B27A2E">
        <w:rPr>
          <w:rFonts w:cs="Arial"/>
          <w:color w:val="000000" w:themeColor="text1"/>
        </w:rPr>
        <w:t xml:space="preserve"> </w:t>
      </w:r>
    </w:p>
    <w:p w14:paraId="08F9D423" w14:textId="77777777" w:rsidR="00B27A2E" w:rsidRPr="00B27A2E" w:rsidRDefault="00B27A2E" w:rsidP="00FF49BF">
      <w:pPr>
        <w:pStyle w:val="Heading2"/>
      </w:pPr>
      <w:bookmarkStart w:id="200" w:name="_Toc213058632"/>
      <w:r w:rsidRPr="00B27A2E">
        <w:t>Health and Wellbeing</w:t>
      </w:r>
      <w:bookmarkEnd w:id="200"/>
      <w:r w:rsidRPr="00B27A2E">
        <w:t xml:space="preserve"> </w:t>
      </w:r>
    </w:p>
    <w:p w14:paraId="734BFCC8" w14:textId="77777777" w:rsidR="00B27A2E" w:rsidRPr="00B27A2E" w:rsidRDefault="00B27A2E" w:rsidP="00B27A2E">
      <w:pPr>
        <w:rPr>
          <w:rFonts w:cs="Arial"/>
          <w:color w:val="000000" w:themeColor="text1"/>
        </w:rPr>
      </w:pPr>
      <w:r w:rsidRPr="00B27A2E">
        <w:rPr>
          <w:rFonts w:cs="Arial"/>
          <w:color w:val="000000" w:themeColor="text1"/>
        </w:rPr>
        <w:t>The Health and Wellbeing strategy plays a vital role in helping to protect the physical, emotional, and social wellbeing of employees. This is complemented with an engagement and communications plan. Translink’s Employee App ensured easy access to information, advice, and assistance.</w:t>
      </w:r>
    </w:p>
    <w:p w14:paraId="452D7C18" w14:textId="77777777" w:rsidR="00B27A2E" w:rsidRPr="00B27A2E" w:rsidRDefault="00B27A2E" w:rsidP="00B27A2E">
      <w:pPr>
        <w:rPr>
          <w:rFonts w:cs="Arial"/>
          <w:color w:val="000000" w:themeColor="text1"/>
        </w:rPr>
      </w:pPr>
      <w:r w:rsidRPr="00B27A2E">
        <w:rPr>
          <w:rFonts w:cs="Arial"/>
          <w:color w:val="000000" w:themeColor="text1"/>
        </w:rPr>
        <w:t xml:space="preserve"> </w:t>
      </w:r>
    </w:p>
    <w:p w14:paraId="7CFE6CB9" w14:textId="0CD1BD02" w:rsidR="00B27A2E" w:rsidRPr="00B27A2E" w:rsidRDefault="000525D5" w:rsidP="00FF49BF">
      <w:pPr>
        <w:pStyle w:val="Heading2"/>
      </w:pPr>
      <w:bookmarkStart w:id="201" w:name="_Toc213058633"/>
      <w:r>
        <w:lastRenderedPageBreak/>
        <w:br/>
      </w:r>
      <w:r w:rsidR="00B27A2E" w:rsidRPr="00B27A2E">
        <w:t>Future Focus</w:t>
      </w:r>
      <w:bookmarkEnd w:id="201"/>
      <w:r w:rsidR="00B27A2E" w:rsidRPr="00B27A2E">
        <w:t xml:space="preserve"> </w:t>
      </w:r>
    </w:p>
    <w:p w14:paraId="479DE467" w14:textId="7967E3AD" w:rsidR="00B27A2E" w:rsidRPr="00B27A2E" w:rsidRDefault="00B27A2E" w:rsidP="00B27A2E">
      <w:pPr>
        <w:rPr>
          <w:rFonts w:cs="Arial"/>
          <w:color w:val="000000" w:themeColor="text1"/>
        </w:rPr>
      </w:pPr>
      <w:r w:rsidRPr="00B27A2E">
        <w:rPr>
          <w:rFonts w:cs="Arial"/>
          <w:color w:val="000000" w:themeColor="text1"/>
        </w:rPr>
        <w:t>The Committee will continue to oversee Safety and Corporate Responsibility key performance indicators for the Group, when possible visiting locations to review safety practices and procedures and to demonstrate safety leadership, assessing progress of various safety initiatives/programmes and monitoring progress of implementation of group safety standards.</w:t>
      </w:r>
    </w:p>
    <w:p w14:paraId="0F500C2D" w14:textId="77777777" w:rsidR="00B27A2E" w:rsidRPr="00B27A2E" w:rsidRDefault="00B27A2E" w:rsidP="00B27A2E">
      <w:pPr>
        <w:rPr>
          <w:rFonts w:cs="Arial"/>
          <w:color w:val="000000" w:themeColor="text1"/>
        </w:rPr>
      </w:pPr>
    </w:p>
    <w:p w14:paraId="0CEFDC23" w14:textId="77777777" w:rsidR="00B27A2E" w:rsidRPr="00B27A2E" w:rsidRDefault="00B27A2E" w:rsidP="00B27A2E">
      <w:pPr>
        <w:rPr>
          <w:rFonts w:cs="Arial"/>
          <w:color w:val="000000" w:themeColor="text1"/>
        </w:rPr>
      </w:pPr>
      <w:r w:rsidRPr="00B27A2E">
        <w:rPr>
          <w:rFonts w:cs="Arial"/>
          <w:color w:val="000000" w:themeColor="text1"/>
        </w:rPr>
        <w:t xml:space="preserve">Keeping safety as Translink’s </w:t>
      </w:r>
      <w:proofErr w:type="gramStart"/>
      <w:r w:rsidRPr="00B27A2E">
        <w:rPr>
          <w:rFonts w:cs="Arial"/>
          <w:color w:val="000000" w:themeColor="text1"/>
        </w:rPr>
        <w:t>first priority</w:t>
      </w:r>
      <w:proofErr w:type="gramEnd"/>
      <w:r w:rsidRPr="00B27A2E">
        <w:rPr>
          <w:rFonts w:cs="Arial"/>
          <w:color w:val="000000" w:themeColor="text1"/>
        </w:rPr>
        <w:t xml:space="preserve">, the Committee will oversee the continual development and implementation of the Safety Management System with a clear focus on leadership, behavioural safety, and assurance. </w:t>
      </w:r>
    </w:p>
    <w:p w14:paraId="68DCF09F" w14:textId="77777777" w:rsidR="00B27A2E" w:rsidRPr="00B27A2E" w:rsidRDefault="00B27A2E" w:rsidP="00B27A2E">
      <w:pPr>
        <w:rPr>
          <w:rFonts w:cs="Arial"/>
          <w:color w:val="000000" w:themeColor="text1"/>
        </w:rPr>
      </w:pPr>
    </w:p>
    <w:p w14:paraId="7F07EFA8" w14:textId="726971D8" w:rsidR="00B27A2E" w:rsidRPr="00B27A2E" w:rsidRDefault="00B27A2E" w:rsidP="00B27A2E">
      <w:pPr>
        <w:rPr>
          <w:rFonts w:cs="Arial"/>
          <w:color w:val="000000" w:themeColor="text1"/>
        </w:rPr>
      </w:pPr>
      <w:r w:rsidRPr="00B27A2E">
        <w:rPr>
          <w:rFonts w:cs="Arial"/>
          <w:color w:val="000000" w:themeColor="text1"/>
        </w:rPr>
        <w:t xml:space="preserve">Embedding the Translink SPIRIT in everything we do, we will continuously develop our corporate social responsibility through Continuous Improvement, Customer, Climate and Connecting Communities elements of the </w:t>
      </w:r>
      <w:proofErr w:type="gramStart"/>
      <w:r w:rsidRPr="00B27A2E">
        <w:rPr>
          <w:rFonts w:cs="Arial"/>
          <w:color w:val="000000" w:themeColor="text1"/>
        </w:rPr>
        <w:t>Better Connected</w:t>
      </w:r>
      <w:proofErr w:type="gramEnd"/>
      <w:r w:rsidRPr="00B27A2E">
        <w:rPr>
          <w:rFonts w:cs="Arial"/>
          <w:color w:val="000000" w:themeColor="text1"/>
        </w:rPr>
        <w:t xml:space="preserve"> strategy. </w:t>
      </w:r>
    </w:p>
    <w:p w14:paraId="6E81EF72" w14:textId="77777777" w:rsidR="00B27A2E" w:rsidRPr="00B27A2E" w:rsidRDefault="00B27A2E" w:rsidP="00B27A2E">
      <w:pPr>
        <w:rPr>
          <w:rFonts w:cs="Arial"/>
          <w:color w:val="000000" w:themeColor="text1"/>
        </w:rPr>
      </w:pPr>
    </w:p>
    <w:p w14:paraId="391CD915" w14:textId="77777777" w:rsidR="00B27A2E" w:rsidRPr="00B27A2E" w:rsidRDefault="00B27A2E" w:rsidP="00B27A2E">
      <w:pPr>
        <w:rPr>
          <w:rFonts w:cs="Arial"/>
          <w:color w:val="000000" w:themeColor="text1"/>
        </w:rPr>
      </w:pPr>
      <w:r w:rsidRPr="00B27A2E">
        <w:rPr>
          <w:rFonts w:cs="Arial"/>
          <w:b/>
          <w:bCs/>
          <w:color w:val="000000" w:themeColor="text1"/>
        </w:rPr>
        <w:t>Edward Wills</w:t>
      </w:r>
    </w:p>
    <w:p w14:paraId="22C0C5C9" w14:textId="77777777" w:rsidR="00B27A2E" w:rsidRPr="00B27A2E" w:rsidRDefault="00B27A2E" w:rsidP="00B27A2E">
      <w:pPr>
        <w:rPr>
          <w:rFonts w:cs="Arial"/>
          <w:color w:val="000000" w:themeColor="text1"/>
        </w:rPr>
      </w:pPr>
      <w:r w:rsidRPr="00B27A2E">
        <w:rPr>
          <w:rFonts w:cs="Arial"/>
          <w:color w:val="000000" w:themeColor="text1"/>
        </w:rPr>
        <w:t xml:space="preserve">Chair, Safety Oversight Committee </w:t>
      </w:r>
    </w:p>
    <w:p w14:paraId="6BB6E485" w14:textId="3E14738E" w:rsidR="0086548A" w:rsidRDefault="00B27A2E" w:rsidP="00B27A2E">
      <w:pPr>
        <w:rPr>
          <w:rFonts w:cs="Arial"/>
          <w:color w:val="000000" w:themeColor="text1"/>
        </w:rPr>
      </w:pPr>
      <w:r w:rsidRPr="00B27A2E">
        <w:rPr>
          <w:rFonts w:cs="Arial"/>
          <w:color w:val="000000" w:themeColor="text1"/>
        </w:rPr>
        <w:t>18 June 2025</w:t>
      </w:r>
    </w:p>
    <w:p w14:paraId="31A1DBFD" w14:textId="77777777" w:rsidR="0086548A" w:rsidRDefault="0086548A">
      <w:pPr>
        <w:spacing w:line="240" w:lineRule="auto"/>
        <w:rPr>
          <w:rFonts w:cs="Arial"/>
          <w:color w:val="000000" w:themeColor="text1"/>
        </w:rPr>
      </w:pPr>
      <w:r>
        <w:rPr>
          <w:rFonts w:cs="Arial"/>
          <w:color w:val="000000" w:themeColor="text1"/>
        </w:rPr>
        <w:br w:type="page"/>
      </w:r>
    </w:p>
    <w:p w14:paraId="5F36D99B" w14:textId="77777777" w:rsidR="0086548A" w:rsidRPr="0086548A" w:rsidRDefault="0086548A" w:rsidP="00FF49BF">
      <w:pPr>
        <w:pStyle w:val="Heading1"/>
      </w:pPr>
      <w:bookmarkStart w:id="202" w:name="_Toc213058634"/>
      <w:r w:rsidRPr="0086548A">
        <w:lastRenderedPageBreak/>
        <w:t>Project Oversight</w:t>
      </w:r>
      <w:bookmarkEnd w:id="202"/>
    </w:p>
    <w:p w14:paraId="307971EE" w14:textId="5646EC12" w:rsidR="00B27A2E" w:rsidRDefault="0086548A" w:rsidP="00FF49BF">
      <w:pPr>
        <w:pStyle w:val="Heading1"/>
      </w:pPr>
      <w:bookmarkStart w:id="203" w:name="_Toc213058635"/>
      <w:r w:rsidRPr="0086548A">
        <w:t>Committee Report</w:t>
      </w:r>
      <w:bookmarkEnd w:id="203"/>
    </w:p>
    <w:p w14:paraId="743B0950" w14:textId="77777777" w:rsidR="0086548A" w:rsidRPr="0086548A" w:rsidRDefault="0086548A" w:rsidP="0086548A">
      <w:pPr>
        <w:rPr>
          <w:rFonts w:cs="Arial"/>
          <w:color w:val="000000" w:themeColor="text1"/>
        </w:rPr>
      </w:pPr>
    </w:p>
    <w:p w14:paraId="5234C342" w14:textId="77777777" w:rsidR="0086548A" w:rsidRPr="0086548A" w:rsidRDefault="0086548A" w:rsidP="00FF49BF">
      <w:pPr>
        <w:pStyle w:val="Heading2"/>
      </w:pPr>
      <w:bookmarkStart w:id="204" w:name="_Toc213058636"/>
      <w:r w:rsidRPr="0086548A">
        <w:t>Summary of the Role of the Project Oversight Committee</w:t>
      </w:r>
      <w:bookmarkEnd w:id="204"/>
    </w:p>
    <w:p w14:paraId="4D33A885" w14:textId="584372DB" w:rsidR="0086548A" w:rsidRPr="0086548A" w:rsidRDefault="0086548A" w:rsidP="0086548A">
      <w:pPr>
        <w:rPr>
          <w:rFonts w:cs="Arial"/>
          <w:color w:val="000000" w:themeColor="text1"/>
        </w:rPr>
      </w:pPr>
      <w:r w:rsidRPr="0086548A">
        <w:rPr>
          <w:rFonts w:cs="Arial"/>
          <w:color w:val="000000" w:themeColor="text1"/>
        </w:rPr>
        <w:t>The Project Oversight Committee (the “Committee”) is a formally constituted sub-committee of the Board.  The Terms of Reference of the Committee determine that its primary responsibilities are, subject to predetermined thresholds, to:</w:t>
      </w:r>
    </w:p>
    <w:p w14:paraId="51D4E596" w14:textId="77777777" w:rsidR="0086548A" w:rsidRPr="0086548A" w:rsidRDefault="0086548A" w:rsidP="0086548A">
      <w:pPr>
        <w:rPr>
          <w:rFonts w:cs="Arial"/>
          <w:color w:val="000000" w:themeColor="text1"/>
        </w:rPr>
      </w:pPr>
    </w:p>
    <w:p w14:paraId="6F787B37" w14:textId="13A4BBB4" w:rsidR="0086548A" w:rsidRPr="0086548A" w:rsidRDefault="0086548A" w:rsidP="0086548A">
      <w:pPr>
        <w:pStyle w:val="ListParagraph"/>
        <w:numPr>
          <w:ilvl w:val="0"/>
          <w:numId w:val="71"/>
        </w:numPr>
        <w:rPr>
          <w:rFonts w:cs="Arial"/>
          <w:color w:val="000000" w:themeColor="text1"/>
        </w:rPr>
      </w:pPr>
      <w:r w:rsidRPr="0086548A">
        <w:rPr>
          <w:rFonts w:cs="Arial"/>
          <w:color w:val="000000" w:themeColor="text1"/>
        </w:rPr>
        <w:t xml:space="preserve">Review and where appropriate, approve spending and disposal proposals made by the Group’s Executive </w:t>
      </w:r>
      <w:proofErr w:type="gramStart"/>
      <w:r w:rsidRPr="0086548A">
        <w:rPr>
          <w:rFonts w:cs="Arial"/>
          <w:color w:val="000000" w:themeColor="text1"/>
        </w:rPr>
        <w:t>Team;</w:t>
      </w:r>
      <w:proofErr w:type="gramEnd"/>
    </w:p>
    <w:p w14:paraId="7C1BD102" w14:textId="55C251CF" w:rsidR="0086548A" w:rsidRPr="0086548A" w:rsidRDefault="0086548A" w:rsidP="0086548A">
      <w:pPr>
        <w:pStyle w:val="ListParagraph"/>
        <w:numPr>
          <w:ilvl w:val="0"/>
          <w:numId w:val="71"/>
        </w:numPr>
        <w:rPr>
          <w:rFonts w:cs="Arial"/>
          <w:color w:val="000000" w:themeColor="text1"/>
        </w:rPr>
      </w:pPr>
      <w:r w:rsidRPr="0086548A">
        <w:rPr>
          <w:rFonts w:cs="Arial"/>
          <w:color w:val="000000" w:themeColor="text1"/>
        </w:rPr>
        <w:t xml:space="preserve">Review and where appropriate, approve procurement proposals made by the Group’s Executive </w:t>
      </w:r>
      <w:proofErr w:type="gramStart"/>
      <w:r w:rsidRPr="0086548A">
        <w:rPr>
          <w:rFonts w:cs="Arial"/>
          <w:color w:val="000000" w:themeColor="text1"/>
        </w:rPr>
        <w:t>Team;</w:t>
      </w:r>
      <w:proofErr w:type="gramEnd"/>
    </w:p>
    <w:p w14:paraId="522E2672" w14:textId="5C569BB3" w:rsidR="0086548A" w:rsidRPr="0086548A" w:rsidRDefault="0086548A" w:rsidP="0086548A">
      <w:pPr>
        <w:pStyle w:val="ListParagraph"/>
        <w:numPr>
          <w:ilvl w:val="0"/>
          <w:numId w:val="71"/>
        </w:numPr>
        <w:rPr>
          <w:rFonts w:cs="Arial"/>
          <w:color w:val="000000" w:themeColor="text1"/>
        </w:rPr>
      </w:pPr>
      <w:r w:rsidRPr="0086548A">
        <w:rPr>
          <w:rFonts w:cs="Arial"/>
          <w:color w:val="000000" w:themeColor="text1"/>
        </w:rPr>
        <w:t xml:space="preserve">Scrutinise and where appropriate, approve proposals by the Group’s Executive Team to make Direct Award </w:t>
      </w:r>
      <w:proofErr w:type="gramStart"/>
      <w:r w:rsidRPr="0086548A">
        <w:rPr>
          <w:rFonts w:cs="Arial"/>
          <w:color w:val="000000" w:themeColor="text1"/>
        </w:rPr>
        <w:t>Contracts;</w:t>
      </w:r>
      <w:proofErr w:type="gramEnd"/>
    </w:p>
    <w:p w14:paraId="4F85D2D5" w14:textId="6BDC2BFB" w:rsidR="0086548A" w:rsidRPr="0086548A" w:rsidRDefault="0086548A" w:rsidP="0086548A">
      <w:pPr>
        <w:pStyle w:val="ListParagraph"/>
        <w:numPr>
          <w:ilvl w:val="0"/>
          <w:numId w:val="71"/>
        </w:numPr>
        <w:rPr>
          <w:rFonts w:cs="Arial"/>
          <w:color w:val="000000" w:themeColor="text1"/>
        </w:rPr>
      </w:pPr>
      <w:r w:rsidRPr="0086548A">
        <w:rPr>
          <w:rFonts w:cs="Arial"/>
          <w:color w:val="000000" w:themeColor="text1"/>
        </w:rPr>
        <w:t>Monitor and track major capital projects and approve Post Benefit / Project Evaluations; and</w:t>
      </w:r>
    </w:p>
    <w:p w14:paraId="5BF6130A" w14:textId="29C8CAA5" w:rsidR="0086548A" w:rsidRPr="0086548A" w:rsidRDefault="0086548A" w:rsidP="0086548A">
      <w:pPr>
        <w:pStyle w:val="ListParagraph"/>
        <w:numPr>
          <w:ilvl w:val="0"/>
          <w:numId w:val="71"/>
        </w:numPr>
        <w:rPr>
          <w:rFonts w:cs="Arial"/>
          <w:color w:val="000000" w:themeColor="text1"/>
        </w:rPr>
      </w:pPr>
      <w:r w:rsidRPr="0086548A">
        <w:rPr>
          <w:rFonts w:cs="Arial"/>
          <w:color w:val="000000" w:themeColor="text1"/>
        </w:rPr>
        <w:t xml:space="preserve">Review the performance of the Group’s treasury function against the Treasury Management Policy (TMP) and, where appropriate, make recommendations on this to the </w:t>
      </w:r>
      <w:proofErr w:type="gramStart"/>
      <w:r w:rsidRPr="0086548A">
        <w:rPr>
          <w:rFonts w:cs="Arial"/>
          <w:color w:val="000000" w:themeColor="text1"/>
        </w:rPr>
        <w:t>Board;</w:t>
      </w:r>
      <w:proofErr w:type="gramEnd"/>
    </w:p>
    <w:p w14:paraId="0A45426C" w14:textId="77777777" w:rsidR="0086548A" w:rsidRPr="0086548A" w:rsidRDefault="0086548A" w:rsidP="0086548A">
      <w:pPr>
        <w:rPr>
          <w:rFonts w:cs="Arial"/>
          <w:color w:val="000000" w:themeColor="text1"/>
        </w:rPr>
      </w:pPr>
    </w:p>
    <w:p w14:paraId="1E11F045" w14:textId="77777777" w:rsidR="0086548A" w:rsidRPr="0086548A" w:rsidRDefault="0086548A" w:rsidP="0086548A">
      <w:pPr>
        <w:rPr>
          <w:rFonts w:cs="Arial"/>
          <w:color w:val="000000" w:themeColor="text1"/>
        </w:rPr>
      </w:pPr>
      <w:r w:rsidRPr="0086548A">
        <w:rPr>
          <w:rFonts w:cs="Arial"/>
          <w:color w:val="000000" w:themeColor="text1"/>
        </w:rPr>
        <w:t xml:space="preserve">The Group mitigates commodity price risk through a comprehensive fuel hedging </w:t>
      </w:r>
      <w:proofErr w:type="gramStart"/>
      <w:r w:rsidRPr="0086548A">
        <w:rPr>
          <w:rFonts w:cs="Arial"/>
          <w:color w:val="000000" w:themeColor="text1"/>
        </w:rPr>
        <w:t>programme, and</w:t>
      </w:r>
      <w:proofErr w:type="gramEnd"/>
      <w:r w:rsidRPr="0086548A">
        <w:rPr>
          <w:rFonts w:cs="Arial"/>
          <w:color w:val="000000" w:themeColor="text1"/>
        </w:rPr>
        <w:t xml:space="preserve"> has also introduced a utility hedging programme in the last year.  All fuel hedges are scrutinised by the Project Oversight Committee.  The Committee receives regular updates and market analysis through its oversight of the Group’s Treasury Management Policy.</w:t>
      </w:r>
    </w:p>
    <w:p w14:paraId="313B4209" w14:textId="77777777" w:rsidR="0086548A" w:rsidRPr="0086548A" w:rsidRDefault="0086548A" w:rsidP="0086548A">
      <w:pPr>
        <w:rPr>
          <w:rFonts w:cs="Arial"/>
          <w:color w:val="000000" w:themeColor="text1"/>
        </w:rPr>
      </w:pPr>
    </w:p>
    <w:p w14:paraId="49612B3C" w14:textId="77777777" w:rsidR="0086548A" w:rsidRPr="0086548A" w:rsidRDefault="0086548A" w:rsidP="0086548A">
      <w:pPr>
        <w:rPr>
          <w:rFonts w:cs="Arial"/>
          <w:color w:val="000000" w:themeColor="text1"/>
        </w:rPr>
      </w:pPr>
      <w:r w:rsidRPr="0086548A">
        <w:rPr>
          <w:rFonts w:cs="Arial"/>
          <w:color w:val="000000" w:themeColor="text1"/>
        </w:rPr>
        <w:t>In exercising these responsibilities, the Committee has the full delegated authority of Board.</w:t>
      </w:r>
    </w:p>
    <w:p w14:paraId="2FC48014" w14:textId="77777777" w:rsidR="0086548A" w:rsidRPr="0086548A" w:rsidRDefault="0086548A" w:rsidP="0086548A">
      <w:pPr>
        <w:rPr>
          <w:rFonts w:cs="Arial"/>
          <w:color w:val="000000" w:themeColor="text1"/>
        </w:rPr>
      </w:pPr>
    </w:p>
    <w:p w14:paraId="2BECAE2B" w14:textId="77777777" w:rsidR="0086548A" w:rsidRPr="0086548A" w:rsidRDefault="0086548A" w:rsidP="00FF49BF">
      <w:pPr>
        <w:pStyle w:val="Heading2"/>
      </w:pPr>
      <w:bookmarkStart w:id="205" w:name="_Toc213058637"/>
      <w:r w:rsidRPr="0086548A">
        <w:t>Composition of the Committee</w:t>
      </w:r>
      <w:bookmarkEnd w:id="205"/>
    </w:p>
    <w:p w14:paraId="31E27B78" w14:textId="77777777" w:rsidR="0086548A" w:rsidRPr="0086548A" w:rsidRDefault="0086548A" w:rsidP="0086548A">
      <w:pPr>
        <w:rPr>
          <w:rFonts w:cs="Arial"/>
          <w:color w:val="000000" w:themeColor="text1"/>
        </w:rPr>
      </w:pPr>
      <w:r w:rsidRPr="0086548A">
        <w:rPr>
          <w:rFonts w:cs="Arial"/>
          <w:color w:val="000000" w:themeColor="text1"/>
        </w:rPr>
        <w:t>The Committee is chaired by Mike Brown (Non-executive Director). Other members from their appointment dates are Frank Allen (Chair), Manish Gupta (Non-Executive Director) and Grainne McVeigh (Non-Executive Director), the Group Chief Executive, and the Chief Financial Officer.  Sharon O’Connor (Non-Executive Director) was a member prior to her resignation on 30th September 2024.</w:t>
      </w:r>
    </w:p>
    <w:p w14:paraId="58A767E2" w14:textId="77777777" w:rsidR="0086548A" w:rsidRPr="0086548A" w:rsidRDefault="0086548A" w:rsidP="0086548A">
      <w:pPr>
        <w:rPr>
          <w:rFonts w:cs="Arial"/>
          <w:color w:val="000000" w:themeColor="text1"/>
        </w:rPr>
      </w:pPr>
    </w:p>
    <w:p w14:paraId="29493945" w14:textId="20CC20CF" w:rsidR="0086548A" w:rsidRPr="0086548A" w:rsidRDefault="0086548A" w:rsidP="0086548A">
      <w:pPr>
        <w:rPr>
          <w:rFonts w:cs="Arial"/>
          <w:color w:val="000000" w:themeColor="text1"/>
        </w:rPr>
      </w:pPr>
      <w:r w:rsidRPr="0086548A">
        <w:rPr>
          <w:rFonts w:cs="Arial"/>
          <w:color w:val="000000" w:themeColor="text1"/>
        </w:rPr>
        <w:lastRenderedPageBreak/>
        <w:t xml:space="preserve">Committee meetings are also attended by the Director of Service Operations and the Director of Infrastructure and Projects Delivery and the Committee Secretary. The Committee may invite any member of staff to attend part or all of any of its meetings. The Committee normally </w:t>
      </w:r>
      <w:r w:rsidRPr="0086548A">
        <w:rPr>
          <w:rFonts w:cs="Arial"/>
          <w:color w:val="000000" w:themeColor="text1"/>
        </w:rPr>
        <w:br/>
        <w:t>meets monthly.</w:t>
      </w:r>
    </w:p>
    <w:p w14:paraId="7926E2AE" w14:textId="77777777" w:rsidR="0086548A" w:rsidRPr="0086548A" w:rsidRDefault="0086548A" w:rsidP="0086548A">
      <w:pPr>
        <w:rPr>
          <w:rFonts w:cs="Arial"/>
          <w:color w:val="000000" w:themeColor="text1"/>
        </w:rPr>
      </w:pPr>
    </w:p>
    <w:p w14:paraId="63D32C83" w14:textId="77777777" w:rsidR="0086548A" w:rsidRPr="0086548A" w:rsidRDefault="0086548A" w:rsidP="00FF49BF">
      <w:pPr>
        <w:pStyle w:val="Heading2"/>
      </w:pPr>
      <w:bookmarkStart w:id="206" w:name="_Toc213058638"/>
      <w:r w:rsidRPr="0086548A">
        <w:t>Governance</w:t>
      </w:r>
      <w:bookmarkEnd w:id="206"/>
    </w:p>
    <w:p w14:paraId="375F8ECF" w14:textId="77777777" w:rsidR="0086548A" w:rsidRPr="0086548A" w:rsidRDefault="0086548A" w:rsidP="0086548A">
      <w:pPr>
        <w:rPr>
          <w:rFonts w:cs="Arial"/>
          <w:color w:val="000000" w:themeColor="text1"/>
        </w:rPr>
      </w:pPr>
      <w:r w:rsidRPr="0086548A">
        <w:rPr>
          <w:rFonts w:cs="Arial"/>
          <w:color w:val="000000" w:themeColor="text1"/>
        </w:rPr>
        <w:t>The minutes of each Committee meeting are circulated to the Board. Any matters deemed novel and/or contentious are highlighted therein. Minutes are also circulated to the Department for Infrastructure after each meeting.</w:t>
      </w:r>
    </w:p>
    <w:p w14:paraId="67F66048" w14:textId="77777777" w:rsidR="0086548A" w:rsidRPr="0086548A" w:rsidRDefault="0086548A" w:rsidP="0086548A">
      <w:pPr>
        <w:rPr>
          <w:rFonts w:cs="Arial"/>
          <w:color w:val="000000" w:themeColor="text1"/>
        </w:rPr>
      </w:pPr>
    </w:p>
    <w:p w14:paraId="097016BB" w14:textId="77777777" w:rsidR="0086548A" w:rsidRPr="0086548A" w:rsidRDefault="0086548A" w:rsidP="00FF49BF">
      <w:pPr>
        <w:pStyle w:val="Heading2"/>
      </w:pPr>
      <w:bookmarkStart w:id="207" w:name="_Toc213058639"/>
      <w:r w:rsidRPr="0086548A">
        <w:t>Activities Undertaken</w:t>
      </w:r>
      <w:bookmarkEnd w:id="207"/>
    </w:p>
    <w:p w14:paraId="2C24B2EA" w14:textId="77777777" w:rsidR="0086548A" w:rsidRPr="0086548A" w:rsidRDefault="0086548A" w:rsidP="0086548A">
      <w:pPr>
        <w:rPr>
          <w:rFonts w:cs="Arial"/>
          <w:color w:val="000000" w:themeColor="text1"/>
        </w:rPr>
      </w:pPr>
      <w:r w:rsidRPr="0086548A">
        <w:rPr>
          <w:rFonts w:cs="Arial"/>
          <w:color w:val="000000" w:themeColor="text1"/>
        </w:rPr>
        <w:t xml:space="preserve">The Committee met on 11 occasions during the year ended </w:t>
      </w:r>
      <w:r w:rsidRPr="0086548A">
        <w:rPr>
          <w:rFonts w:cs="Arial"/>
          <w:color w:val="000000" w:themeColor="text1"/>
        </w:rPr>
        <w:br/>
        <w:t>30 March 2025 and:</w:t>
      </w:r>
    </w:p>
    <w:p w14:paraId="16F09094" w14:textId="77777777" w:rsidR="0086548A" w:rsidRPr="0086548A" w:rsidRDefault="0086548A" w:rsidP="0086548A">
      <w:pPr>
        <w:rPr>
          <w:rFonts w:cs="Arial"/>
          <w:color w:val="000000" w:themeColor="text1"/>
        </w:rPr>
      </w:pPr>
    </w:p>
    <w:p w14:paraId="25E741E1" w14:textId="521363D7" w:rsidR="0086548A" w:rsidRPr="0086548A" w:rsidRDefault="0086548A" w:rsidP="0086548A">
      <w:pPr>
        <w:pStyle w:val="ListParagraph"/>
        <w:numPr>
          <w:ilvl w:val="0"/>
          <w:numId w:val="72"/>
        </w:numPr>
        <w:rPr>
          <w:rFonts w:cs="Arial"/>
          <w:color w:val="000000" w:themeColor="text1"/>
        </w:rPr>
      </w:pPr>
      <w:r w:rsidRPr="0086548A">
        <w:rPr>
          <w:rFonts w:cs="Arial"/>
          <w:color w:val="000000" w:themeColor="text1"/>
        </w:rPr>
        <w:t xml:space="preserve">Approved a range of actions regarding spending and disposal proposals, procurement proposals and Post Benefit / Project Evaluations in accordance with its </w:t>
      </w:r>
      <w:proofErr w:type="gramStart"/>
      <w:r w:rsidRPr="0086548A">
        <w:rPr>
          <w:rFonts w:cs="Arial"/>
          <w:color w:val="000000" w:themeColor="text1"/>
        </w:rPr>
        <w:t>mandate;</w:t>
      </w:r>
      <w:proofErr w:type="gramEnd"/>
    </w:p>
    <w:p w14:paraId="33D70C7C" w14:textId="4CEA0340" w:rsidR="0086548A" w:rsidRPr="0086548A" w:rsidRDefault="0086548A" w:rsidP="0086548A">
      <w:pPr>
        <w:pStyle w:val="ListParagraph"/>
        <w:numPr>
          <w:ilvl w:val="0"/>
          <w:numId w:val="72"/>
        </w:numPr>
        <w:rPr>
          <w:rFonts w:cs="Arial"/>
          <w:color w:val="000000" w:themeColor="text1"/>
        </w:rPr>
      </w:pPr>
      <w:r w:rsidRPr="0086548A">
        <w:rPr>
          <w:rFonts w:cs="Arial"/>
          <w:color w:val="000000" w:themeColor="text1"/>
        </w:rPr>
        <w:t xml:space="preserve">Monitored and tracked progress on all major capital projects at each </w:t>
      </w:r>
      <w:proofErr w:type="gramStart"/>
      <w:r w:rsidRPr="0086548A">
        <w:rPr>
          <w:rFonts w:cs="Arial"/>
          <w:color w:val="000000" w:themeColor="text1"/>
        </w:rPr>
        <w:t>meeting;</w:t>
      </w:r>
      <w:proofErr w:type="gramEnd"/>
    </w:p>
    <w:p w14:paraId="5C06D048" w14:textId="488B876A" w:rsidR="0086548A" w:rsidRPr="0086548A" w:rsidRDefault="0086548A" w:rsidP="0086548A">
      <w:pPr>
        <w:pStyle w:val="ListParagraph"/>
        <w:numPr>
          <w:ilvl w:val="0"/>
          <w:numId w:val="72"/>
        </w:numPr>
        <w:rPr>
          <w:rFonts w:cs="Arial"/>
          <w:color w:val="000000" w:themeColor="text1"/>
        </w:rPr>
      </w:pPr>
      <w:r w:rsidRPr="0086548A">
        <w:rPr>
          <w:rFonts w:cs="Arial"/>
          <w:color w:val="000000" w:themeColor="text1"/>
        </w:rPr>
        <w:t>Scrutinised fuel hedges and received regular updates and market analysis on diesel, gas and electricity hedges; and</w:t>
      </w:r>
    </w:p>
    <w:p w14:paraId="0C712ED4" w14:textId="2BD6CD31" w:rsidR="0086548A" w:rsidRPr="0086548A" w:rsidRDefault="0086548A" w:rsidP="0086548A">
      <w:pPr>
        <w:pStyle w:val="ListParagraph"/>
        <w:numPr>
          <w:ilvl w:val="0"/>
          <w:numId w:val="72"/>
        </w:numPr>
        <w:rPr>
          <w:rFonts w:cs="Arial"/>
          <w:color w:val="000000" w:themeColor="text1"/>
        </w:rPr>
      </w:pPr>
      <w:r w:rsidRPr="0086548A">
        <w:rPr>
          <w:rFonts w:cs="Arial"/>
          <w:color w:val="000000" w:themeColor="text1"/>
        </w:rPr>
        <w:t xml:space="preserve">Reviewed the performance of the Group’s treasury function against the requirements of the Treasury Management Policy (TMP). </w:t>
      </w:r>
    </w:p>
    <w:p w14:paraId="6D1E383B" w14:textId="77777777" w:rsidR="0086548A" w:rsidRPr="0086548A" w:rsidRDefault="0086548A" w:rsidP="0086548A">
      <w:pPr>
        <w:rPr>
          <w:rFonts w:cs="Arial"/>
          <w:color w:val="000000" w:themeColor="text1"/>
        </w:rPr>
      </w:pPr>
      <w:r w:rsidRPr="0086548A">
        <w:rPr>
          <w:rFonts w:cs="Arial"/>
          <w:color w:val="000000" w:themeColor="text1"/>
        </w:rPr>
        <w:t xml:space="preserve"> </w:t>
      </w:r>
    </w:p>
    <w:p w14:paraId="3B6018A2" w14:textId="77777777" w:rsidR="0086548A" w:rsidRPr="0086548A" w:rsidRDefault="0086548A" w:rsidP="0086548A">
      <w:pPr>
        <w:rPr>
          <w:rFonts w:cs="Arial"/>
          <w:color w:val="000000" w:themeColor="text1"/>
        </w:rPr>
      </w:pPr>
      <w:r w:rsidRPr="0086548A">
        <w:rPr>
          <w:rFonts w:cs="Arial"/>
          <w:color w:val="000000" w:themeColor="text1"/>
        </w:rPr>
        <w:t>The Committee seeks confirmation as to the value for money concept on all projects and looks for specific assurance where there is a limited range of potential suppliers.</w:t>
      </w:r>
    </w:p>
    <w:p w14:paraId="709DD996" w14:textId="77777777" w:rsidR="0086548A" w:rsidRPr="0086548A" w:rsidRDefault="0086548A" w:rsidP="0086548A">
      <w:pPr>
        <w:rPr>
          <w:rFonts w:cs="Arial"/>
          <w:color w:val="000000" w:themeColor="text1"/>
        </w:rPr>
      </w:pPr>
    </w:p>
    <w:p w14:paraId="72B14E6B" w14:textId="77777777" w:rsidR="0086548A" w:rsidRPr="0086548A" w:rsidRDefault="0086548A" w:rsidP="0086548A">
      <w:pPr>
        <w:rPr>
          <w:rFonts w:cs="Arial"/>
          <w:color w:val="000000" w:themeColor="text1"/>
        </w:rPr>
      </w:pPr>
      <w:r w:rsidRPr="0086548A">
        <w:rPr>
          <w:rFonts w:cs="Arial"/>
          <w:color w:val="000000" w:themeColor="text1"/>
        </w:rPr>
        <w:t xml:space="preserve">In addition to the application of an agile Supplier Relationship Management (SRM) model with key critical suppliers, there is proactive engagement with the wider supply base, both strategically and </w:t>
      </w:r>
      <w:proofErr w:type="gramStart"/>
      <w:r w:rsidRPr="0086548A">
        <w:rPr>
          <w:rFonts w:cs="Arial"/>
          <w:color w:val="000000" w:themeColor="text1"/>
        </w:rPr>
        <w:t>as a result of</w:t>
      </w:r>
      <w:proofErr w:type="gramEnd"/>
      <w:r w:rsidRPr="0086548A">
        <w:rPr>
          <w:rFonts w:cs="Arial"/>
          <w:color w:val="000000" w:themeColor="text1"/>
        </w:rPr>
        <w:t xml:space="preserve"> supplier health and supply chain issues - in recent times this has included the impact of Brexit and the COVID-19 pandemic.  There is also an increased focus on the need to gather market intelligence to inform decision-making and on the importance of commercial awareness – particularly when dealing with requests for price increases and making provision for future benefits from cost reductions when market conditions improve.</w:t>
      </w:r>
    </w:p>
    <w:p w14:paraId="3C6BCDD1" w14:textId="77777777" w:rsidR="0086548A" w:rsidRDefault="0086548A" w:rsidP="0086548A">
      <w:pPr>
        <w:rPr>
          <w:rFonts w:cs="Arial"/>
          <w:color w:val="000000" w:themeColor="text1"/>
        </w:rPr>
      </w:pPr>
    </w:p>
    <w:p w14:paraId="01DCCD28" w14:textId="77777777" w:rsidR="0086548A" w:rsidRDefault="0086548A">
      <w:pPr>
        <w:spacing w:line="240" w:lineRule="auto"/>
        <w:rPr>
          <w:rFonts w:cs="Arial"/>
          <w:b/>
          <w:bCs/>
          <w:color w:val="000000" w:themeColor="text1"/>
          <w:sz w:val="28"/>
          <w:szCs w:val="28"/>
        </w:rPr>
      </w:pPr>
      <w:r>
        <w:rPr>
          <w:rFonts w:cs="Arial"/>
          <w:b/>
          <w:bCs/>
          <w:color w:val="000000" w:themeColor="text1"/>
          <w:sz w:val="28"/>
          <w:szCs w:val="28"/>
        </w:rPr>
        <w:br w:type="page"/>
      </w:r>
    </w:p>
    <w:p w14:paraId="171A538A" w14:textId="0EC39FF9" w:rsidR="0086548A" w:rsidRPr="0086548A" w:rsidRDefault="0086548A" w:rsidP="00FF49BF">
      <w:pPr>
        <w:pStyle w:val="Heading2"/>
      </w:pPr>
      <w:bookmarkStart w:id="208" w:name="_Toc213058640"/>
      <w:r w:rsidRPr="0086548A">
        <w:lastRenderedPageBreak/>
        <w:t>Conclusion</w:t>
      </w:r>
      <w:bookmarkEnd w:id="208"/>
      <w:r w:rsidRPr="0086548A">
        <w:t xml:space="preserve"> </w:t>
      </w:r>
    </w:p>
    <w:p w14:paraId="68038190" w14:textId="77777777" w:rsidR="0086548A" w:rsidRPr="0086548A" w:rsidRDefault="0086548A" w:rsidP="0086548A">
      <w:pPr>
        <w:rPr>
          <w:rFonts w:cs="Arial"/>
          <w:color w:val="000000" w:themeColor="text1"/>
        </w:rPr>
      </w:pPr>
      <w:r w:rsidRPr="0086548A">
        <w:rPr>
          <w:rFonts w:cs="Arial"/>
          <w:color w:val="000000" w:themeColor="text1"/>
        </w:rPr>
        <w:t>The committee’s oversight of capital expenditure and infrastructure projects is carried out in the context of the challenging financial position that the organisation faces.  We are very focused on ensuring that investment is optimal at a strategic level, but the committee recognises the need for efficient delivery and value for money in procurement processes and in outcomes.</w:t>
      </w:r>
    </w:p>
    <w:p w14:paraId="698E6680" w14:textId="77777777" w:rsidR="0086548A" w:rsidRPr="0086548A" w:rsidRDefault="0086548A" w:rsidP="0086548A">
      <w:pPr>
        <w:rPr>
          <w:rFonts w:cs="Arial"/>
          <w:color w:val="000000" w:themeColor="text1"/>
        </w:rPr>
      </w:pPr>
    </w:p>
    <w:p w14:paraId="16FF19A4" w14:textId="4CD06B2D" w:rsidR="0086548A" w:rsidRPr="0086548A" w:rsidRDefault="0086548A" w:rsidP="0086548A">
      <w:pPr>
        <w:rPr>
          <w:rFonts w:cs="Arial"/>
          <w:color w:val="000000" w:themeColor="text1"/>
        </w:rPr>
      </w:pPr>
      <w:r w:rsidRPr="0086548A">
        <w:rPr>
          <w:rFonts w:cs="Arial"/>
          <w:color w:val="000000" w:themeColor="text1"/>
        </w:rPr>
        <w:t xml:space="preserve">The Project Oversight Committee considers that for the 2024/25 financial </w:t>
      </w:r>
      <w:proofErr w:type="gramStart"/>
      <w:r w:rsidRPr="0086548A">
        <w:rPr>
          <w:rFonts w:cs="Arial"/>
          <w:color w:val="000000" w:themeColor="text1"/>
        </w:rPr>
        <w:t>year,</w:t>
      </w:r>
      <w:proofErr w:type="gramEnd"/>
      <w:r w:rsidRPr="0086548A">
        <w:rPr>
          <w:rFonts w:cs="Arial"/>
          <w:color w:val="000000" w:themeColor="text1"/>
        </w:rPr>
        <w:t xml:space="preserve"> it has discharged its responsibilities in full in accordance with its remit.</w:t>
      </w:r>
    </w:p>
    <w:p w14:paraId="53875396" w14:textId="77777777" w:rsidR="0086548A" w:rsidRPr="0086548A" w:rsidRDefault="0086548A" w:rsidP="0086548A">
      <w:pPr>
        <w:rPr>
          <w:rFonts w:cs="Arial"/>
          <w:color w:val="000000" w:themeColor="text1"/>
        </w:rPr>
      </w:pPr>
    </w:p>
    <w:p w14:paraId="43A6ED8A" w14:textId="77777777" w:rsidR="0086548A" w:rsidRPr="00A92B87" w:rsidRDefault="0086548A" w:rsidP="0086548A">
      <w:pPr>
        <w:rPr>
          <w:rFonts w:cs="Arial"/>
          <w:b/>
          <w:bCs/>
          <w:color w:val="000000" w:themeColor="text1"/>
        </w:rPr>
      </w:pPr>
      <w:r w:rsidRPr="00A92B87">
        <w:rPr>
          <w:rFonts w:cs="Arial"/>
          <w:b/>
          <w:bCs/>
          <w:color w:val="000000" w:themeColor="text1"/>
        </w:rPr>
        <w:t>Mike Brown</w:t>
      </w:r>
    </w:p>
    <w:p w14:paraId="75F39428" w14:textId="77777777" w:rsidR="0086548A" w:rsidRPr="0086548A" w:rsidRDefault="0086548A" w:rsidP="0086548A">
      <w:pPr>
        <w:rPr>
          <w:rFonts w:cs="Arial"/>
          <w:color w:val="000000" w:themeColor="text1"/>
        </w:rPr>
      </w:pPr>
      <w:r w:rsidRPr="0086548A">
        <w:rPr>
          <w:rFonts w:cs="Arial"/>
          <w:color w:val="000000" w:themeColor="text1"/>
        </w:rPr>
        <w:t>Chairman, Project Oversight Committee</w:t>
      </w:r>
    </w:p>
    <w:p w14:paraId="372842EB" w14:textId="7D7B3731" w:rsidR="0086548A" w:rsidRDefault="0086548A" w:rsidP="0086548A">
      <w:pPr>
        <w:rPr>
          <w:rFonts w:cs="Arial"/>
          <w:color w:val="000000" w:themeColor="text1"/>
        </w:rPr>
      </w:pPr>
      <w:r w:rsidRPr="0086548A">
        <w:rPr>
          <w:rFonts w:cs="Arial"/>
          <w:color w:val="000000" w:themeColor="text1"/>
        </w:rPr>
        <w:t>18 June 2025</w:t>
      </w:r>
    </w:p>
    <w:p w14:paraId="7B01424A" w14:textId="77777777" w:rsidR="0086548A" w:rsidRDefault="0086548A">
      <w:pPr>
        <w:spacing w:line="240" w:lineRule="auto"/>
        <w:rPr>
          <w:rFonts w:cs="Arial"/>
          <w:color w:val="000000" w:themeColor="text1"/>
        </w:rPr>
      </w:pPr>
      <w:r>
        <w:rPr>
          <w:rFonts w:cs="Arial"/>
          <w:color w:val="000000" w:themeColor="text1"/>
        </w:rPr>
        <w:br w:type="page"/>
      </w:r>
    </w:p>
    <w:p w14:paraId="0F7DC3FD" w14:textId="654CAC33" w:rsidR="0086548A" w:rsidRPr="0086548A" w:rsidRDefault="0086548A" w:rsidP="00FF49BF">
      <w:pPr>
        <w:pStyle w:val="Heading1"/>
      </w:pPr>
      <w:bookmarkStart w:id="209" w:name="_Toc213058641"/>
      <w:r w:rsidRPr="0086548A">
        <w:lastRenderedPageBreak/>
        <w:t>Directors’</w:t>
      </w:r>
      <w:bookmarkEnd w:id="209"/>
      <w:r w:rsidRPr="0086548A">
        <w:t xml:space="preserve"> </w:t>
      </w:r>
      <w:bookmarkStart w:id="210" w:name="_Toc213058642"/>
      <w:r w:rsidRPr="0086548A">
        <w:t xml:space="preserve">Remuneration </w:t>
      </w:r>
      <w:r w:rsidRPr="0086548A">
        <w:br/>
        <w:t>Report</w:t>
      </w:r>
      <w:bookmarkEnd w:id="210"/>
    </w:p>
    <w:p w14:paraId="62EAB74C" w14:textId="77777777" w:rsidR="00FF49BF" w:rsidRDefault="00FF49BF" w:rsidP="0086548A">
      <w:pPr>
        <w:rPr>
          <w:rFonts w:cs="Arial"/>
          <w:b/>
          <w:bCs/>
          <w:color w:val="000000" w:themeColor="text1"/>
          <w:sz w:val="28"/>
          <w:szCs w:val="28"/>
        </w:rPr>
      </w:pPr>
    </w:p>
    <w:p w14:paraId="4A5B1EFB" w14:textId="07D0467A" w:rsidR="0086548A" w:rsidRPr="00FF49BF" w:rsidRDefault="0086548A" w:rsidP="00FF49BF">
      <w:pPr>
        <w:pStyle w:val="Heading2"/>
      </w:pPr>
      <w:bookmarkStart w:id="211" w:name="_Toc213058643"/>
      <w:r w:rsidRPr="0086548A">
        <w:t xml:space="preserve">The Group Remuneration and Pensions Committee </w:t>
      </w:r>
      <w:r w:rsidR="00FF49BF">
        <w:br/>
      </w:r>
      <w:r w:rsidRPr="0086548A">
        <w:t>(the “Committee”)</w:t>
      </w:r>
      <w:bookmarkEnd w:id="211"/>
    </w:p>
    <w:p w14:paraId="10D606FC" w14:textId="14137ACF" w:rsidR="0086548A" w:rsidRPr="0086548A" w:rsidRDefault="0086548A" w:rsidP="00FF49BF">
      <w:pPr>
        <w:pStyle w:val="Heading3"/>
      </w:pPr>
      <w:bookmarkStart w:id="212" w:name="_Toc213058644"/>
      <w:r w:rsidRPr="0086548A">
        <w:t>Role of the Committee</w:t>
      </w:r>
      <w:bookmarkEnd w:id="212"/>
    </w:p>
    <w:p w14:paraId="2FC1DAA1" w14:textId="24C05D79" w:rsidR="0086548A" w:rsidRPr="0086548A" w:rsidRDefault="0086548A" w:rsidP="0086548A">
      <w:pPr>
        <w:rPr>
          <w:rFonts w:cs="Arial"/>
          <w:color w:val="000000" w:themeColor="text1"/>
        </w:rPr>
      </w:pPr>
      <w:r w:rsidRPr="0086548A">
        <w:rPr>
          <w:rFonts w:cs="Arial"/>
          <w:color w:val="000000" w:themeColor="text1"/>
        </w:rPr>
        <w:t>The Committee’s principal responsibilities are to:</w:t>
      </w:r>
    </w:p>
    <w:p w14:paraId="3AED0C8F" w14:textId="336E4376"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annually review remuneration for senior executives and other </w:t>
      </w:r>
      <w:proofErr w:type="gramStart"/>
      <w:r w:rsidRPr="0086548A">
        <w:rPr>
          <w:rFonts w:cs="Arial"/>
          <w:color w:val="000000" w:themeColor="text1"/>
        </w:rPr>
        <w:t>executives;</w:t>
      </w:r>
      <w:proofErr w:type="gramEnd"/>
    </w:p>
    <w:p w14:paraId="33079B06" w14:textId="40991589"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review the objectives set for senior </w:t>
      </w:r>
      <w:proofErr w:type="gramStart"/>
      <w:r w:rsidRPr="0086548A">
        <w:rPr>
          <w:rFonts w:cs="Arial"/>
          <w:color w:val="000000" w:themeColor="text1"/>
        </w:rPr>
        <w:t>executives;</w:t>
      </w:r>
      <w:proofErr w:type="gramEnd"/>
    </w:p>
    <w:p w14:paraId="45D2FD30" w14:textId="4F6BCE3A"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review senior executive </w:t>
      </w:r>
      <w:proofErr w:type="gramStart"/>
      <w:r w:rsidRPr="0086548A">
        <w:rPr>
          <w:rFonts w:cs="Arial"/>
          <w:color w:val="000000" w:themeColor="text1"/>
        </w:rPr>
        <w:t>performance;</w:t>
      </w:r>
      <w:proofErr w:type="gramEnd"/>
    </w:p>
    <w:p w14:paraId="4A47E344" w14:textId="49FD1386"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review the succession plans in place for senior </w:t>
      </w:r>
      <w:proofErr w:type="gramStart"/>
      <w:r w:rsidRPr="0086548A">
        <w:rPr>
          <w:rFonts w:cs="Arial"/>
          <w:color w:val="000000" w:themeColor="text1"/>
        </w:rPr>
        <w:t>executives;</w:t>
      </w:r>
      <w:proofErr w:type="gramEnd"/>
    </w:p>
    <w:p w14:paraId="42E696D2" w14:textId="0A3D6104"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oversee the process of appointing to the position of Group Chief Executive and other senior executive </w:t>
      </w:r>
      <w:proofErr w:type="gramStart"/>
      <w:r w:rsidRPr="0086548A">
        <w:rPr>
          <w:rFonts w:cs="Arial"/>
          <w:color w:val="000000" w:themeColor="text1"/>
        </w:rPr>
        <w:t>posts;</w:t>
      </w:r>
      <w:proofErr w:type="gramEnd"/>
    </w:p>
    <w:p w14:paraId="2334DE71" w14:textId="631F602E"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 xml:space="preserve">consider and recommend to the Board any changes to the operation or funding of the Group’s pension </w:t>
      </w:r>
      <w:proofErr w:type="gramStart"/>
      <w:r w:rsidRPr="0086548A">
        <w:rPr>
          <w:rFonts w:cs="Arial"/>
          <w:color w:val="000000" w:themeColor="text1"/>
        </w:rPr>
        <w:t>schemes;</w:t>
      </w:r>
      <w:proofErr w:type="gramEnd"/>
    </w:p>
    <w:p w14:paraId="3E465AF6" w14:textId="20B51CBB"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consult periodically with the Trustees of the Group sponsored pension schemes on relevant statutory matters concerning the schemes; and</w:t>
      </w:r>
    </w:p>
    <w:p w14:paraId="2C1C54E7" w14:textId="4D652EF9" w:rsidR="0086548A" w:rsidRPr="0086548A" w:rsidRDefault="0086548A" w:rsidP="0086548A">
      <w:pPr>
        <w:pStyle w:val="ListParagraph"/>
        <w:numPr>
          <w:ilvl w:val="0"/>
          <w:numId w:val="73"/>
        </w:numPr>
        <w:rPr>
          <w:rFonts w:cs="Arial"/>
          <w:color w:val="000000" w:themeColor="text1"/>
        </w:rPr>
      </w:pPr>
      <w:r w:rsidRPr="0086548A">
        <w:rPr>
          <w:rFonts w:cs="Arial"/>
          <w:color w:val="000000" w:themeColor="text1"/>
        </w:rPr>
        <w:t>recommend to the Board appointments of Trustees to the Group sponsored pension schemes.</w:t>
      </w:r>
    </w:p>
    <w:p w14:paraId="55F1EAF9" w14:textId="77777777" w:rsidR="0086548A" w:rsidRPr="0086548A" w:rsidRDefault="0086548A" w:rsidP="0086548A">
      <w:pPr>
        <w:rPr>
          <w:rFonts w:cs="Arial"/>
          <w:color w:val="000000" w:themeColor="text1"/>
        </w:rPr>
      </w:pPr>
    </w:p>
    <w:p w14:paraId="3CD0301E" w14:textId="77777777" w:rsidR="0086548A" w:rsidRPr="0086548A" w:rsidRDefault="0086548A" w:rsidP="00FF49BF">
      <w:pPr>
        <w:pStyle w:val="Heading3"/>
      </w:pPr>
      <w:bookmarkStart w:id="213" w:name="_Toc213058645"/>
      <w:r w:rsidRPr="0086548A">
        <w:t>Terms of Reference</w:t>
      </w:r>
      <w:bookmarkEnd w:id="213"/>
    </w:p>
    <w:p w14:paraId="19D2CAB0" w14:textId="77777777" w:rsidR="0086548A" w:rsidRPr="0086548A" w:rsidRDefault="0086548A" w:rsidP="0086548A">
      <w:pPr>
        <w:rPr>
          <w:rFonts w:cs="Arial"/>
          <w:color w:val="000000" w:themeColor="text1"/>
        </w:rPr>
      </w:pPr>
      <w:r w:rsidRPr="0086548A">
        <w:rPr>
          <w:rFonts w:cs="Arial"/>
          <w:color w:val="000000" w:themeColor="text1"/>
        </w:rPr>
        <w:t>The Committee’s terms of reference are reviewed annually by the Committee and approved by the Board. They are available on request from the General Counsel and Company Secretary.</w:t>
      </w:r>
    </w:p>
    <w:p w14:paraId="46B688F8" w14:textId="77777777" w:rsidR="0086548A" w:rsidRPr="0086548A" w:rsidRDefault="0086548A" w:rsidP="0086548A">
      <w:pPr>
        <w:rPr>
          <w:rFonts w:cs="Arial"/>
          <w:color w:val="000000" w:themeColor="text1"/>
        </w:rPr>
      </w:pPr>
    </w:p>
    <w:p w14:paraId="63B1736C" w14:textId="77777777" w:rsidR="0086548A" w:rsidRPr="0086548A" w:rsidRDefault="0086548A" w:rsidP="0086548A">
      <w:pPr>
        <w:rPr>
          <w:rFonts w:cs="Arial"/>
          <w:color w:val="000000" w:themeColor="text1"/>
        </w:rPr>
      </w:pPr>
      <w:r w:rsidRPr="0086548A">
        <w:rPr>
          <w:rFonts w:cs="Arial"/>
          <w:color w:val="000000" w:themeColor="text1"/>
        </w:rPr>
        <w:t>Terms of Reference were reviewed during the year and amended to include the periodic review of reports in respect of equality, diversity and inclusion and absence.</w:t>
      </w:r>
    </w:p>
    <w:p w14:paraId="29A5F491" w14:textId="77777777" w:rsidR="0086548A" w:rsidRPr="0086548A" w:rsidRDefault="0086548A" w:rsidP="0086548A">
      <w:pPr>
        <w:rPr>
          <w:rFonts w:cs="Arial"/>
          <w:color w:val="000000" w:themeColor="text1"/>
        </w:rPr>
      </w:pPr>
    </w:p>
    <w:p w14:paraId="74BD5653" w14:textId="77777777" w:rsidR="000525D5" w:rsidRDefault="000525D5">
      <w:pPr>
        <w:spacing w:line="240" w:lineRule="auto"/>
        <w:rPr>
          <w:rFonts w:eastAsiaTheme="majorEastAsia" w:cstheme="majorBidi"/>
          <w:b/>
          <w:color w:val="000000" w:themeColor="text1"/>
        </w:rPr>
      </w:pPr>
      <w:bookmarkStart w:id="214" w:name="_Toc213058646"/>
      <w:r>
        <w:br w:type="page"/>
      </w:r>
    </w:p>
    <w:p w14:paraId="5EA41B97" w14:textId="4976FC64" w:rsidR="0086548A" w:rsidRPr="0086548A" w:rsidRDefault="0086548A" w:rsidP="00FF49BF">
      <w:pPr>
        <w:pStyle w:val="Heading3"/>
      </w:pPr>
      <w:r w:rsidRPr="0086548A">
        <w:lastRenderedPageBreak/>
        <w:t>Membership</w:t>
      </w:r>
      <w:bookmarkEnd w:id="214"/>
    </w:p>
    <w:p w14:paraId="58C3638B" w14:textId="77777777" w:rsidR="0086548A" w:rsidRPr="0086548A" w:rsidRDefault="0086548A" w:rsidP="0086548A">
      <w:pPr>
        <w:rPr>
          <w:rFonts w:cs="Arial"/>
          <w:color w:val="000000" w:themeColor="text1"/>
        </w:rPr>
      </w:pPr>
      <w:r w:rsidRPr="0086548A">
        <w:rPr>
          <w:rFonts w:cs="Arial"/>
          <w:color w:val="000000" w:themeColor="text1"/>
        </w:rPr>
        <w:t xml:space="preserve">The Committee is appointed by the Chair of the company </w:t>
      </w:r>
      <w:r w:rsidRPr="0086548A">
        <w:rPr>
          <w:rFonts w:cs="Arial"/>
          <w:color w:val="000000" w:themeColor="text1"/>
        </w:rPr>
        <w:br/>
        <w:t>and approved by the Board. The members during 2024/25 were non-executive Directors and comprised of:</w:t>
      </w:r>
    </w:p>
    <w:p w14:paraId="5ACEB6B8" w14:textId="77777777" w:rsidR="0086548A" w:rsidRPr="0086548A" w:rsidRDefault="0086548A" w:rsidP="0086548A">
      <w:pPr>
        <w:rPr>
          <w:rFonts w:cs="Arial"/>
          <w:color w:val="000000" w:themeColor="text1"/>
        </w:rPr>
      </w:pPr>
    </w:p>
    <w:p w14:paraId="474487E9" w14:textId="77777777" w:rsidR="0086548A" w:rsidRPr="0086548A" w:rsidRDefault="0086548A" w:rsidP="0086548A">
      <w:pPr>
        <w:rPr>
          <w:rFonts w:cs="Arial"/>
          <w:color w:val="000000" w:themeColor="text1"/>
        </w:rPr>
      </w:pPr>
      <w:r w:rsidRPr="0086548A">
        <w:rPr>
          <w:rFonts w:cs="Arial"/>
          <w:color w:val="000000" w:themeColor="text1"/>
        </w:rPr>
        <w:t>Marie Mallon (Chair until 30 September 2024)</w:t>
      </w:r>
    </w:p>
    <w:p w14:paraId="2B1ED208" w14:textId="77777777" w:rsidR="0086548A" w:rsidRPr="0086548A" w:rsidRDefault="0086548A" w:rsidP="0086548A">
      <w:pPr>
        <w:rPr>
          <w:rFonts w:cs="Arial"/>
          <w:color w:val="000000" w:themeColor="text1"/>
        </w:rPr>
      </w:pPr>
      <w:r w:rsidRPr="0086548A">
        <w:rPr>
          <w:rFonts w:cs="Arial"/>
          <w:color w:val="000000" w:themeColor="text1"/>
        </w:rPr>
        <w:t>Don Leeson (Chair appointed 1 October 2024)</w:t>
      </w:r>
    </w:p>
    <w:p w14:paraId="586C5552" w14:textId="77777777" w:rsidR="0086548A" w:rsidRPr="0086548A" w:rsidRDefault="0086548A" w:rsidP="0086548A">
      <w:pPr>
        <w:rPr>
          <w:rFonts w:cs="Arial"/>
          <w:color w:val="000000" w:themeColor="text1"/>
        </w:rPr>
      </w:pPr>
      <w:r w:rsidRPr="0086548A">
        <w:rPr>
          <w:rFonts w:cs="Arial"/>
          <w:color w:val="000000" w:themeColor="text1"/>
        </w:rPr>
        <w:t xml:space="preserve">Edward Wills </w:t>
      </w:r>
    </w:p>
    <w:p w14:paraId="4F121184" w14:textId="77777777" w:rsidR="0086548A" w:rsidRPr="0086548A" w:rsidRDefault="0086548A" w:rsidP="0086548A">
      <w:pPr>
        <w:rPr>
          <w:rFonts w:cs="Arial"/>
          <w:color w:val="000000" w:themeColor="text1"/>
        </w:rPr>
      </w:pPr>
    </w:p>
    <w:p w14:paraId="0336CFEC" w14:textId="77777777" w:rsidR="0086548A" w:rsidRPr="0086548A" w:rsidRDefault="0086548A" w:rsidP="0086548A">
      <w:pPr>
        <w:rPr>
          <w:rFonts w:cs="Arial"/>
          <w:color w:val="000000" w:themeColor="text1"/>
        </w:rPr>
      </w:pPr>
      <w:r w:rsidRPr="0086548A">
        <w:rPr>
          <w:rFonts w:cs="Arial"/>
          <w:color w:val="000000" w:themeColor="text1"/>
        </w:rPr>
        <w:t xml:space="preserve">Members’ individual attendance at committee meetings </w:t>
      </w:r>
      <w:r w:rsidRPr="0086548A">
        <w:rPr>
          <w:rFonts w:cs="Arial"/>
          <w:color w:val="000000" w:themeColor="text1"/>
        </w:rPr>
        <w:br/>
        <w:t>for the year under review can be found on page 24.</w:t>
      </w:r>
    </w:p>
    <w:p w14:paraId="68D3317A" w14:textId="77777777" w:rsidR="0086548A" w:rsidRPr="0086548A" w:rsidRDefault="0086548A" w:rsidP="0086548A">
      <w:pPr>
        <w:rPr>
          <w:rFonts w:cs="Arial"/>
          <w:color w:val="000000" w:themeColor="text1"/>
        </w:rPr>
      </w:pPr>
    </w:p>
    <w:p w14:paraId="7B05E642" w14:textId="77777777" w:rsidR="0086548A" w:rsidRPr="0086548A" w:rsidRDefault="0086548A" w:rsidP="00E65F98">
      <w:pPr>
        <w:pStyle w:val="Heading3"/>
      </w:pPr>
      <w:bookmarkStart w:id="215" w:name="_Toc213058647"/>
      <w:r w:rsidRPr="0086548A">
        <w:t>Other Attendees</w:t>
      </w:r>
      <w:bookmarkEnd w:id="215"/>
    </w:p>
    <w:p w14:paraId="2C5F62F8" w14:textId="77777777" w:rsidR="0086548A" w:rsidRPr="0086548A" w:rsidRDefault="0086548A" w:rsidP="0086548A">
      <w:pPr>
        <w:rPr>
          <w:rFonts w:cs="Arial"/>
          <w:color w:val="000000" w:themeColor="text1"/>
        </w:rPr>
      </w:pPr>
      <w:r w:rsidRPr="0086548A">
        <w:rPr>
          <w:rFonts w:cs="Arial"/>
          <w:color w:val="000000" w:themeColor="text1"/>
        </w:rPr>
        <w:t>In addition to members, the Chief People and Corporate Services Officer and Human Resources Manager (Committee Secretary) attend Committee meetings along with other invitees (including the Group Chief Executive) called by the Chair to attend from time to time.</w:t>
      </w:r>
    </w:p>
    <w:p w14:paraId="62649AA2" w14:textId="77777777" w:rsidR="0086548A" w:rsidRPr="0086548A" w:rsidRDefault="0086548A" w:rsidP="0086548A">
      <w:pPr>
        <w:rPr>
          <w:rFonts w:cs="Arial"/>
          <w:color w:val="000000" w:themeColor="text1"/>
        </w:rPr>
      </w:pPr>
    </w:p>
    <w:p w14:paraId="488D3130" w14:textId="77777777" w:rsidR="0086548A" w:rsidRPr="0086548A" w:rsidRDefault="0086548A" w:rsidP="00E65F98">
      <w:pPr>
        <w:pStyle w:val="Heading3"/>
      </w:pPr>
      <w:bookmarkStart w:id="216" w:name="_Toc213058648"/>
      <w:r w:rsidRPr="0086548A">
        <w:t>Meetings</w:t>
      </w:r>
      <w:bookmarkEnd w:id="216"/>
    </w:p>
    <w:p w14:paraId="6BA4CD56" w14:textId="77777777" w:rsidR="0086548A" w:rsidRPr="0086548A" w:rsidRDefault="0086548A" w:rsidP="0086548A">
      <w:pPr>
        <w:rPr>
          <w:rFonts w:cs="Arial"/>
          <w:color w:val="000000" w:themeColor="text1"/>
        </w:rPr>
      </w:pPr>
      <w:r w:rsidRPr="0086548A">
        <w:rPr>
          <w:rFonts w:cs="Arial"/>
          <w:color w:val="000000" w:themeColor="text1"/>
        </w:rPr>
        <w:t>The Committee met 4 times during the year under review.</w:t>
      </w:r>
    </w:p>
    <w:p w14:paraId="2C664059" w14:textId="77777777" w:rsidR="0086548A" w:rsidRPr="0086548A" w:rsidRDefault="0086548A" w:rsidP="0086548A">
      <w:pPr>
        <w:rPr>
          <w:rFonts w:cs="Arial"/>
          <w:color w:val="000000" w:themeColor="text1"/>
        </w:rPr>
      </w:pPr>
    </w:p>
    <w:p w14:paraId="69BF6395" w14:textId="77777777" w:rsidR="0086548A" w:rsidRPr="0086548A" w:rsidRDefault="0086548A" w:rsidP="00E65F98">
      <w:pPr>
        <w:pStyle w:val="Heading3"/>
      </w:pPr>
      <w:bookmarkStart w:id="217" w:name="_Toc213058649"/>
      <w:r w:rsidRPr="0086548A">
        <w:t>Governance</w:t>
      </w:r>
      <w:bookmarkEnd w:id="217"/>
    </w:p>
    <w:p w14:paraId="6E5C2F61" w14:textId="77777777" w:rsidR="0086548A" w:rsidRPr="0086548A" w:rsidRDefault="0086548A" w:rsidP="0086548A">
      <w:pPr>
        <w:rPr>
          <w:rFonts w:cs="Arial"/>
          <w:color w:val="000000" w:themeColor="text1"/>
        </w:rPr>
      </w:pPr>
      <w:r w:rsidRPr="0086548A">
        <w:rPr>
          <w:rFonts w:cs="Arial"/>
          <w:color w:val="000000" w:themeColor="text1"/>
        </w:rPr>
        <w:t>The Committee issues a set of agreed minutes to the Board Chair for information along with a short report to the Board after each meeting which provides a summary of the business discussed. Supplementary briefings are also provided to the Board as and when required.</w:t>
      </w:r>
    </w:p>
    <w:p w14:paraId="61929DCA" w14:textId="77777777" w:rsidR="0086548A" w:rsidRPr="0086548A" w:rsidRDefault="0086548A" w:rsidP="0086548A">
      <w:pPr>
        <w:rPr>
          <w:rFonts w:cs="Arial"/>
          <w:color w:val="000000" w:themeColor="text1"/>
        </w:rPr>
      </w:pPr>
      <w:r w:rsidRPr="0086548A">
        <w:rPr>
          <w:rFonts w:cs="Arial"/>
          <w:color w:val="000000" w:themeColor="text1"/>
        </w:rPr>
        <w:t>The Committee is of the view that it has discharged its oversight responsibilities in accordance with its remit, considers that it is operating effectively.</w:t>
      </w:r>
    </w:p>
    <w:p w14:paraId="50BC2A78" w14:textId="77777777" w:rsidR="0086548A" w:rsidRPr="0086548A" w:rsidRDefault="0086548A" w:rsidP="0086548A">
      <w:pPr>
        <w:rPr>
          <w:rFonts w:cs="Arial"/>
          <w:color w:val="000000" w:themeColor="text1"/>
        </w:rPr>
      </w:pPr>
      <w:r w:rsidRPr="0086548A">
        <w:rPr>
          <w:rFonts w:cs="Arial"/>
          <w:color w:val="000000" w:themeColor="text1"/>
        </w:rPr>
        <w:t xml:space="preserve"> </w:t>
      </w:r>
    </w:p>
    <w:p w14:paraId="5DB6207F" w14:textId="77777777" w:rsidR="0086548A" w:rsidRPr="0086548A" w:rsidRDefault="0086548A" w:rsidP="00E65F98">
      <w:pPr>
        <w:pStyle w:val="Heading3"/>
      </w:pPr>
      <w:bookmarkStart w:id="218" w:name="_Toc213058650"/>
      <w:r w:rsidRPr="0086548A">
        <w:t>Committee Activities During the Year</w:t>
      </w:r>
      <w:bookmarkEnd w:id="218"/>
    </w:p>
    <w:p w14:paraId="2F099F59" w14:textId="77777777" w:rsidR="0086548A" w:rsidRPr="0086548A" w:rsidRDefault="0086548A" w:rsidP="0086548A">
      <w:pPr>
        <w:rPr>
          <w:rFonts w:cs="Arial"/>
          <w:color w:val="000000" w:themeColor="text1"/>
        </w:rPr>
      </w:pPr>
      <w:r w:rsidRPr="0086548A">
        <w:rPr>
          <w:rFonts w:cs="Arial"/>
          <w:color w:val="000000" w:themeColor="text1"/>
        </w:rPr>
        <w:t>In line with its remit, the Committee considered and discharged its responsibilities on the following matters:</w:t>
      </w:r>
    </w:p>
    <w:p w14:paraId="1F32F2CC" w14:textId="77777777" w:rsidR="0086548A" w:rsidRPr="0086548A" w:rsidRDefault="0086548A" w:rsidP="0086548A">
      <w:pPr>
        <w:rPr>
          <w:rFonts w:cs="Arial"/>
          <w:color w:val="000000" w:themeColor="text1"/>
        </w:rPr>
      </w:pPr>
    </w:p>
    <w:p w14:paraId="14D0E4F8" w14:textId="5BAA8813"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t xml:space="preserve">approved remuneration for senior executives and other </w:t>
      </w:r>
      <w:proofErr w:type="spellStart"/>
      <w:proofErr w:type="gramStart"/>
      <w:r w:rsidRPr="0086548A">
        <w:rPr>
          <w:rFonts w:cs="Arial"/>
          <w:color w:val="000000" w:themeColor="text1"/>
        </w:rPr>
        <w:t>executives;reviewed</w:t>
      </w:r>
      <w:proofErr w:type="spellEnd"/>
      <w:proofErr w:type="gramEnd"/>
      <w:r w:rsidRPr="0086548A">
        <w:rPr>
          <w:rFonts w:cs="Arial"/>
          <w:color w:val="000000" w:themeColor="text1"/>
        </w:rPr>
        <w:t xml:space="preserve"> the objectives set for senior executives </w:t>
      </w:r>
      <w:proofErr w:type="gramStart"/>
      <w:r w:rsidRPr="0086548A">
        <w:rPr>
          <w:rFonts w:cs="Arial"/>
          <w:color w:val="000000" w:themeColor="text1"/>
        </w:rPr>
        <w:t>and also</w:t>
      </w:r>
      <w:proofErr w:type="gramEnd"/>
      <w:r w:rsidRPr="0086548A">
        <w:rPr>
          <w:rFonts w:cs="Arial"/>
          <w:color w:val="000000" w:themeColor="text1"/>
        </w:rPr>
        <w:t xml:space="preserve"> their </w:t>
      </w:r>
      <w:proofErr w:type="gramStart"/>
      <w:r w:rsidRPr="0086548A">
        <w:rPr>
          <w:rFonts w:cs="Arial"/>
          <w:color w:val="000000" w:themeColor="text1"/>
        </w:rPr>
        <w:t>performance;</w:t>
      </w:r>
      <w:proofErr w:type="gramEnd"/>
    </w:p>
    <w:p w14:paraId="2CECCA73" w14:textId="06F005A8"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t xml:space="preserve">considered pension related </w:t>
      </w:r>
      <w:proofErr w:type="gramStart"/>
      <w:r w:rsidRPr="0086548A">
        <w:rPr>
          <w:rFonts w:cs="Arial"/>
          <w:color w:val="000000" w:themeColor="text1"/>
        </w:rPr>
        <w:t>matters;</w:t>
      </w:r>
      <w:proofErr w:type="gramEnd"/>
    </w:p>
    <w:p w14:paraId="131F6047" w14:textId="26A43630"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lastRenderedPageBreak/>
        <w:t xml:space="preserve">considered arrangements for succession </w:t>
      </w:r>
      <w:proofErr w:type="gramStart"/>
      <w:r w:rsidRPr="0086548A">
        <w:rPr>
          <w:rFonts w:cs="Arial"/>
          <w:color w:val="000000" w:themeColor="text1"/>
        </w:rPr>
        <w:t>planning;</w:t>
      </w:r>
      <w:proofErr w:type="gramEnd"/>
    </w:p>
    <w:p w14:paraId="35BD525B" w14:textId="7CA6C4BC"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t xml:space="preserve">reviewed and approved the Directors’ Remuneration </w:t>
      </w:r>
      <w:proofErr w:type="gramStart"/>
      <w:r w:rsidRPr="0086548A">
        <w:rPr>
          <w:rFonts w:cs="Arial"/>
          <w:color w:val="000000" w:themeColor="text1"/>
        </w:rPr>
        <w:t>Report;</w:t>
      </w:r>
      <w:proofErr w:type="gramEnd"/>
    </w:p>
    <w:p w14:paraId="3B0D44FD" w14:textId="0EDDB8F4"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t>reviewed its terms of reference; and</w:t>
      </w:r>
    </w:p>
    <w:p w14:paraId="071C6A91" w14:textId="1151F748" w:rsidR="0086548A" w:rsidRPr="0086548A" w:rsidRDefault="0086548A" w:rsidP="0086548A">
      <w:pPr>
        <w:pStyle w:val="ListParagraph"/>
        <w:numPr>
          <w:ilvl w:val="0"/>
          <w:numId w:val="74"/>
        </w:numPr>
        <w:rPr>
          <w:rFonts w:cs="Arial"/>
          <w:color w:val="000000" w:themeColor="text1"/>
        </w:rPr>
      </w:pPr>
      <w:r w:rsidRPr="0086548A">
        <w:rPr>
          <w:rFonts w:cs="Arial"/>
          <w:color w:val="000000" w:themeColor="text1"/>
        </w:rPr>
        <w:t xml:space="preserve">reviewed its own effectiveness and training requirements. </w:t>
      </w:r>
    </w:p>
    <w:p w14:paraId="6830E92E" w14:textId="77777777" w:rsidR="0086548A" w:rsidRPr="0086548A" w:rsidRDefault="0086548A" w:rsidP="0086548A">
      <w:pPr>
        <w:rPr>
          <w:rFonts w:cs="Arial"/>
          <w:color w:val="000000" w:themeColor="text1"/>
        </w:rPr>
      </w:pPr>
    </w:p>
    <w:p w14:paraId="376E85DE" w14:textId="77777777" w:rsidR="0086548A" w:rsidRPr="0086548A" w:rsidRDefault="0086548A" w:rsidP="00E65F98">
      <w:pPr>
        <w:pStyle w:val="Heading3"/>
      </w:pPr>
      <w:bookmarkStart w:id="219" w:name="_Toc213058651"/>
      <w:r w:rsidRPr="0086548A">
        <w:t>Senior Executive Appointments</w:t>
      </w:r>
      <w:bookmarkEnd w:id="219"/>
    </w:p>
    <w:p w14:paraId="26126EAA" w14:textId="77777777" w:rsidR="0086548A" w:rsidRPr="0086548A" w:rsidRDefault="0086548A" w:rsidP="0086548A">
      <w:pPr>
        <w:rPr>
          <w:rFonts w:cs="Arial"/>
          <w:color w:val="000000" w:themeColor="text1"/>
        </w:rPr>
      </w:pPr>
      <w:r w:rsidRPr="0086548A">
        <w:rPr>
          <w:rFonts w:cs="Arial"/>
          <w:color w:val="000000" w:themeColor="text1"/>
        </w:rPr>
        <w:t xml:space="preserve">Senior Executive appointments are made </w:t>
      </w:r>
      <w:proofErr w:type="gramStart"/>
      <w:r w:rsidRPr="0086548A">
        <w:rPr>
          <w:rFonts w:cs="Arial"/>
          <w:color w:val="000000" w:themeColor="text1"/>
        </w:rPr>
        <w:t>on the basis of</w:t>
      </w:r>
      <w:proofErr w:type="gramEnd"/>
      <w:r w:rsidRPr="0086548A">
        <w:rPr>
          <w:rFonts w:cs="Arial"/>
          <w:color w:val="000000" w:themeColor="text1"/>
        </w:rPr>
        <w:t xml:space="preserve"> open competition and the merit principle. Furthermore, as Executive Director posts entail the receipt of a Board position, the </w:t>
      </w:r>
      <w:proofErr w:type="gramStart"/>
      <w:r w:rsidRPr="0086548A">
        <w:rPr>
          <w:rFonts w:cs="Arial"/>
          <w:color w:val="000000" w:themeColor="text1"/>
        </w:rPr>
        <w:t>particular requirements</w:t>
      </w:r>
      <w:proofErr w:type="gramEnd"/>
      <w:r w:rsidRPr="0086548A">
        <w:rPr>
          <w:rFonts w:cs="Arial"/>
          <w:color w:val="000000" w:themeColor="text1"/>
        </w:rPr>
        <w:t xml:space="preserve"> contained within the Transport Act (Northern Ireland) 1967 are also observed – this includes the requirement to obtain the approval of the Minister for Infrastructure.</w:t>
      </w:r>
    </w:p>
    <w:p w14:paraId="2C2C4182" w14:textId="77777777" w:rsidR="0086548A" w:rsidRPr="0086548A" w:rsidRDefault="0086548A" w:rsidP="0086548A">
      <w:pPr>
        <w:rPr>
          <w:rFonts w:cs="Arial"/>
          <w:color w:val="000000" w:themeColor="text1"/>
        </w:rPr>
      </w:pPr>
    </w:p>
    <w:p w14:paraId="38D9D239" w14:textId="77777777" w:rsidR="0086548A" w:rsidRPr="0086548A" w:rsidRDefault="0086548A" w:rsidP="0086548A">
      <w:pPr>
        <w:rPr>
          <w:rFonts w:cs="Arial"/>
          <w:color w:val="000000" w:themeColor="text1"/>
        </w:rPr>
      </w:pPr>
      <w:r w:rsidRPr="0086548A">
        <w:rPr>
          <w:rFonts w:cs="Arial"/>
          <w:color w:val="000000" w:themeColor="text1"/>
        </w:rPr>
        <w:t>There were no Senior Executive appointments during the reporting year.</w:t>
      </w:r>
    </w:p>
    <w:p w14:paraId="41AA33A8" w14:textId="77777777" w:rsidR="0086548A" w:rsidRDefault="0086548A" w:rsidP="0086548A">
      <w:pPr>
        <w:rPr>
          <w:rFonts w:cs="Arial"/>
          <w:color w:val="000000" w:themeColor="text1"/>
        </w:rPr>
      </w:pPr>
    </w:p>
    <w:p w14:paraId="17629ED0" w14:textId="1C31E851" w:rsidR="0086548A" w:rsidRPr="0086548A" w:rsidRDefault="0086548A" w:rsidP="00E65F98">
      <w:pPr>
        <w:pStyle w:val="Heading3"/>
      </w:pPr>
      <w:bookmarkStart w:id="220" w:name="_Toc213058652"/>
      <w:r w:rsidRPr="0086548A">
        <w:t>Executive Directors</w:t>
      </w:r>
      <w:bookmarkEnd w:id="220"/>
    </w:p>
    <w:p w14:paraId="3D735DB1" w14:textId="77777777" w:rsidR="0086548A" w:rsidRPr="0086548A" w:rsidRDefault="0086548A" w:rsidP="0086548A">
      <w:pPr>
        <w:rPr>
          <w:rFonts w:cs="Arial"/>
          <w:color w:val="000000" w:themeColor="text1"/>
        </w:rPr>
      </w:pPr>
      <w:r w:rsidRPr="0086548A">
        <w:rPr>
          <w:rFonts w:cs="Arial"/>
          <w:color w:val="000000" w:themeColor="text1"/>
        </w:rPr>
        <w:t>The Executive Directors of the Company who served during the year were:</w:t>
      </w:r>
    </w:p>
    <w:p w14:paraId="0DDE17C3" w14:textId="77777777" w:rsidR="0086548A" w:rsidRPr="0086548A" w:rsidRDefault="0086548A" w:rsidP="0086548A">
      <w:pPr>
        <w:rPr>
          <w:rFonts w:cs="Arial"/>
          <w:color w:val="000000" w:themeColor="text1"/>
        </w:rPr>
      </w:pPr>
    </w:p>
    <w:p w14:paraId="1C4239C2" w14:textId="77777777" w:rsidR="0086548A" w:rsidRPr="0086548A" w:rsidRDefault="0086548A" w:rsidP="0086548A">
      <w:pPr>
        <w:rPr>
          <w:rFonts w:cs="Arial"/>
          <w:color w:val="000000" w:themeColor="text1"/>
        </w:rPr>
      </w:pPr>
      <w:r w:rsidRPr="0086548A">
        <w:rPr>
          <w:rFonts w:cs="Arial"/>
          <w:color w:val="000000" w:themeColor="text1"/>
        </w:rPr>
        <w:t>Chris Conway (Chief Executive)</w:t>
      </w:r>
    </w:p>
    <w:p w14:paraId="33AE7782" w14:textId="77777777" w:rsidR="0086548A" w:rsidRPr="0086548A" w:rsidRDefault="0086548A" w:rsidP="0086548A">
      <w:pPr>
        <w:rPr>
          <w:rFonts w:cs="Arial"/>
          <w:color w:val="000000" w:themeColor="text1"/>
        </w:rPr>
      </w:pPr>
    </w:p>
    <w:p w14:paraId="472B7A43" w14:textId="77777777" w:rsidR="0086548A" w:rsidRPr="0086548A" w:rsidRDefault="0086548A" w:rsidP="0086548A">
      <w:pPr>
        <w:rPr>
          <w:rFonts w:cs="Arial"/>
          <w:color w:val="000000" w:themeColor="text1"/>
        </w:rPr>
      </w:pPr>
      <w:r w:rsidRPr="0086548A">
        <w:rPr>
          <w:rFonts w:cs="Arial"/>
          <w:color w:val="000000" w:themeColor="text1"/>
        </w:rPr>
        <w:t>The formal replacement of the two Executive Directors who left during the previous year was completed after the year end. The Minister for Infrastructure approved the appointments of John Glass (Director of Infrastructure and Projects) and Ian Campbell (Director of Service Operations) who were appointed as Executive Directors with effect</w:t>
      </w:r>
      <w:r w:rsidRPr="0086548A">
        <w:rPr>
          <w:rFonts w:cs="Arial"/>
          <w:color w:val="000000" w:themeColor="text1"/>
        </w:rPr>
        <w:br/>
        <w:t>from 4th June 2025.</w:t>
      </w:r>
    </w:p>
    <w:p w14:paraId="69FE337B" w14:textId="77777777" w:rsidR="0086548A" w:rsidRPr="0086548A" w:rsidRDefault="0086548A" w:rsidP="0086548A">
      <w:pPr>
        <w:rPr>
          <w:rFonts w:cs="Arial"/>
          <w:color w:val="000000" w:themeColor="text1"/>
        </w:rPr>
      </w:pPr>
      <w:r w:rsidRPr="0086548A">
        <w:rPr>
          <w:rFonts w:cs="Arial"/>
          <w:color w:val="000000" w:themeColor="text1"/>
        </w:rPr>
        <w:t xml:space="preserve"> </w:t>
      </w:r>
    </w:p>
    <w:p w14:paraId="5809D90A" w14:textId="77777777" w:rsidR="0086548A" w:rsidRPr="0086548A" w:rsidRDefault="0086548A" w:rsidP="00E65F98">
      <w:pPr>
        <w:pStyle w:val="Heading3"/>
      </w:pPr>
      <w:bookmarkStart w:id="221" w:name="_Toc213058653"/>
      <w:r w:rsidRPr="0086548A">
        <w:t>Remuneration Policy</w:t>
      </w:r>
      <w:bookmarkEnd w:id="221"/>
    </w:p>
    <w:p w14:paraId="0CD828EE" w14:textId="520BB510" w:rsidR="0086548A" w:rsidRPr="0086548A" w:rsidRDefault="0086548A" w:rsidP="0086548A">
      <w:pPr>
        <w:rPr>
          <w:rFonts w:cs="Arial"/>
          <w:color w:val="000000" w:themeColor="text1"/>
        </w:rPr>
      </w:pPr>
      <w:r w:rsidRPr="0086548A">
        <w:rPr>
          <w:rFonts w:cs="Arial"/>
          <w:color w:val="000000" w:themeColor="text1"/>
        </w:rPr>
        <w:t xml:space="preserve">The key policy objectives are to ensure that individuals are fairly rewarded for their contribution to the Group’s overall performance, to provide remuneration which is designed to attract, retain and motivate Executives of the right calibre and to ensure that due regard is given to guidance from </w:t>
      </w:r>
      <w:r w:rsidRPr="0086548A">
        <w:rPr>
          <w:rFonts w:cs="Arial"/>
          <w:color w:val="000000" w:themeColor="text1"/>
        </w:rPr>
        <w:br/>
        <w:t>the Department.</w:t>
      </w:r>
    </w:p>
    <w:p w14:paraId="5BA6F333" w14:textId="77777777" w:rsidR="0086548A" w:rsidRPr="0086548A" w:rsidRDefault="0086548A" w:rsidP="0086548A">
      <w:pPr>
        <w:rPr>
          <w:rFonts w:cs="Arial"/>
          <w:color w:val="000000" w:themeColor="text1"/>
        </w:rPr>
      </w:pPr>
    </w:p>
    <w:p w14:paraId="2B117EF4" w14:textId="77777777" w:rsidR="00E65F98" w:rsidRDefault="00E65F98">
      <w:pPr>
        <w:spacing w:line="240" w:lineRule="auto"/>
        <w:rPr>
          <w:rFonts w:eastAsiaTheme="majorEastAsia" w:cstheme="majorBidi"/>
          <w:b/>
          <w:color w:val="000000" w:themeColor="text1"/>
        </w:rPr>
      </w:pPr>
      <w:r>
        <w:br w:type="page"/>
      </w:r>
    </w:p>
    <w:p w14:paraId="2ECCC2F8" w14:textId="2CBEB423" w:rsidR="0086548A" w:rsidRPr="0086548A" w:rsidRDefault="0086548A" w:rsidP="00E65F98">
      <w:pPr>
        <w:pStyle w:val="Heading3"/>
      </w:pPr>
      <w:bookmarkStart w:id="222" w:name="_Toc213058654"/>
      <w:r w:rsidRPr="0086548A">
        <w:lastRenderedPageBreak/>
        <w:t>Executive Director Emoluments</w:t>
      </w:r>
      <w:bookmarkEnd w:id="222"/>
    </w:p>
    <w:p w14:paraId="00607CF7" w14:textId="77777777" w:rsidR="0086548A" w:rsidRDefault="0086548A" w:rsidP="0086548A">
      <w:pPr>
        <w:rPr>
          <w:rFonts w:cs="Arial"/>
          <w:color w:val="000000" w:themeColor="text1"/>
        </w:rPr>
      </w:pPr>
      <w:r w:rsidRPr="0086548A">
        <w:rPr>
          <w:rFonts w:cs="Arial"/>
          <w:color w:val="000000" w:themeColor="text1"/>
        </w:rPr>
        <w:t>The emoluments of the Executive Directors during each of the current and previous financial years were as follows:</w:t>
      </w:r>
    </w:p>
    <w:p w14:paraId="60C0EEF5" w14:textId="77777777" w:rsidR="0086548A" w:rsidRDefault="0086548A" w:rsidP="0086548A">
      <w:pPr>
        <w:rPr>
          <w:rFonts w:cs="Arial"/>
          <w:color w:val="000000" w:themeColor="text1"/>
        </w:rPr>
      </w:pPr>
    </w:p>
    <w:tbl>
      <w:tblPr>
        <w:tblStyle w:val="TableGrid"/>
        <w:tblW w:w="0" w:type="auto"/>
        <w:tblLayout w:type="fixed"/>
        <w:tblLook w:val="0000" w:firstRow="0" w:lastRow="0" w:firstColumn="0" w:lastColumn="0" w:noHBand="0" w:noVBand="0"/>
      </w:tblPr>
      <w:tblGrid>
        <w:gridCol w:w="2287"/>
        <w:gridCol w:w="1677"/>
        <w:gridCol w:w="1560"/>
      </w:tblGrid>
      <w:tr w:rsidR="00DB7E5A" w:rsidRPr="0086548A" w14:paraId="0D710948" w14:textId="77777777" w:rsidTr="000525D5">
        <w:trPr>
          <w:trHeight w:val="680"/>
        </w:trPr>
        <w:tc>
          <w:tcPr>
            <w:tcW w:w="2287" w:type="dxa"/>
            <w:vAlign w:val="center"/>
          </w:tcPr>
          <w:p w14:paraId="48AF3214" w14:textId="77777777" w:rsidR="0086548A" w:rsidRPr="0086548A" w:rsidRDefault="0086548A" w:rsidP="000525D5">
            <w:pPr>
              <w:autoSpaceDE w:val="0"/>
              <w:autoSpaceDN w:val="0"/>
              <w:adjustRightInd w:val="0"/>
              <w:spacing w:line="240" w:lineRule="auto"/>
              <w:rPr>
                <w:rFonts w:cs="Arial"/>
                <w:color w:val="000000" w:themeColor="text1"/>
              </w:rPr>
            </w:pPr>
          </w:p>
        </w:tc>
        <w:tc>
          <w:tcPr>
            <w:tcW w:w="1677" w:type="dxa"/>
            <w:vAlign w:val="center"/>
          </w:tcPr>
          <w:p w14:paraId="04210116" w14:textId="77777777" w:rsidR="0086548A" w:rsidRPr="0086548A" w:rsidRDefault="0086548A" w:rsidP="000525D5">
            <w:pPr>
              <w:tabs>
                <w:tab w:val="left" w:pos="198"/>
              </w:tabs>
              <w:suppressAutoHyphens/>
              <w:autoSpaceDE w:val="0"/>
              <w:autoSpaceDN w:val="0"/>
              <w:adjustRightInd w:val="0"/>
              <w:spacing w:line="240" w:lineRule="auto"/>
              <w:textAlignment w:val="center"/>
              <w:rPr>
                <w:rFonts w:cs="Arial"/>
                <w:b/>
                <w:bCs/>
                <w:color w:val="000000" w:themeColor="text1"/>
              </w:rPr>
            </w:pPr>
            <w:r w:rsidRPr="0086548A">
              <w:rPr>
                <w:rFonts w:cs="Arial"/>
                <w:b/>
                <w:bCs/>
                <w:color w:val="000000" w:themeColor="text1"/>
              </w:rPr>
              <w:t>Total 2025</w:t>
            </w:r>
          </w:p>
          <w:p w14:paraId="013357FA" w14:textId="77777777" w:rsidR="0086548A" w:rsidRPr="0086548A" w:rsidRDefault="0086548A" w:rsidP="000525D5">
            <w:pPr>
              <w:tabs>
                <w:tab w:val="left" w:pos="198"/>
              </w:tabs>
              <w:suppressAutoHyphens/>
              <w:autoSpaceDE w:val="0"/>
              <w:autoSpaceDN w:val="0"/>
              <w:adjustRightInd w:val="0"/>
              <w:spacing w:line="240" w:lineRule="auto"/>
              <w:textAlignment w:val="center"/>
              <w:rPr>
                <w:rFonts w:cs="Arial"/>
                <w:color w:val="000000" w:themeColor="text1"/>
              </w:rPr>
            </w:pPr>
            <w:r w:rsidRPr="0086548A">
              <w:rPr>
                <w:rFonts w:cs="Arial"/>
                <w:b/>
                <w:bCs/>
                <w:color w:val="000000" w:themeColor="text1"/>
              </w:rPr>
              <w:t>£’000</w:t>
            </w:r>
          </w:p>
        </w:tc>
        <w:tc>
          <w:tcPr>
            <w:tcW w:w="1560" w:type="dxa"/>
            <w:vAlign w:val="center"/>
          </w:tcPr>
          <w:p w14:paraId="29C2C107" w14:textId="77777777" w:rsidR="0086548A" w:rsidRPr="0086548A" w:rsidRDefault="0086548A" w:rsidP="000525D5">
            <w:pPr>
              <w:tabs>
                <w:tab w:val="left" w:pos="198"/>
              </w:tabs>
              <w:suppressAutoHyphens/>
              <w:autoSpaceDE w:val="0"/>
              <w:autoSpaceDN w:val="0"/>
              <w:adjustRightInd w:val="0"/>
              <w:spacing w:line="240" w:lineRule="auto"/>
              <w:textAlignment w:val="center"/>
              <w:rPr>
                <w:rFonts w:cs="Arial"/>
                <w:b/>
                <w:bCs/>
                <w:color w:val="000000" w:themeColor="text1"/>
              </w:rPr>
            </w:pPr>
            <w:r w:rsidRPr="0086548A">
              <w:rPr>
                <w:rFonts w:cs="Arial"/>
                <w:b/>
                <w:bCs/>
                <w:color w:val="000000" w:themeColor="text1"/>
              </w:rPr>
              <w:t>Total 2024</w:t>
            </w:r>
          </w:p>
          <w:p w14:paraId="2F73EDA8" w14:textId="77777777" w:rsidR="0086548A" w:rsidRPr="0086548A" w:rsidRDefault="0086548A" w:rsidP="000525D5">
            <w:pPr>
              <w:tabs>
                <w:tab w:val="left" w:pos="198"/>
              </w:tabs>
              <w:suppressAutoHyphens/>
              <w:autoSpaceDE w:val="0"/>
              <w:autoSpaceDN w:val="0"/>
              <w:adjustRightInd w:val="0"/>
              <w:spacing w:line="240" w:lineRule="auto"/>
              <w:textAlignment w:val="center"/>
              <w:rPr>
                <w:rFonts w:cs="Arial"/>
                <w:color w:val="000000" w:themeColor="text1"/>
              </w:rPr>
            </w:pPr>
            <w:r w:rsidRPr="0086548A">
              <w:rPr>
                <w:rFonts w:cs="Arial"/>
                <w:b/>
                <w:bCs/>
                <w:color w:val="000000" w:themeColor="text1"/>
              </w:rPr>
              <w:t>£’000</w:t>
            </w:r>
          </w:p>
        </w:tc>
      </w:tr>
      <w:tr w:rsidR="00DB7E5A" w:rsidRPr="0086548A" w14:paraId="2275D6F1" w14:textId="77777777" w:rsidTr="00DB7E5A">
        <w:trPr>
          <w:trHeight w:val="340"/>
        </w:trPr>
        <w:tc>
          <w:tcPr>
            <w:tcW w:w="2287" w:type="dxa"/>
          </w:tcPr>
          <w:p w14:paraId="447DD6AD" w14:textId="77777777" w:rsidR="0086548A" w:rsidRPr="0086548A" w:rsidRDefault="0086548A" w:rsidP="00DB7E5A">
            <w:pPr>
              <w:tabs>
                <w:tab w:val="left" w:pos="198"/>
              </w:tabs>
              <w:suppressAutoHyphens/>
              <w:autoSpaceDE w:val="0"/>
              <w:autoSpaceDN w:val="0"/>
              <w:adjustRightInd w:val="0"/>
              <w:spacing w:line="240" w:lineRule="auto"/>
              <w:textAlignment w:val="center"/>
              <w:rPr>
                <w:rFonts w:cs="Arial"/>
                <w:color w:val="000000" w:themeColor="text1"/>
              </w:rPr>
            </w:pPr>
            <w:r w:rsidRPr="0086548A">
              <w:rPr>
                <w:rFonts w:cs="Arial"/>
                <w:color w:val="000000" w:themeColor="text1"/>
              </w:rPr>
              <w:t>Chris Conway</w:t>
            </w:r>
          </w:p>
        </w:tc>
        <w:tc>
          <w:tcPr>
            <w:tcW w:w="1677" w:type="dxa"/>
          </w:tcPr>
          <w:p w14:paraId="2AA17FEE" w14:textId="77777777" w:rsidR="0086548A" w:rsidRPr="0086548A" w:rsidRDefault="0086548A" w:rsidP="00DB7E5A">
            <w:pPr>
              <w:tabs>
                <w:tab w:val="left" w:pos="198"/>
              </w:tabs>
              <w:suppressAutoHyphens/>
              <w:autoSpaceDE w:val="0"/>
              <w:autoSpaceDN w:val="0"/>
              <w:adjustRightInd w:val="0"/>
              <w:spacing w:line="240" w:lineRule="auto"/>
              <w:textAlignment w:val="center"/>
              <w:rPr>
                <w:rFonts w:cs="Arial"/>
                <w:color w:val="000000" w:themeColor="text1"/>
              </w:rPr>
            </w:pPr>
            <w:r w:rsidRPr="0086548A">
              <w:rPr>
                <w:rFonts w:cs="Arial"/>
                <w:color w:val="000000" w:themeColor="text1"/>
              </w:rPr>
              <w:t>191</w:t>
            </w:r>
          </w:p>
        </w:tc>
        <w:tc>
          <w:tcPr>
            <w:tcW w:w="1560" w:type="dxa"/>
          </w:tcPr>
          <w:p w14:paraId="10B59DDD" w14:textId="77777777" w:rsidR="0086548A" w:rsidRPr="0086548A" w:rsidRDefault="0086548A" w:rsidP="00DB7E5A">
            <w:pPr>
              <w:tabs>
                <w:tab w:val="left" w:pos="198"/>
              </w:tabs>
              <w:suppressAutoHyphens/>
              <w:autoSpaceDE w:val="0"/>
              <w:autoSpaceDN w:val="0"/>
              <w:adjustRightInd w:val="0"/>
              <w:spacing w:line="240" w:lineRule="auto"/>
              <w:textAlignment w:val="center"/>
              <w:rPr>
                <w:rFonts w:cs="Arial"/>
                <w:color w:val="000000" w:themeColor="text1"/>
              </w:rPr>
            </w:pPr>
            <w:r w:rsidRPr="0086548A">
              <w:rPr>
                <w:rFonts w:cs="Arial"/>
                <w:color w:val="000000" w:themeColor="text1"/>
              </w:rPr>
              <w:t>181</w:t>
            </w:r>
          </w:p>
        </w:tc>
      </w:tr>
    </w:tbl>
    <w:p w14:paraId="530F8380" w14:textId="77777777" w:rsidR="0086548A" w:rsidRPr="00DB7E5A" w:rsidRDefault="0086548A" w:rsidP="00DB7E5A">
      <w:pPr>
        <w:rPr>
          <w:rFonts w:cs="Arial"/>
        </w:rPr>
      </w:pPr>
    </w:p>
    <w:p w14:paraId="3BBCD4DB" w14:textId="2B5CDD6C" w:rsidR="00DB7E5A" w:rsidRDefault="00DB7E5A" w:rsidP="00DB7E5A">
      <w:pPr>
        <w:rPr>
          <w:rFonts w:cs="Arial"/>
          <w:color w:val="000000"/>
        </w:rPr>
      </w:pPr>
      <w:r w:rsidRPr="00DB7E5A">
        <w:rPr>
          <w:rFonts w:cs="Arial"/>
          <w:color w:val="000000"/>
        </w:rPr>
        <w:t>Executive Directors do not receive bonuses.</w:t>
      </w:r>
    </w:p>
    <w:p w14:paraId="40AB3710" w14:textId="77777777" w:rsidR="00E65F98" w:rsidRDefault="00E65F98" w:rsidP="00E65F98">
      <w:pPr>
        <w:pStyle w:val="Heading3"/>
        <w:spacing w:line="276" w:lineRule="auto"/>
      </w:pPr>
    </w:p>
    <w:p w14:paraId="76802519" w14:textId="17AF71BE" w:rsidR="00DB7E5A" w:rsidRPr="00E65F98" w:rsidRDefault="00DB7E5A" w:rsidP="00E65F98">
      <w:pPr>
        <w:pStyle w:val="Heading3"/>
        <w:rPr>
          <w:color w:val="000000"/>
        </w:rPr>
      </w:pPr>
      <w:bookmarkStart w:id="223" w:name="_Toc213058655"/>
      <w:r w:rsidRPr="00DB7E5A">
        <w:t>Pensions</w:t>
      </w:r>
      <w:bookmarkEnd w:id="223"/>
    </w:p>
    <w:p w14:paraId="2D1C22E0" w14:textId="77777777" w:rsidR="00DB7E5A" w:rsidRPr="00DB7E5A" w:rsidRDefault="00DB7E5A" w:rsidP="00E65F98">
      <w:r w:rsidRPr="00DB7E5A">
        <w:t>Accrued benefits of the Executive Directors in respect of their defined benefit pension scheme entitlements in relation to their employment services to the Group were as follows:</w:t>
      </w:r>
    </w:p>
    <w:p w14:paraId="2B72A958" w14:textId="77777777" w:rsidR="00DB7E5A" w:rsidRPr="00DB7E5A" w:rsidRDefault="00DB7E5A" w:rsidP="00E65F98"/>
    <w:tbl>
      <w:tblPr>
        <w:tblStyle w:val="TableGrid"/>
        <w:tblW w:w="0" w:type="auto"/>
        <w:tblLayout w:type="fixed"/>
        <w:tblLook w:val="0000" w:firstRow="0" w:lastRow="0" w:firstColumn="0" w:lastColumn="0" w:noHBand="0" w:noVBand="0"/>
      </w:tblPr>
      <w:tblGrid>
        <w:gridCol w:w="1550"/>
        <w:gridCol w:w="1139"/>
        <w:gridCol w:w="992"/>
        <w:gridCol w:w="1134"/>
        <w:gridCol w:w="992"/>
      </w:tblGrid>
      <w:tr w:rsidR="00DB7E5A" w:rsidRPr="00DB7E5A" w14:paraId="0F077C56" w14:textId="77777777" w:rsidTr="00DB7E5A">
        <w:trPr>
          <w:trHeight w:val="283"/>
        </w:trPr>
        <w:tc>
          <w:tcPr>
            <w:tcW w:w="1550" w:type="dxa"/>
          </w:tcPr>
          <w:p w14:paraId="68D750C2" w14:textId="77777777" w:rsidR="00DB7E5A" w:rsidRPr="00DB7E5A" w:rsidRDefault="00DB7E5A" w:rsidP="00DB7E5A">
            <w:pPr>
              <w:autoSpaceDE w:val="0"/>
              <w:autoSpaceDN w:val="0"/>
              <w:adjustRightInd w:val="0"/>
              <w:spacing w:line="240" w:lineRule="auto"/>
              <w:rPr>
                <w:rFonts w:cs="Arial"/>
                <w:color w:val="000000" w:themeColor="text1"/>
              </w:rPr>
            </w:pPr>
          </w:p>
        </w:tc>
        <w:tc>
          <w:tcPr>
            <w:tcW w:w="2131" w:type="dxa"/>
            <w:gridSpan w:val="2"/>
          </w:tcPr>
          <w:p w14:paraId="274220BC"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Annual pension</w:t>
            </w:r>
          </w:p>
        </w:tc>
        <w:tc>
          <w:tcPr>
            <w:tcW w:w="2126" w:type="dxa"/>
            <w:gridSpan w:val="2"/>
          </w:tcPr>
          <w:p w14:paraId="2EEE823F"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Retiring lump sum</w:t>
            </w:r>
          </w:p>
        </w:tc>
      </w:tr>
      <w:tr w:rsidR="00DB7E5A" w:rsidRPr="00DB7E5A" w14:paraId="47AE5870" w14:textId="77777777" w:rsidTr="00DB7E5A">
        <w:trPr>
          <w:trHeight w:val="283"/>
        </w:trPr>
        <w:tc>
          <w:tcPr>
            <w:tcW w:w="1550" w:type="dxa"/>
          </w:tcPr>
          <w:p w14:paraId="2D39B3BA" w14:textId="77777777" w:rsidR="00DB7E5A" w:rsidRPr="00DB7E5A" w:rsidRDefault="00DB7E5A" w:rsidP="00DB7E5A">
            <w:pPr>
              <w:autoSpaceDE w:val="0"/>
              <w:autoSpaceDN w:val="0"/>
              <w:adjustRightInd w:val="0"/>
              <w:spacing w:line="240" w:lineRule="auto"/>
              <w:rPr>
                <w:rFonts w:cs="Arial"/>
                <w:color w:val="000000" w:themeColor="text1"/>
              </w:rPr>
            </w:pPr>
          </w:p>
        </w:tc>
        <w:tc>
          <w:tcPr>
            <w:tcW w:w="1139" w:type="dxa"/>
          </w:tcPr>
          <w:p w14:paraId="19B0C129"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DB7E5A">
              <w:rPr>
                <w:rFonts w:cs="Arial"/>
                <w:b/>
                <w:bCs/>
                <w:color w:val="000000" w:themeColor="text1"/>
                <w14:textOutline w14:w="9525" w14:cap="flat" w14:cmpd="sng" w14:algn="ctr">
                  <w14:noFill/>
                  <w14:prstDash w14:val="solid"/>
                  <w14:round/>
                </w14:textOutline>
              </w:rPr>
              <w:t>2025</w:t>
            </w:r>
          </w:p>
          <w:p w14:paraId="2CEF0C86"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£’000</w:t>
            </w:r>
          </w:p>
        </w:tc>
        <w:tc>
          <w:tcPr>
            <w:tcW w:w="992" w:type="dxa"/>
          </w:tcPr>
          <w:p w14:paraId="69C04738"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DB7E5A">
              <w:rPr>
                <w:rFonts w:cs="Arial"/>
                <w:b/>
                <w:bCs/>
                <w:color w:val="000000" w:themeColor="text1"/>
                <w14:textOutline w14:w="9525" w14:cap="flat" w14:cmpd="sng" w14:algn="ctr">
                  <w14:noFill/>
                  <w14:prstDash w14:val="solid"/>
                  <w14:round/>
                </w14:textOutline>
              </w:rPr>
              <w:t>2024</w:t>
            </w:r>
          </w:p>
          <w:p w14:paraId="107927AF"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£’000</w:t>
            </w:r>
          </w:p>
        </w:tc>
        <w:tc>
          <w:tcPr>
            <w:tcW w:w="1134" w:type="dxa"/>
          </w:tcPr>
          <w:p w14:paraId="12F40D1D"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DB7E5A">
              <w:rPr>
                <w:rFonts w:cs="Arial"/>
                <w:b/>
                <w:bCs/>
                <w:color w:val="000000" w:themeColor="text1"/>
                <w14:textOutline w14:w="9525" w14:cap="flat" w14:cmpd="sng" w14:algn="ctr">
                  <w14:noFill/>
                  <w14:prstDash w14:val="solid"/>
                  <w14:round/>
                </w14:textOutline>
              </w:rPr>
              <w:t>2025</w:t>
            </w:r>
          </w:p>
          <w:p w14:paraId="37A7CF47"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£’000</w:t>
            </w:r>
          </w:p>
        </w:tc>
        <w:tc>
          <w:tcPr>
            <w:tcW w:w="992" w:type="dxa"/>
          </w:tcPr>
          <w:p w14:paraId="3BC7A40B"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DB7E5A">
              <w:rPr>
                <w:rFonts w:cs="Arial"/>
                <w:b/>
                <w:bCs/>
                <w:color w:val="000000" w:themeColor="text1"/>
                <w14:textOutline w14:w="9525" w14:cap="flat" w14:cmpd="sng" w14:algn="ctr">
                  <w14:noFill/>
                  <w14:prstDash w14:val="solid"/>
                  <w14:round/>
                </w14:textOutline>
              </w:rPr>
              <w:t>2024</w:t>
            </w:r>
          </w:p>
          <w:p w14:paraId="74ED1E3F" w14:textId="77777777" w:rsidR="00DB7E5A" w:rsidRPr="00DB7E5A" w:rsidRDefault="00DB7E5A" w:rsidP="00DB7E5A">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b/>
                <w:bCs/>
                <w:color w:val="000000" w:themeColor="text1"/>
                <w14:textOutline w14:w="9525" w14:cap="flat" w14:cmpd="sng" w14:algn="ctr">
                  <w14:noFill/>
                  <w14:prstDash w14:val="solid"/>
                  <w14:round/>
                </w14:textOutline>
              </w:rPr>
              <w:t>£’000</w:t>
            </w:r>
          </w:p>
        </w:tc>
      </w:tr>
      <w:tr w:rsidR="00DB7E5A" w:rsidRPr="00DB7E5A" w14:paraId="58DA979A" w14:textId="77777777" w:rsidTr="00A92B87">
        <w:trPr>
          <w:trHeight w:val="283"/>
        </w:trPr>
        <w:tc>
          <w:tcPr>
            <w:tcW w:w="1550" w:type="dxa"/>
          </w:tcPr>
          <w:p w14:paraId="06839CC7" w14:textId="77777777" w:rsidR="00DB7E5A" w:rsidRPr="00DB7E5A" w:rsidRDefault="00DB7E5A" w:rsidP="00DB7E5A">
            <w:pPr>
              <w:tabs>
                <w:tab w:val="left" w:pos="198"/>
              </w:tabs>
              <w:suppressAutoHyphens/>
              <w:autoSpaceDE w:val="0"/>
              <w:autoSpaceDN w:val="0"/>
              <w:adjustRightInd w:val="0"/>
              <w:spacing w:line="240" w:lineRule="auto"/>
              <w:textAlignment w:val="center"/>
              <w:rPr>
                <w:rFonts w:cs="Arial"/>
                <w:color w:val="000000" w:themeColor="text1"/>
              </w:rPr>
            </w:pPr>
            <w:r w:rsidRPr="00DB7E5A">
              <w:rPr>
                <w:rFonts w:cs="Arial"/>
                <w:color w:val="000000" w:themeColor="text1"/>
              </w:rPr>
              <w:t>Chris Conway</w:t>
            </w:r>
          </w:p>
        </w:tc>
        <w:tc>
          <w:tcPr>
            <w:tcW w:w="1139" w:type="dxa"/>
            <w:vAlign w:val="center"/>
          </w:tcPr>
          <w:p w14:paraId="02223AD7"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29</w:t>
            </w:r>
          </w:p>
        </w:tc>
        <w:tc>
          <w:tcPr>
            <w:tcW w:w="992" w:type="dxa"/>
            <w:vAlign w:val="center"/>
          </w:tcPr>
          <w:p w14:paraId="7637F496"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24</w:t>
            </w:r>
          </w:p>
        </w:tc>
        <w:tc>
          <w:tcPr>
            <w:tcW w:w="1134" w:type="dxa"/>
            <w:vAlign w:val="center"/>
          </w:tcPr>
          <w:p w14:paraId="5BAF1E52"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w:t>
            </w:r>
          </w:p>
        </w:tc>
        <w:tc>
          <w:tcPr>
            <w:tcW w:w="992" w:type="dxa"/>
            <w:vAlign w:val="center"/>
          </w:tcPr>
          <w:p w14:paraId="682B1BE9"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w:t>
            </w:r>
          </w:p>
        </w:tc>
      </w:tr>
    </w:tbl>
    <w:p w14:paraId="1EF9A539" w14:textId="77777777" w:rsidR="00DB7E5A" w:rsidRPr="00DB7E5A" w:rsidRDefault="00DB7E5A" w:rsidP="00E65F98">
      <w:pPr>
        <w:tabs>
          <w:tab w:val="left" w:pos="198"/>
        </w:tabs>
        <w:suppressAutoHyphens/>
        <w:autoSpaceDE w:val="0"/>
        <w:autoSpaceDN w:val="0"/>
        <w:adjustRightInd w:val="0"/>
        <w:spacing w:line="276" w:lineRule="auto"/>
        <w:textAlignment w:val="center"/>
        <w:rPr>
          <w:rFonts w:cs="Arial"/>
          <w:color w:val="000000" w:themeColor="text1"/>
        </w:rPr>
      </w:pPr>
    </w:p>
    <w:p w14:paraId="562BE03A" w14:textId="7F79C30C" w:rsidR="00DB7E5A" w:rsidRPr="00DB7E5A" w:rsidRDefault="00DB7E5A" w:rsidP="00E65F98">
      <w:r w:rsidRPr="00DB7E5A">
        <w:t>Excluding the effect of inflation, the accrued benefits of the Directors increased by:</w:t>
      </w:r>
    </w:p>
    <w:tbl>
      <w:tblPr>
        <w:tblStyle w:val="TableGrid"/>
        <w:tblW w:w="0" w:type="auto"/>
        <w:tblLayout w:type="fixed"/>
        <w:tblLook w:val="0000" w:firstRow="0" w:lastRow="0" w:firstColumn="0" w:lastColumn="0" w:noHBand="0" w:noVBand="0"/>
      </w:tblPr>
      <w:tblGrid>
        <w:gridCol w:w="1550"/>
        <w:gridCol w:w="1422"/>
        <w:gridCol w:w="1559"/>
        <w:gridCol w:w="1418"/>
        <w:gridCol w:w="1559"/>
      </w:tblGrid>
      <w:tr w:rsidR="004B049E" w:rsidRPr="004B049E" w14:paraId="469EE3E4" w14:textId="77777777" w:rsidTr="00A92B87">
        <w:trPr>
          <w:trHeight w:val="227"/>
        </w:trPr>
        <w:tc>
          <w:tcPr>
            <w:tcW w:w="1550" w:type="dxa"/>
          </w:tcPr>
          <w:p w14:paraId="6C45EEA7" w14:textId="77777777" w:rsidR="00DB7E5A" w:rsidRPr="00DB7E5A" w:rsidRDefault="00DB7E5A" w:rsidP="00A92B87">
            <w:pPr>
              <w:autoSpaceDE w:val="0"/>
              <w:autoSpaceDN w:val="0"/>
              <w:adjustRightInd w:val="0"/>
              <w:spacing w:line="240" w:lineRule="auto"/>
              <w:rPr>
                <w:rFonts w:cs="Arial"/>
                <w:color w:val="000000" w:themeColor="text1"/>
              </w:rPr>
            </w:pPr>
          </w:p>
        </w:tc>
        <w:tc>
          <w:tcPr>
            <w:tcW w:w="1422" w:type="dxa"/>
          </w:tcPr>
          <w:p w14:paraId="51E177D9"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2025</w:t>
            </w:r>
          </w:p>
          <w:p w14:paraId="51BFB159"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Annual pension</w:t>
            </w:r>
          </w:p>
          <w:p w14:paraId="4203844A"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4B049E">
              <w:rPr>
                <w:rFonts w:cs="Arial"/>
                <w:b/>
                <w:bCs/>
                <w:color w:val="000000" w:themeColor="text1"/>
                <w14:textOutline w14:w="9525" w14:cap="flat" w14:cmpd="sng" w14:algn="ctr">
                  <w14:noFill/>
                  <w14:prstDash w14:val="solid"/>
                  <w14:round/>
                </w14:textOutline>
              </w:rPr>
              <w:t>£’000</w:t>
            </w:r>
          </w:p>
        </w:tc>
        <w:tc>
          <w:tcPr>
            <w:tcW w:w="1559" w:type="dxa"/>
          </w:tcPr>
          <w:p w14:paraId="1BF6E65F"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2025 Retiring lump sum</w:t>
            </w:r>
          </w:p>
          <w:p w14:paraId="69F09C08"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4B049E">
              <w:rPr>
                <w:rFonts w:cs="Arial"/>
                <w:b/>
                <w:bCs/>
                <w:color w:val="000000" w:themeColor="text1"/>
                <w14:textOutline w14:w="9525" w14:cap="flat" w14:cmpd="sng" w14:algn="ctr">
                  <w14:noFill/>
                  <w14:prstDash w14:val="solid"/>
                  <w14:round/>
                </w14:textOutline>
              </w:rPr>
              <w:t>£’000</w:t>
            </w:r>
          </w:p>
        </w:tc>
        <w:tc>
          <w:tcPr>
            <w:tcW w:w="1418" w:type="dxa"/>
          </w:tcPr>
          <w:p w14:paraId="4E9ED0B9"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2024 Annual pension</w:t>
            </w:r>
          </w:p>
          <w:p w14:paraId="3DBA1FAD"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4B049E">
              <w:rPr>
                <w:rFonts w:cs="Arial"/>
                <w:b/>
                <w:bCs/>
                <w:color w:val="000000" w:themeColor="text1"/>
                <w14:textOutline w14:w="9525" w14:cap="flat" w14:cmpd="sng" w14:algn="ctr">
                  <w14:noFill/>
                  <w14:prstDash w14:val="solid"/>
                  <w14:round/>
                </w14:textOutline>
              </w:rPr>
              <w:t>£’000</w:t>
            </w:r>
          </w:p>
        </w:tc>
        <w:tc>
          <w:tcPr>
            <w:tcW w:w="1559" w:type="dxa"/>
          </w:tcPr>
          <w:p w14:paraId="285DFADA"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2024</w:t>
            </w:r>
          </w:p>
          <w:p w14:paraId="386D5037" w14:textId="77777777" w:rsidR="00DB7E5A" w:rsidRPr="004B049E" w:rsidRDefault="00DB7E5A" w:rsidP="00A92B87">
            <w:pPr>
              <w:tabs>
                <w:tab w:val="left" w:pos="198"/>
              </w:tabs>
              <w:suppressAutoHyphens/>
              <w:autoSpaceDE w:val="0"/>
              <w:autoSpaceDN w:val="0"/>
              <w:adjustRightInd w:val="0"/>
              <w:spacing w:line="240" w:lineRule="auto"/>
              <w:jc w:val="right"/>
              <w:textAlignment w:val="center"/>
              <w:rPr>
                <w:rFonts w:cs="Arial"/>
                <w:b/>
                <w:bCs/>
                <w:color w:val="000000" w:themeColor="text1"/>
                <w14:textOutline w14:w="9525" w14:cap="flat" w14:cmpd="sng" w14:algn="ctr">
                  <w14:noFill/>
                  <w14:prstDash w14:val="solid"/>
                  <w14:round/>
                </w14:textOutline>
              </w:rPr>
            </w:pPr>
            <w:r w:rsidRPr="004B049E">
              <w:rPr>
                <w:rFonts w:cs="Arial"/>
                <w:b/>
                <w:bCs/>
                <w:color w:val="000000" w:themeColor="text1"/>
                <w14:textOutline w14:w="9525" w14:cap="flat" w14:cmpd="sng" w14:algn="ctr">
                  <w14:noFill/>
                  <w14:prstDash w14:val="solid"/>
                  <w14:round/>
                </w14:textOutline>
              </w:rPr>
              <w:t>Retiring lump sum</w:t>
            </w:r>
          </w:p>
          <w:p w14:paraId="54AB31B6"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4B049E">
              <w:rPr>
                <w:rFonts w:cs="Arial"/>
                <w:b/>
                <w:bCs/>
                <w:color w:val="000000" w:themeColor="text1"/>
                <w14:textOutline w14:w="9525" w14:cap="flat" w14:cmpd="sng" w14:algn="ctr">
                  <w14:noFill/>
                  <w14:prstDash w14:val="solid"/>
                  <w14:round/>
                </w14:textOutline>
              </w:rPr>
              <w:t>£’000</w:t>
            </w:r>
          </w:p>
        </w:tc>
      </w:tr>
      <w:tr w:rsidR="004B049E" w:rsidRPr="004B049E" w14:paraId="5C59697B" w14:textId="77777777" w:rsidTr="00A92B87">
        <w:trPr>
          <w:trHeight w:val="227"/>
        </w:trPr>
        <w:tc>
          <w:tcPr>
            <w:tcW w:w="1550" w:type="dxa"/>
          </w:tcPr>
          <w:p w14:paraId="58997453" w14:textId="77777777" w:rsidR="00DB7E5A" w:rsidRPr="00DB7E5A" w:rsidRDefault="00DB7E5A" w:rsidP="00A92B87">
            <w:pPr>
              <w:tabs>
                <w:tab w:val="left" w:pos="198"/>
              </w:tabs>
              <w:suppressAutoHyphens/>
              <w:autoSpaceDE w:val="0"/>
              <w:autoSpaceDN w:val="0"/>
              <w:adjustRightInd w:val="0"/>
              <w:spacing w:line="240" w:lineRule="auto"/>
              <w:textAlignment w:val="center"/>
              <w:rPr>
                <w:rFonts w:cs="Arial"/>
                <w:color w:val="000000" w:themeColor="text1"/>
              </w:rPr>
            </w:pPr>
            <w:r w:rsidRPr="00DB7E5A">
              <w:rPr>
                <w:rFonts w:cs="Arial"/>
                <w:color w:val="000000" w:themeColor="text1"/>
              </w:rPr>
              <w:t>Chris Conway</w:t>
            </w:r>
          </w:p>
        </w:tc>
        <w:tc>
          <w:tcPr>
            <w:tcW w:w="1422" w:type="dxa"/>
            <w:vAlign w:val="center"/>
          </w:tcPr>
          <w:p w14:paraId="12106D78"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5</w:t>
            </w:r>
          </w:p>
        </w:tc>
        <w:tc>
          <w:tcPr>
            <w:tcW w:w="1559" w:type="dxa"/>
            <w:vAlign w:val="center"/>
          </w:tcPr>
          <w:p w14:paraId="1B445BDA"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w:t>
            </w:r>
          </w:p>
        </w:tc>
        <w:tc>
          <w:tcPr>
            <w:tcW w:w="1418" w:type="dxa"/>
            <w:vAlign w:val="center"/>
          </w:tcPr>
          <w:p w14:paraId="28848A12"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5</w:t>
            </w:r>
          </w:p>
        </w:tc>
        <w:tc>
          <w:tcPr>
            <w:tcW w:w="1559" w:type="dxa"/>
            <w:vAlign w:val="center"/>
          </w:tcPr>
          <w:p w14:paraId="7FB1A023" w14:textId="77777777" w:rsidR="00DB7E5A" w:rsidRPr="00DB7E5A" w:rsidRDefault="00DB7E5A" w:rsidP="00A92B87">
            <w:pPr>
              <w:tabs>
                <w:tab w:val="left" w:pos="198"/>
              </w:tabs>
              <w:suppressAutoHyphens/>
              <w:autoSpaceDE w:val="0"/>
              <w:autoSpaceDN w:val="0"/>
              <w:adjustRightInd w:val="0"/>
              <w:spacing w:line="240" w:lineRule="auto"/>
              <w:jc w:val="right"/>
              <w:textAlignment w:val="center"/>
              <w:rPr>
                <w:rFonts w:cs="Arial"/>
                <w:color w:val="000000" w:themeColor="text1"/>
              </w:rPr>
            </w:pPr>
            <w:r w:rsidRPr="00DB7E5A">
              <w:rPr>
                <w:rFonts w:cs="Arial"/>
                <w:color w:val="000000" w:themeColor="text1"/>
              </w:rPr>
              <w:t>-</w:t>
            </w:r>
          </w:p>
        </w:tc>
      </w:tr>
    </w:tbl>
    <w:p w14:paraId="7830E4F7" w14:textId="77777777" w:rsidR="00DB7E5A" w:rsidRPr="00DB7E5A" w:rsidRDefault="00DB7E5A" w:rsidP="00E65F98">
      <w:pPr>
        <w:tabs>
          <w:tab w:val="left" w:pos="198"/>
          <w:tab w:val="left" w:pos="255"/>
        </w:tabs>
        <w:suppressAutoHyphens/>
        <w:autoSpaceDE w:val="0"/>
        <w:autoSpaceDN w:val="0"/>
        <w:adjustRightInd w:val="0"/>
        <w:spacing w:line="276" w:lineRule="auto"/>
        <w:textAlignment w:val="center"/>
        <w:rPr>
          <w:rFonts w:cs="Arial"/>
          <w:color w:val="000000" w:themeColor="text1"/>
        </w:rPr>
      </w:pPr>
    </w:p>
    <w:p w14:paraId="06CCDAC9" w14:textId="77777777" w:rsidR="00DB7E5A" w:rsidRPr="00DB7E5A"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r w:rsidRPr="00DB7E5A">
        <w:rPr>
          <w:rFonts w:cs="Arial"/>
          <w:color w:val="000000" w:themeColor="text1"/>
        </w:rPr>
        <w:t>The executive Directors paid pension contributions in the period as follows:</w:t>
      </w:r>
    </w:p>
    <w:p w14:paraId="7BF1F8A7" w14:textId="77777777" w:rsidR="00DB7E5A" w:rsidRPr="00DB7E5A"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p>
    <w:tbl>
      <w:tblPr>
        <w:tblStyle w:val="TableGrid"/>
        <w:tblW w:w="0" w:type="auto"/>
        <w:tblLayout w:type="fixed"/>
        <w:tblLook w:val="0000" w:firstRow="0" w:lastRow="0" w:firstColumn="0" w:lastColumn="0" w:noHBand="0" w:noVBand="0"/>
      </w:tblPr>
      <w:tblGrid>
        <w:gridCol w:w="2287"/>
        <w:gridCol w:w="1819"/>
        <w:gridCol w:w="1843"/>
      </w:tblGrid>
      <w:tr w:rsidR="00A92B87" w:rsidRPr="00A92B87" w14:paraId="7D4BF01C" w14:textId="77777777" w:rsidTr="00A92B87">
        <w:trPr>
          <w:trHeight w:val="340"/>
        </w:trPr>
        <w:tc>
          <w:tcPr>
            <w:tcW w:w="2287" w:type="dxa"/>
          </w:tcPr>
          <w:p w14:paraId="0CDD223F" w14:textId="77777777" w:rsidR="00DB7E5A" w:rsidRPr="00DB7E5A" w:rsidRDefault="00DB7E5A" w:rsidP="00DB7E5A">
            <w:pPr>
              <w:autoSpaceDE w:val="0"/>
              <w:autoSpaceDN w:val="0"/>
              <w:adjustRightInd w:val="0"/>
              <w:spacing w:line="240" w:lineRule="auto"/>
              <w:rPr>
                <w:rFonts w:cs="Arial"/>
                <w:color w:val="000000" w:themeColor="text1"/>
              </w:rPr>
            </w:pPr>
          </w:p>
        </w:tc>
        <w:tc>
          <w:tcPr>
            <w:tcW w:w="1819" w:type="dxa"/>
            <w:vAlign w:val="center"/>
          </w:tcPr>
          <w:p w14:paraId="1A777CDE" w14:textId="77777777" w:rsidR="00DB7E5A" w:rsidRPr="00A92B87" w:rsidRDefault="00DB7E5A" w:rsidP="00A92B87">
            <w:pPr>
              <w:tabs>
                <w:tab w:val="left" w:pos="198"/>
              </w:tabs>
              <w:suppressAutoHyphens/>
              <w:autoSpaceDE w:val="0"/>
              <w:autoSpaceDN w:val="0"/>
              <w:adjustRightInd w:val="0"/>
              <w:spacing w:line="240" w:lineRule="atLeast"/>
              <w:jc w:val="right"/>
              <w:textAlignment w:val="center"/>
              <w:rPr>
                <w:rFonts w:cs="Arial"/>
                <w:b/>
                <w:bCs/>
                <w:color w:val="000000" w:themeColor="text1"/>
                <w14:textOutline w14:w="9525" w14:cap="flat" w14:cmpd="sng" w14:algn="ctr">
                  <w14:noFill/>
                  <w14:prstDash w14:val="solid"/>
                  <w14:round/>
                </w14:textOutline>
              </w:rPr>
            </w:pPr>
            <w:r w:rsidRPr="00A92B87">
              <w:rPr>
                <w:rFonts w:cs="Arial"/>
                <w:b/>
                <w:bCs/>
                <w:color w:val="000000" w:themeColor="text1"/>
                <w14:textOutline w14:w="9525" w14:cap="flat" w14:cmpd="sng" w14:algn="ctr">
                  <w14:noFill/>
                  <w14:prstDash w14:val="solid"/>
                  <w14:round/>
                </w14:textOutline>
              </w:rPr>
              <w:t>2025</w:t>
            </w:r>
          </w:p>
          <w:p w14:paraId="74FE0A0A" w14:textId="77777777" w:rsidR="00DB7E5A" w:rsidRPr="00DB7E5A" w:rsidRDefault="00DB7E5A" w:rsidP="00A92B87">
            <w:pPr>
              <w:tabs>
                <w:tab w:val="left" w:pos="198"/>
              </w:tabs>
              <w:suppressAutoHyphens/>
              <w:autoSpaceDE w:val="0"/>
              <w:autoSpaceDN w:val="0"/>
              <w:adjustRightInd w:val="0"/>
              <w:spacing w:line="240" w:lineRule="atLeast"/>
              <w:jc w:val="right"/>
              <w:textAlignment w:val="center"/>
              <w:rPr>
                <w:rFonts w:cs="Arial"/>
                <w:color w:val="000000" w:themeColor="text1"/>
              </w:rPr>
            </w:pPr>
            <w:r w:rsidRPr="00A92B87">
              <w:rPr>
                <w:rFonts w:cs="Arial"/>
                <w:b/>
                <w:bCs/>
                <w:color w:val="000000" w:themeColor="text1"/>
                <w14:textOutline w14:w="9525" w14:cap="flat" w14:cmpd="sng" w14:algn="ctr">
                  <w14:noFill/>
                  <w14:prstDash w14:val="solid"/>
                  <w14:round/>
                </w14:textOutline>
              </w:rPr>
              <w:t>£’000</w:t>
            </w:r>
          </w:p>
        </w:tc>
        <w:tc>
          <w:tcPr>
            <w:tcW w:w="1843" w:type="dxa"/>
            <w:vAlign w:val="center"/>
          </w:tcPr>
          <w:p w14:paraId="50D42714" w14:textId="77777777" w:rsidR="00DB7E5A" w:rsidRPr="00A92B87" w:rsidRDefault="00DB7E5A" w:rsidP="00A92B87">
            <w:pPr>
              <w:tabs>
                <w:tab w:val="left" w:pos="198"/>
              </w:tabs>
              <w:suppressAutoHyphens/>
              <w:autoSpaceDE w:val="0"/>
              <w:autoSpaceDN w:val="0"/>
              <w:adjustRightInd w:val="0"/>
              <w:spacing w:line="240" w:lineRule="atLeast"/>
              <w:jc w:val="right"/>
              <w:textAlignment w:val="center"/>
              <w:rPr>
                <w:rFonts w:cs="Arial"/>
                <w:b/>
                <w:bCs/>
                <w:color w:val="000000" w:themeColor="text1"/>
                <w14:textOutline w14:w="9525" w14:cap="flat" w14:cmpd="sng" w14:algn="ctr">
                  <w14:noFill/>
                  <w14:prstDash w14:val="solid"/>
                  <w14:round/>
                </w14:textOutline>
              </w:rPr>
            </w:pPr>
            <w:r w:rsidRPr="00A92B87">
              <w:rPr>
                <w:rFonts w:cs="Arial"/>
                <w:b/>
                <w:bCs/>
                <w:color w:val="000000" w:themeColor="text1"/>
                <w14:textOutline w14:w="9525" w14:cap="flat" w14:cmpd="sng" w14:algn="ctr">
                  <w14:noFill/>
                  <w14:prstDash w14:val="solid"/>
                  <w14:round/>
                </w14:textOutline>
              </w:rPr>
              <w:t>2024</w:t>
            </w:r>
          </w:p>
          <w:p w14:paraId="75EC176F" w14:textId="77777777" w:rsidR="00DB7E5A" w:rsidRPr="00DB7E5A" w:rsidRDefault="00DB7E5A" w:rsidP="00A92B87">
            <w:pPr>
              <w:tabs>
                <w:tab w:val="left" w:pos="198"/>
              </w:tabs>
              <w:suppressAutoHyphens/>
              <w:autoSpaceDE w:val="0"/>
              <w:autoSpaceDN w:val="0"/>
              <w:adjustRightInd w:val="0"/>
              <w:spacing w:line="240" w:lineRule="atLeast"/>
              <w:jc w:val="right"/>
              <w:textAlignment w:val="center"/>
              <w:rPr>
                <w:rFonts w:cs="Arial"/>
                <w:color w:val="000000" w:themeColor="text1"/>
              </w:rPr>
            </w:pPr>
            <w:r w:rsidRPr="00A92B87">
              <w:rPr>
                <w:rFonts w:cs="Arial"/>
                <w:b/>
                <w:bCs/>
                <w:color w:val="000000" w:themeColor="text1"/>
                <w14:textOutline w14:w="9525" w14:cap="flat" w14:cmpd="sng" w14:algn="ctr">
                  <w14:noFill/>
                  <w14:prstDash w14:val="solid"/>
                  <w14:round/>
                </w14:textOutline>
              </w:rPr>
              <w:t>£’000</w:t>
            </w:r>
          </w:p>
        </w:tc>
      </w:tr>
      <w:tr w:rsidR="00A92B87" w:rsidRPr="00A92B87" w14:paraId="668F6DC1" w14:textId="77777777" w:rsidTr="00A92B87">
        <w:trPr>
          <w:trHeight w:val="340"/>
        </w:trPr>
        <w:tc>
          <w:tcPr>
            <w:tcW w:w="2287" w:type="dxa"/>
          </w:tcPr>
          <w:p w14:paraId="65476CDD" w14:textId="77777777" w:rsidR="00DB7E5A" w:rsidRPr="00DB7E5A"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r w:rsidRPr="00DB7E5A">
              <w:rPr>
                <w:rFonts w:cs="Arial"/>
                <w:color w:val="000000" w:themeColor="text1"/>
              </w:rPr>
              <w:t>Chris Conway</w:t>
            </w:r>
          </w:p>
        </w:tc>
        <w:tc>
          <w:tcPr>
            <w:tcW w:w="1819" w:type="dxa"/>
            <w:vAlign w:val="center"/>
          </w:tcPr>
          <w:p w14:paraId="00283C85" w14:textId="77777777" w:rsidR="00DB7E5A" w:rsidRPr="00DB7E5A" w:rsidRDefault="00DB7E5A" w:rsidP="00A92B87">
            <w:pPr>
              <w:tabs>
                <w:tab w:val="left" w:pos="198"/>
              </w:tabs>
              <w:suppressAutoHyphens/>
              <w:autoSpaceDE w:val="0"/>
              <w:autoSpaceDN w:val="0"/>
              <w:adjustRightInd w:val="0"/>
              <w:spacing w:line="240" w:lineRule="atLeast"/>
              <w:jc w:val="right"/>
              <w:textAlignment w:val="center"/>
              <w:rPr>
                <w:rFonts w:cs="Arial"/>
                <w:color w:val="000000" w:themeColor="text1"/>
              </w:rPr>
            </w:pPr>
            <w:r w:rsidRPr="00DB7E5A">
              <w:rPr>
                <w:rFonts w:cs="Arial"/>
                <w:color w:val="000000" w:themeColor="text1"/>
              </w:rPr>
              <w:t>20</w:t>
            </w:r>
          </w:p>
        </w:tc>
        <w:tc>
          <w:tcPr>
            <w:tcW w:w="1843" w:type="dxa"/>
            <w:vAlign w:val="center"/>
          </w:tcPr>
          <w:p w14:paraId="22A672D1" w14:textId="77777777" w:rsidR="00DB7E5A" w:rsidRPr="00DB7E5A" w:rsidRDefault="00DB7E5A" w:rsidP="00A92B87">
            <w:pPr>
              <w:tabs>
                <w:tab w:val="left" w:pos="198"/>
              </w:tabs>
              <w:suppressAutoHyphens/>
              <w:autoSpaceDE w:val="0"/>
              <w:autoSpaceDN w:val="0"/>
              <w:adjustRightInd w:val="0"/>
              <w:spacing w:line="240" w:lineRule="atLeast"/>
              <w:jc w:val="right"/>
              <w:textAlignment w:val="center"/>
              <w:rPr>
                <w:rFonts w:cs="Arial"/>
                <w:color w:val="000000" w:themeColor="text1"/>
              </w:rPr>
            </w:pPr>
            <w:r w:rsidRPr="00DB7E5A">
              <w:rPr>
                <w:rFonts w:cs="Arial"/>
                <w:color w:val="000000" w:themeColor="text1"/>
              </w:rPr>
              <w:t>18</w:t>
            </w:r>
          </w:p>
        </w:tc>
      </w:tr>
    </w:tbl>
    <w:p w14:paraId="6AA5DD51" w14:textId="77777777" w:rsidR="00DB7E5A" w:rsidRPr="00DB7E5A" w:rsidRDefault="00DB7E5A" w:rsidP="00E65F98">
      <w:pPr>
        <w:tabs>
          <w:tab w:val="left" w:pos="198"/>
        </w:tabs>
        <w:suppressAutoHyphens/>
        <w:autoSpaceDE w:val="0"/>
        <w:autoSpaceDN w:val="0"/>
        <w:adjustRightInd w:val="0"/>
        <w:spacing w:line="240" w:lineRule="auto"/>
        <w:textAlignment w:val="center"/>
        <w:rPr>
          <w:rFonts w:cs="Arial"/>
          <w:color w:val="000000" w:themeColor="text1"/>
        </w:rPr>
      </w:pPr>
    </w:p>
    <w:p w14:paraId="410A579A" w14:textId="77777777" w:rsidR="00DB7E5A" w:rsidRPr="00DB7E5A" w:rsidRDefault="00DB7E5A" w:rsidP="00E65F98">
      <w:pPr>
        <w:pStyle w:val="Heading3"/>
      </w:pPr>
      <w:bookmarkStart w:id="224" w:name="_Toc213058656"/>
      <w:r w:rsidRPr="00DB7E5A">
        <w:t>Non-Executive Directors</w:t>
      </w:r>
      <w:bookmarkEnd w:id="224"/>
    </w:p>
    <w:p w14:paraId="44CF8257" w14:textId="77777777" w:rsidR="00DB7E5A" w:rsidRPr="00DB7E5A" w:rsidRDefault="00DB7E5A" w:rsidP="00E65F98">
      <w:r w:rsidRPr="00DB7E5A">
        <w:t>The appointment and remuneration of non-executive Directors is determined by the Department for Infrastructure. The non-executive Directors do not have service contracts, are not members of any of the Company’s pension arrangements and do not participate in any performance-related payment arrangements.</w:t>
      </w:r>
    </w:p>
    <w:p w14:paraId="67C823D0" w14:textId="77777777" w:rsidR="00DB7E5A" w:rsidRPr="00DB7E5A" w:rsidRDefault="00DB7E5A" w:rsidP="00E65F98"/>
    <w:p w14:paraId="0412C519" w14:textId="77777777" w:rsidR="00DB7E5A" w:rsidRPr="00DB7E5A" w:rsidRDefault="00DB7E5A" w:rsidP="00E65F98">
      <w:r w:rsidRPr="00DB7E5A">
        <w:lastRenderedPageBreak/>
        <w:t>Details of the non-executive Directors’ emoluments are given in note 21 to the financial statements.</w:t>
      </w:r>
    </w:p>
    <w:p w14:paraId="5F1FFE16" w14:textId="77777777" w:rsidR="00DB7E5A" w:rsidRPr="00DB7E5A" w:rsidRDefault="00DB7E5A" w:rsidP="00E65F98"/>
    <w:p w14:paraId="05A5303A" w14:textId="77777777" w:rsidR="00DB7E5A" w:rsidRPr="00DB7E5A"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r w:rsidRPr="00DB7E5A">
        <w:rPr>
          <w:rFonts w:cs="Arial"/>
          <w:b/>
          <w:bCs/>
          <w:color w:val="000000" w:themeColor="text1"/>
        </w:rPr>
        <w:t>Don Leeson</w:t>
      </w:r>
    </w:p>
    <w:p w14:paraId="2D37C5F0" w14:textId="77777777" w:rsidR="00DB7E5A" w:rsidRPr="00DB7E5A"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r w:rsidRPr="00DB7E5A">
        <w:rPr>
          <w:rFonts w:cs="Arial"/>
          <w:color w:val="000000" w:themeColor="text1"/>
        </w:rPr>
        <w:t>Chair, Remuneration and Pensions Committee</w:t>
      </w:r>
    </w:p>
    <w:p w14:paraId="5F67221D" w14:textId="1167A0DE" w:rsidR="00E65F98" w:rsidRDefault="00DB7E5A" w:rsidP="00DB7E5A">
      <w:pPr>
        <w:tabs>
          <w:tab w:val="left" w:pos="198"/>
        </w:tabs>
        <w:suppressAutoHyphens/>
        <w:autoSpaceDE w:val="0"/>
        <w:autoSpaceDN w:val="0"/>
        <w:adjustRightInd w:val="0"/>
        <w:spacing w:line="240" w:lineRule="atLeast"/>
        <w:textAlignment w:val="center"/>
        <w:rPr>
          <w:rFonts w:cs="Arial"/>
          <w:color w:val="000000" w:themeColor="text1"/>
        </w:rPr>
      </w:pPr>
      <w:r w:rsidRPr="00DB7E5A">
        <w:rPr>
          <w:rFonts w:cs="Arial"/>
          <w:color w:val="000000" w:themeColor="text1"/>
        </w:rPr>
        <w:t>18 June 2025</w:t>
      </w:r>
    </w:p>
    <w:p w14:paraId="4F930C6F" w14:textId="77777777" w:rsidR="00E65F98" w:rsidRDefault="00E65F98">
      <w:pPr>
        <w:spacing w:line="240" w:lineRule="auto"/>
        <w:rPr>
          <w:rFonts w:cs="Arial"/>
          <w:color w:val="000000" w:themeColor="text1"/>
        </w:rPr>
      </w:pPr>
      <w:r>
        <w:rPr>
          <w:rFonts w:cs="Arial"/>
          <w:color w:val="000000" w:themeColor="text1"/>
        </w:rPr>
        <w:br w:type="page"/>
      </w:r>
    </w:p>
    <w:p w14:paraId="19985BA8" w14:textId="77777777" w:rsidR="00A92B87" w:rsidRDefault="00A92B87" w:rsidP="00E65F98">
      <w:pPr>
        <w:pStyle w:val="Heading1"/>
      </w:pPr>
      <w:bookmarkStart w:id="225" w:name="_Toc213058657"/>
      <w:r w:rsidRPr="00A92B87">
        <w:lastRenderedPageBreak/>
        <w:t xml:space="preserve">Independent Auditor’s Report to the </w:t>
      </w:r>
      <w:r w:rsidRPr="00A92B87">
        <w:br/>
        <w:t>Members of Northern Ireland Transport Holding Company</w:t>
      </w:r>
      <w:bookmarkEnd w:id="225"/>
    </w:p>
    <w:p w14:paraId="250CE931" w14:textId="77777777" w:rsidR="00A92B87" w:rsidRPr="00A92B87" w:rsidRDefault="00A92B87" w:rsidP="00E65F98">
      <w:pPr>
        <w:pStyle w:val="Heading2"/>
      </w:pPr>
      <w:bookmarkStart w:id="226" w:name="_Toc213058658"/>
      <w:r w:rsidRPr="00A92B87">
        <w:t>Opinion</w:t>
      </w:r>
      <w:bookmarkEnd w:id="226"/>
    </w:p>
    <w:p w14:paraId="7B5ACE8B" w14:textId="77777777" w:rsidR="00A92B87" w:rsidRPr="00A92B87" w:rsidRDefault="00A92B87" w:rsidP="00E65F98">
      <w:r w:rsidRPr="00A92B87">
        <w:t xml:space="preserve">We have audited the financial statements of Northern Ireland Transport Holding Company (the “Company”) and its subsidiaries (the “Group”)  which comprise the Consolidated profit and loss account, the Consolidated statement of comprehensive income, the Consolidated and Company balance sheets, the Consolidated and Company statements of changes in equity, consolidated cash flow statement and related notes, including the summary of significant accounting policies for the year ended 30 March 2025.  </w:t>
      </w:r>
    </w:p>
    <w:p w14:paraId="65B2B137" w14:textId="77777777" w:rsidR="00A92B87" w:rsidRPr="00A92B87" w:rsidRDefault="00A92B87" w:rsidP="00E65F98"/>
    <w:p w14:paraId="13457B73" w14:textId="77777777" w:rsidR="00A92B87" w:rsidRPr="00A92B87" w:rsidRDefault="00A92B87" w:rsidP="00E65F98">
      <w:r w:rsidRPr="00A92B87">
        <w:t>The financial reporting framework that has been applied in their preparation is UK Law and accounting standards including UK-adopted international accounting standards (UK-adopted IAS).</w:t>
      </w:r>
    </w:p>
    <w:p w14:paraId="6B9DB6E7" w14:textId="77777777" w:rsidR="00A92B87" w:rsidRPr="00A92B87" w:rsidRDefault="00A92B87" w:rsidP="00E65F98"/>
    <w:p w14:paraId="1C7EAABD" w14:textId="77777777" w:rsidR="00A92B87" w:rsidRPr="00A92B87" w:rsidRDefault="00A92B87" w:rsidP="00E65F98">
      <w:r w:rsidRPr="00A92B87">
        <w:t>In our opinion Northern Ireland Transport Holding Company’s financial statements:</w:t>
      </w:r>
    </w:p>
    <w:p w14:paraId="4268E103"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14:textOutline w14:w="9525" w14:cap="flat" w14:cmpd="sng" w14:algn="ctr">
            <w14:noFill/>
            <w14:prstDash w14:val="solid"/>
            <w14:round/>
          </w14:textOutline>
        </w:rPr>
      </w:pPr>
    </w:p>
    <w:p w14:paraId="4C8D0D73" w14:textId="4B7B386E" w:rsidR="00A92B87" w:rsidRDefault="00A92B87" w:rsidP="00E65F98">
      <w:pPr>
        <w:pStyle w:val="ListParagraph"/>
        <w:numPr>
          <w:ilvl w:val="0"/>
          <w:numId w:val="87"/>
        </w:numPr>
      </w:pPr>
      <w:r w:rsidRPr="00A92B87">
        <w:t xml:space="preserve">give a true and fair view in accordance with UK-adopted IAS of the assets, liabilities and financial position of the Group and the Company as </w:t>
      </w:r>
      <w:proofErr w:type="gramStart"/>
      <w:r w:rsidRPr="00A92B87">
        <w:t>at</w:t>
      </w:r>
      <w:proofErr w:type="gramEnd"/>
      <w:r w:rsidRPr="00A92B87">
        <w:t xml:space="preserve"> 30 March 2025 and of the Group’s financial performance and cashflows for the year then ended; and</w:t>
      </w:r>
    </w:p>
    <w:p w14:paraId="4D30A360" w14:textId="77777777" w:rsidR="00A92B87" w:rsidRPr="00A92B87" w:rsidRDefault="00A92B87" w:rsidP="00E65F98"/>
    <w:p w14:paraId="5A49DB0E" w14:textId="5512486E" w:rsidR="00A92B87" w:rsidRPr="00A92B87" w:rsidRDefault="00A92B87" w:rsidP="00E65F98">
      <w:pPr>
        <w:pStyle w:val="ListParagraph"/>
        <w:numPr>
          <w:ilvl w:val="0"/>
          <w:numId w:val="87"/>
        </w:numPr>
      </w:pPr>
      <w:r w:rsidRPr="00A92B87">
        <w:t>have been properly prepared in accordance with the requirements of the Companies Act 2006 as applied by the Transport Act (Northern Ireland) 1967 (“the Companies Act 2006”).</w:t>
      </w:r>
    </w:p>
    <w:p w14:paraId="5E657F9A"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rPr>
      </w:pPr>
    </w:p>
    <w:p w14:paraId="76DD16C7" w14:textId="77777777" w:rsidR="00A92B87" w:rsidRPr="00A92B87" w:rsidRDefault="00A92B87" w:rsidP="00E65F98">
      <w:pPr>
        <w:pStyle w:val="Heading2"/>
      </w:pPr>
      <w:bookmarkStart w:id="227" w:name="_Toc213058659"/>
      <w:r w:rsidRPr="00A92B87">
        <w:t>Opinion on Regularity</w:t>
      </w:r>
      <w:bookmarkEnd w:id="227"/>
    </w:p>
    <w:p w14:paraId="1ABFB659" w14:textId="7605A4CA" w:rsidR="00A92B87" w:rsidRPr="00A92B87" w:rsidRDefault="00A92B87" w:rsidP="00E65F98">
      <w:r w:rsidRPr="00A92B87">
        <w:t>In our opinion, in all material respects the financial transactions recorded in the financial statements conform to the authorities which govern them.</w:t>
      </w:r>
    </w:p>
    <w:p w14:paraId="47C336F1"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rPr>
      </w:pPr>
    </w:p>
    <w:p w14:paraId="271FA7C0" w14:textId="77777777" w:rsidR="00A92B87" w:rsidRPr="00A92B87" w:rsidRDefault="00A92B87" w:rsidP="00E65F98">
      <w:pPr>
        <w:pStyle w:val="Heading2"/>
      </w:pPr>
      <w:bookmarkStart w:id="228" w:name="_Toc213058660"/>
      <w:r w:rsidRPr="00A92B87">
        <w:t>Basis for Opinion</w:t>
      </w:r>
      <w:bookmarkEnd w:id="228"/>
    </w:p>
    <w:p w14:paraId="04732F52" w14:textId="77777777" w:rsidR="00A92B87" w:rsidRPr="00A92B87" w:rsidRDefault="00A92B87" w:rsidP="00E65F98">
      <w:r w:rsidRPr="00A92B87">
        <w:t xml:space="preserve">We conducted our audit in accordance with International Standards on Auditing (UK) (‘ISAs (UK)’) and applicable law. Our responsibilities under those standards are further described in the ‘Responsibilities of the auditor for the audit of the financial statements’ section of our report. We are independent of the Group and Company in accordance with the ethical requirements that are relevant to our audit of the financial statements in the United Kingdom, including the FRC’s Ethical </w:t>
      </w:r>
      <w:r w:rsidRPr="00A92B87">
        <w:lastRenderedPageBreak/>
        <w:t xml:space="preserve">Standard and the ethical pronouncements established by Chartered Accountants Ireland, applied as determined to be appropriate in the circumstances for the entity. </w:t>
      </w:r>
    </w:p>
    <w:p w14:paraId="51EB039A"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14:textOutline w14:w="9525" w14:cap="flat" w14:cmpd="sng" w14:algn="ctr">
            <w14:noFill/>
            <w14:prstDash w14:val="solid"/>
            <w14:round/>
          </w14:textOutline>
        </w:rPr>
      </w:pPr>
    </w:p>
    <w:p w14:paraId="3FF6083B" w14:textId="77777777" w:rsidR="00A92B87" w:rsidRDefault="00A92B87" w:rsidP="00E65F98">
      <w:r w:rsidRPr="00A92B87">
        <w:t>We have fulfilled our other ethical responsibilities in accordance with these requirements. We believe that the audit evidence we have obtained is sufficient and appropriate to provide a basis for our opinion.</w:t>
      </w:r>
    </w:p>
    <w:p w14:paraId="2F6FCD6C"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rPr>
      </w:pPr>
    </w:p>
    <w:p w14:paraId="5CA69EBE" w14:textId="77777777" w:rsidR="00A92B87" w:rsidRPr="00A92B87" w:rsidRDefault="00A92B87" w:rsidP="00E65F98">
      <w:pPr>
        <w:pStyle w:val="Heading2"/>
      </w:pPr>
      <w:bookmarkStart w:id="229" w:name="_Toc213058661"/>
      <w:r w:rsidRPr="00A92B87">
        <w:t>Conclusions Relating to Going Concern</w:t>
      </w:r>
      <w:bookmarkEnd w:id="229"/>
    </w:p>
    <w:p w14:paraId="7F24BAA8" w14:textId="77777777" w:rsidR="00A92B87" w:rsidRPr="00A92B87" w:rsidRDefault="00A92B87" w:rsidP="00E65F98">
      <w:r w:rsidRPr="00A92B87">
        <w:t>In auditing the financial statements, we have concluded that the directors’ use of the going concern basis of accounting in the preparation of the financial statements is appropriate.</w:t>
      </w:r>
    </w:p>
    <w:p w14:paraId="3F19C4DB" w14:textId="77777777" w:rsidR="00A92B87" w:rsidRPr="00A92B87" w:rsidRDefault="00A92B87" w:rsidP="00E65F98"/>
    <w:p w14:paraId="5AA1C8C5" w14:textId="77777777" w:rsidR="00A92B87" w:rsidRPr="00A92B87" w:rsidRDefault="00A92B87" w:rsidP="00E65F98">
      <w:r w:rsidRPr="00A92B87">
        <w:t>Based on the work we have performed, we have not identified any material uncertainties relating to events or conditions that, individually or collectively, may cast significant doubt on the Group and Company’s ability to continue as a going concern for a period of at least twelve months from the date when the financial statements are authorised for issue.</w:t>
      </w:r>
    </w:p>
    <w:p w14:paraId="0BA004C9" w14:textId="77777777" w:rsidR="00A92B87" w:rsidRPr="00A92B87" w:rsidRDefault="00A92B87" w:rsidP="00E65F98"/>
    <w:p w14:paraId="14E456FC" w14:textId="77777777" w:rsidR="00A92B87" w:rsidRPr="00A92B87" w:rsidRDefault="00A92B87" w:rsidP="00E65F98">
      <w:r w:rsidRPr="00A92B87">
        <w:t>Our responsibilities and the responsibilities of the directors with respect to going concern are described in the relevant sections of this report.</w:t>
      </w:r>
    </w:p>
    <w:p w14:paraId="16E9AB5C" w14:textId="77777777" w:rsidR="00A92B87" w:rsidRPr="00A92B87" w:rsidRDefault="00A92B87" w:rsidP="00E65F98"/>
    <w:p w14:paraId="1D5FA989" w14:textId="77777777" w:rsidR="00A92B87" w:rsidRPr="00A92B87" w:rsidRDefault="00A92B87" w:rsidP="00E65F98">
      <w:pPr>
        <w:pStyle w:val="Heading2"/>
      </w:pPr>
      <w:bookmarkStart w:id="230" w:name="_Toc213058662"/>
      <w:r w:rsidRPr="00A92B87">
        <w:t>Other Information</w:t>
      </w:r>
      <w:bookmarkEnd w:id="230"/>
    </w:p>
    <w:p w14:paraId="79F7C0B0" w14:textId="77777777" w:rsidR="00A92B87" w:rsidRPr="00A92B87" w:rsidRDefault="00A92B87" w:rsidP="00E65F98">
      <w:r w:rsidRPr="00A92B87">
        <w:t>Other information comprises information included in the annual report, other than the financial statements and our auditor’s report thereon, including, but not limited to, the Directors’ Report and the Strategic Report. The directors are responsible for the other information. Our opinion on the financial statements does not cover the other information and, except to the extent otherwise explicitly stated in our report, we do not express any form of assurance conclusion thereon.</w:t>
      </w:r>
    </w:p>
    <w:p w14:paraId="30A80A90" w14:textId="77777777" w:rsidR="00A92B87" w:rsidRPr="00A92B87" w:rsidRDefault="00A92B87" w:rsidP="00E65F98"/>
    <w:p w14:paraId="49381C80" w14:textId="167C03A8" w:rsidR="00A92B87" w:rsidRPr="00A92B87" w:rsidRDefault="00A92B87" w:rsidP="00E65F98">
      <w:r w:rsidRPr="00A92B87">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in the financial 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r w:rsidR="00E65F98">
        <w:t xml:space="preserve"> </w:t>
      </w:r>
      <w:r w:rsidRPr="00A92B87">
        <w:t>We have nothing to report in this regard.</w:t>
      </w:r>
    </w:p>
    <w:p w14:paraId="08AA2BCD"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14:textOutline w14:w="9525" w14:cap="flat" w14:cmpd="sng" w14:algn="ctr">
            <w14:noFill/>
            <w14:prstDash w14:val="solid"/>
            <w14:round/>
          </w14:textOutline>
        </w:rPr>
      </w:pPr>
    </w:p>
    <w:p w14:paraId="035F0E06" w14:textId="77777777" w:rsidR="00A92B87" w:rsidRPr="00A92B87" w:rsidRDefault="00A92B87" w:rsidP="00E65F98">
      <w:pPr>
        <w:pStyle w:val="Heading2"/>
      </w:pPr>
      <w:bookmarkStart w:id="231" w:name="_Toc213058663"/>
      <w:r w:rsidRPr="00A92B87">
        <w:lastRenderedPageBreak/>
        <w:t>Opinions on Other Matters Prescribed by the Companies Act 2006</w:t>
      </w:r>
      <w:bookmarkEnd w:id="231"/>
    </w:p>
    <w:p w14:paraId="70A9B8A5" w14:textId="77777777" w:rsidR="00A92B87" w:rsidRPr="00A92B87" w:rsidRDefault="00A92B87" w:rsidP="00E65F98">
      <w:r w:rsidRPr="00A92B87">
        <w:t xml:space="preserve">In our opinion, based on the work undertaken in the course </w:t>
      </w:r>
      <w:r w:rsidRPr="00A92B87">
        <w:br/>
        <w:t>of the audit:</w:t>
      </w:r>
    </w:p>
    <w:p w14:paraId="3A1D822F" w14:textId="77777777" w:rsidR="00A92B87" w:rsidRPr="00A92B87" w:rsidRDefault="00A92B87" w:rsidP="00E65F98"/>
    <w:p w14:paraId="18620A2C" w14:textId="29A9DAFC" w:rsidR="00A92B87" w:rsidRDefault="00A92B87" w:rsidP="00E65F98">
      <w:pPr>
        <w:pStyle w:val="ListParagraph"/>
        <w:numPr>
          <w:ilvl w:val="0"/>
          <w:numId w:val="88"/>
        </w:numPr>
      </w:pPr>
      <w:r w:rsidRPr="00A92B87">
        <w:t>the information given in the Strategic Report and the Directors’ Report for the financial year for which the financial statements are prepared is consistent with the financial statements; and</w:t>
      </w:r>
    </w:p>
    <w:p w14:paraId="4DF68236" w14:textId="494FE070" w:rsidR="00A92B87" w:rsidRPr="00A92B87" w:rsidRDefault="00A92B87" w:rsidP="00E65F98">
      <w:pPr>
        <w:pStyle w:val="ListParagraph"/>
        <w:numPr>
          <w:ilvl w:val="0"/>
          <w:numId w:val="88"/>
        </w:numPr>
      </w:pPr>
      <w:r w:rsidRPr="00A92B87">
        <w:t xml:space="preserve">the Strategic Report and the Directors’ Report have been prepared in accordance with applicable legal requirements. </w:t>
      </w:r>
    </w:p>
    <w:p w14:paraId="04EE4323" w14:textId="77777777" w:rsidR="00A92B87" w:rsidRPr="00A92B87" w:rsidRDefault="00A92B87" w:rsidP="00E65F98"/>
    <w:p w14:paraId="4392504F" w14:textId="77777777" w:rsidR="00A92B87" w:rsidRPr="00E65F98" w:rsidRDefault="00A92B87" w:rsidP="00E65F98">
      <w:pPr>
        <w:pStyle w:val="Heading2"/>
      </w:pPr>
      <w:bookmarkStart w:id="232" w:name="_Toc213058664"/>
      <w:r w:rsidRPr="00E65F98">
        <w:t>Matters on which we are Required to Report by Exception</w:t>
      </w:r>
      <w:bookmarkEnd w:id="232"/>
    </w:p>
    <w:p w14:paraId="5F1FC22F" w14:textId="77777777" w:rsidR="00A92B87" w:rsidRPr="00A92B87" w:rsidRDefault="00A92B87" w:rsidP="00E65F98">
      <w:r w:rsidRPr="00A92B87">
        <w:t xml:space="preserve">In the light of the knowledge and understanding of the company and its environment obtained </w:t>
      </w:r>
      <w:proofErr w:type="gramStart"/>
      <w:r w:rsidRPr="00A92B87">
        <w:t>in the course of</w:t>
      </w:r>
      <w:proofErr w:type="gramEnd"/>
      <w:r w:rsidRPr="00A92B87">
        <w:t xml:space="preserve"> the audit, we have not identified any material misstatements in the Strategic Report and the Directors’ Report. We have nothing to report in respect of the following matters where </w:t>
      </w:r>
      <w:r w:rsidRPr="00A92B87">
        <w:br/>
        <w:t xml:space="preserve">the Companies Act 2006 requires us to report to you if, </w:t>
      </w:r>
      <w:r w:rsidRPr="00A92B87">
        <w:br/>
        <w:t>in our opinion:</w:t>
      </w:r>
    </w:p>
    <w:p w14:paraId="60697CF5" w14:textId="77777777" w:rsidR="00A92B87" w:rsidRPr="00A92B87" w:rsidRDefault="00A92B87" w:rsidP="00E65F98"/>
    <w:p w14:paraId="2D1362B4" w14:textId="4E1A604D" w:rsidR="00A92B87" w:rsidRPr="00A92B87" w:rsidRDefault="00A92B87" w:rsidP="00E65F98">
      <w:pPr>
        <w:pStyle w:val="ListParagraph"/>
        <w:numPr>
          <w:ilvl w:val="0"/>
          <w:numId w:val="89"/>
        </w:numPr>
      </w:pPr>
      <w:r w:rsidRPr="00A92B87">
        <w:t>adequate accounting records have not been kept, or returns adequate for our audit have not been received from branches not visited by us; or</w:t>
      </w:r>
    </w:p>
    <w:p w14:paraId="7284B2C1" w14:textId="6844A8FA" w:rsidR="00A92B87" w:rsidRPr="00A92B87" w:rsidRDefault="00A92B87" w:rsidP="00E65F98">
      <w:pPr>
        <w:pStyle w:val="ListParagraph"/>
        <w:numPr>
          <w:ilvl w:val="0"/>
          <w:numId w:val="89"/>
        </w:numPr>
      </w:pPr>
      <w:r w:rsidRPr="00A92B87">
        <w:t>the financial statements are not in agreement with the accounting records and returns; or</w:t>
      </w:r>
    </w:p>
    <w:p w14:paraId="67CA877A" w14:textId="5BBE4BBC" w:rsidR="00A92B87" w:rsidRPr="00A92B87" w:rsidRDefault="00A92B87" w:rsidP="00E65F98">
      <w:pPr>
        <w:pStyle w:val="ListParagraph"/>
        <w:numPr>
          <w:ilvl w:val="0"/>
          <w:numId w:val="89"/>
        </w:numPr>
      </w:pPr>
      <w:r w:rsidRPr="00A92B87">
        <w:t>certain disclosures of directors’ remuneration specified by law are not made; or</w:t>
      </w:r>
    </w:p>
    <w:p w14:paraId="5FBC4CC7" w14:textId="2E6C5BEA" w:rsidR="00A92B87" w:rsidRPr="00A92B87" w:rsidRDefault="00A92B87" w:rsidP="00E65F98">
      <w:pPr>
        <w:pStyle w:val="ListParagraph"/>
        <w:numPr>
          <w:ilvl w:val="0"/>
          <w:numId w:val="89"/>
        </w:numPr>
      </w:pPr>
      <w:r w:rsidRPr="00A92B87">
        <w:t>we have not received all the information and explanations we require for our audit.</w:t>
      </w:r>
    </w:p>
    <w:p w14:paraId="55DA58FD"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rPr>
      </w:pPr>
    </w:p>
    <w:p w14:paraId="3494D4ED" w14:textId="77777777" w:rsidR="00A92B87" w:rsidRPr="00E65F98" w:rsidRDefault="00A92B87" w:rsidP="00E65F98">
      <w:pPr>
        <w:pStyle w:val="Heading2"/>
      </w:pPr>
      <w:bookmarkStart w:id="233" w:name="_Toc213058665"/>
      <w:r w:rsidRPr="00E65F98">
        <w:t>Responsibilities of Management and Those Charged with Governance for the Financial Statements</w:t>
      </w:r>
      <w:bookmarkEnd w:id="233"/>
    </w:p>
    <w:p w14:paraId="4CB95AF8" w14:textId="77777777" w:rsidR="00A92B87" w:rsidRPr="00A92B87" w:rsidRDefault="00A92B87" w:rsidP="00E65F98">
      <w:r w:rsidRPr="00A92B87">
        <w:t>As explained more fully in the Directors’ responsibilities statement, management is responsible for the preparation of the financial statements which give a true and fair view in accordance with UK-adopted IAS, and for such internal control as directors determine necessary to enable the preparation of financial statements are free from material misstatement, whether due to fraud or error.</w:t>
      </w:r>
    </w:p>
    <w:p w14:paraId="7DE3B1E2" w14:textId="77777777" w:rsidR="00A92B87" w:rsidRPr="00A92B87" w:rsidRDefault="00A92B87" w:rsidP="00E65F98"/>
    <w:p w14:paraId="232C2A7B" w14:textId="77777777" w:rsidR="00A92B87" w:rsidRPr="00A92B87" w:rsidRDefault="00A92B87" w:rsidP="00E65F98">
      <w:r w:rsidRPr="00A92B87">
        <w:t xml:space="preserve">In preparing the financial statements, management is responsible for assessing the Group and Company’s ability to continue as a going concern, disclosing, as applicable, matters related to going concern and using the going concern basis of accounting unless management either intends </w:t>
      </w:r>
      <w:r w:rsidRPr="00A92B87">
        <w:lastRenderedPageBreak/>
        <w:t>to liquidate the group or company or to cease operations, or has no realistic alternative but to do so.</w:t>
      </w:r>
    </w:p>
    <w:p w14:paraId="7066826D" w14:textId="77777777" w:rsidR="00A92B87" w:rsidRPr="00A92B87" w:rsidRDefault="00A92B87" w:rsidP="00E65F98"/>
    <w:p w14:paraId="27A69652" w14:textId="77777777" w:rsidR="00A92B87" w:rsidRPr="00A92B87" w:rsidRDefault="00A92B87" w:rsidP="00E65F98">
      <w:r w:rsidRPr="00A92B87">
        <w:t>Those charged with governance are responsible for overseeing the Group and Company’s financial reporting process.</w:t>
      </w:r>
    </w:p>
    <w:p w14:paraId="3CE191E5" w14:textId="77777777" w:rsidR="00A92B87" w:rsidRPr="00A92B87" w:rsidRDefault="00A92B87" w:rsidP="00A92B87">
      <w:pPr>
        <w:tabs>
          <w:tab w:val="left" w:pos="198"/>
        </w:tabs>
        <w:suppressAutoHyphens/>
        <w:autoSpaceDE w:val="0"/>
        <w:autoSpaceDN w:val="0"/>
        <w:adjustRightInd w:val="0"/>
        <w:spacing w:line="240" w:lineRule="atLeast"/>
        <w:textAlignment w:val="center"/>
        <w:rPr>
          <w:rFonts w:cs="Arial"/>
          <w:color w:val="000000" w:themeColor="text1"/>
        </w:rPr>
      </w:pPr>
    </w:p>
    <w:p w14:paraId="5BF4612A" w14:textId="77777777" w:rsidR="00A92B87" w:rsidRPr="00A92B87" w:rsidRDefault="00A92B87" w:rsidP="00E65F98">
      <w:pPr>
        <w:pStyle w:val="Heading2"/>
      </w:pPr>
      <w:bookmarkStart w:id="234" w:name="_Toc213058666"/>
      <w:r w:rsidRPr="00A92B87">
        <w:t>Responsibilities of the Auditor for the Audit of the Financial Statements</w:t>
      </w:r>
      <w:bookmarkEnd w:id="234"/>
    </w:p>
    <w:p w14:paraId="49405EA6" w14:textId="77777777" w:rsidR="00A92B87" w:rsidRPr="00A92B87" w:rsidRDefault="00A92B87" w:rsidP="00E65F98">
      <w:r w:rsidRPr="00A92B87">
        <w:t xml:space="preserve">The objectives of an auditor are to obtain reasonable assurance about whether the financial statements </w:t>
      </w:r>
      <w:proofErr w:type="gramStart"/>
      <w:r w:rsidRPr="00A92B87">
        <w:t>as a whole are</w:t>
      </w:r>
      <w:proofErr w:type="gramEnd"/>
      <w:r w:rsidRPr="00A92B87">
        <w:t xml:space="preserve"> free from material misstatement, whether due to fraud or error, and to issue an auditor’s report that includes their opinion. Reasonable assurance is a high level of </w:t>
      </w:r>
      <w:proofErr w:type="gramStart"/>
      <w:r w:rsidRPr="00A92B87">
        <w:t>assurance, but</w:t>
      </w:r>
      <w:proofErr w:type="gramEnd"/>
      <w:r w:rsidRPr="00A92B87">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92B87">
        <w:t>on the basis of</w:t>
      </w:r>
      <w:proofErr w:type="gramEnd"/>
      <w:r w:rsidRPr="00A92B87">
        <w:t xml:space="preserve"> these financial statements.</w:t>
      </w:r>
    </w:p>
    <w:p w14:paraId="457BF0B4" w14:textId="77777777" w:rsidR="00A92B87" w:rsidRPr="00A92B87" w:rsidRDefault="00A92B87" w:rsidP="00E65F98"/>
    <w:p w14:paraId="4C15C122" w14:textId="12AC51E1" w:rsidR="00A92B87" w:rsidRDefault="00A92B87" w:rsidP="00E65F98">
      <w:r w:rsidRPr="00A92B87">
        <w:t>A further description of an auditor’s responsibilities for</w:t>
      </w:r>
      <w:r>
        <w:t xml:space="preserve"> </w:t>
      </w:r>
      <w:r w:rsidRPr="00A92B87">
        <w:t>the audit of the financial statements is located on the Financial Reporting Council’s website at: www.frc.org.uk/auditorsresponsibilities. This description forms part of our auditor’s report.</w:t>
      </w:r>
    </w:p>
    <w:p w14:paraId="60A65C8D" w14:textId="77777777" w:rsidR="00F06DE8" w:rsidRDefault="00F06DE8" w:rsidP="00A92B87">
      <w:pPr>
        <w:tabs>
          <w:tab w:val="left" w:pos="198"/>
        </w:tabs>
        <w:suppressAutoHyphens/>
        <w:autoSpaceDE w:val="0"/>
        <w:autoSpaceDN w:val="0"/>
        <w:adjustRightInd w:val="0"/>
        <w:spacing w:line="240" w:lineRule="atLeast"/>
        <w:textAlignment w:val="center"/>
        <w:rPr>
          <w:rFonts w:cs="Arial"/>
          <w:color w:val="000000" w:themeColor="text1"/>
        </w:rPr>
      </w:pPr>
    </w:p>
    <w:p w14:paraId="1FE0469E" w14:textId="381BFF75" w:rsidR="00F06DE8" w:rsidRPr="00E65F98" w:rsidRDefault="00F06DE8" w:rsidP="00E65F98">
      <w:pPr>
        <w:pStyle w:val="Heading3"/>
      </w:pPr>
      <w:bookmarkStart w:id="235" w:name="_Toc213058667"/>
      <w:r w:rsidRPr="00F06DE8">
        <w:t>Explanation as to what Extent the Audit was Considered Capable of Detecting Irregularities, Including Fraud</w:t>
      </w:r>
      <w:bookmarkEnd w:id="235"/>
    </w:p>
    <w:p w14:paraId="7F1E5AC1" w14:textId="0864D8DD" w:rsidR="00F06DE8" w:rsidRPr="00F06DE8" w:rsidRDefault="00F06DE8" w:rsidP="00E65F98">
      <w:r w:rsidRPr="00F06DE8">
        <w:t xml:space="preserve">Irregularities, including fraud, are instances of non-compliance with laws and regulations. We design procedures in line with our responsibilities, outlined above, to detect material misstatements in respect of irregularities, including fraud. Owing to the inherent limitations of an audit, there is an unavoidable risk that material misstatement in the financial statements may not be detected, even though the audit is properly planned and performed in accordance with the ISAs (UK). The extent to which our procedures </w:t>
      </w:r>
      <w:proofErr w:type="gramStart"/>
      <w:r w:rsidRPr="00F06DE8">
        <w:t>are capable of detecting</w:t>
      </w:r>
      <w:proofErr w:type="gramEnd"/>
      <w:r w:rsidRPr="00F06DE8">
        <w:t xml:space="preserve"> irregularities, including fraud is detailed below:</w:t>
      </w:r>
    </w:p>
    <w:p w14:paraId="4A8C87B0" w14:textId="77777777" w:rsidR="00F06DE8" w:rsidRPr="00F06DE8" w:rsidRDefault="00F06DE8" w:rsidP="00E65F98"/>
    <w:p w14:paraId="0C3E423C" w14:textId="73453518" w:rsidR="00F06DE8" w:rsidRPr="00F06DE8" w:rsidRDefault="00F06DE8" w:rsidP="00E65F98">
      <w:r w:rsidRPr="00F06DE8">
        <w:t xml:space="preserve">Based on our understanding of the Group and industry, we identified that the principal risks of non-compliance with laws and regulations related to Data Protection laws, Employment Laws and Health and Safety Laws, and we considered the extent to which non-compliance might have a material effect on the financial statements. We also considered those laws and regulations that have a direct impact on the preparation of the financial statements such as Companies Act 2006 and applicable tax laws. The Audit engagement partner considered the experience and expertise </w:t>
      </w:r>
      <w:r w:rsidRPr="00F06DE8">
        <w:lastRenderedPageBreak/>
        <w:t xml:space="preserve">of the engagement to ensure that the team had appropriate competence and capabilities to identify or recognise non-compliance with the laws and regulation. We evaluated management’s incentives and opportunities for fraudulent manipulation of the financial statements (including the risk of override of controls) and determined that the principal risks were related to posting inappropriate journal entries to manipulate financial performance and management bias through judgements and assumptions in significant accounting estimates, </w:t>
      </w:r>
      <w:proofErr w:type="gramStart"/>
      <w:r w:rsidRPr="00F06DE8">
        <w:t>in particular in</w:t>
      </w:r>
      <w:proofErr w:type="gramEnd"/>
      <w:r w:rsidRPr="00F06DE8">
        <w:t xml:space="preserve"> relation to significant one-off or unusual transactions. We apply professional scepticism through the audit to consider potential deliberate omission or concealment of significant transactions, or incomplete/inaccurate disclosures in the financial statements.</w:t>
      </w:r>
    </w:p>
    <w:p w14:paraId="4B7F9C5D" w14:textId="77777777" w:rsidR="00F06DE8" w:rsidRPr="00F06DE8" w:rsidRDefault="00F06DE8" w:rsidP="00E65F98"/>
    <w:p w14:paraId="799E67D6" w14:textId="77777777" w:rsidR="00F06DE8" w:rsidRPr="00F06DE8" w:rsidRDefault="00F06DE8" w:rsidP="00E65F98">
      <w:r w:rsidRPr="00F06DE8">
        <w:t>In response to these principal risks, our audit procedures included but were not limited to:</w:t>
      </w:r>
    </w:p>
    <w:p w14:paraId="4D026498" w14:textId="77777777" w:rsidR="00F06DE8" w:rsidRPr="00F06DE8" w:rsidRDefault="00F06DE8" w:rsidP="00F06DE8">
      <w:pPr>
        <w:rPr>
          <w:color w:val="000000"/>
        </w:rPr>
      </w:pPr>
    </w:p>
    <w:p w14:paraId="6FD9EB9D" w14:textId="4112CEAF" w:rsidR="00F06DE8" w:rsidRPr="00F06DE8" w:rsidRDefault="00F06DE8" w:rsidP="00F06DE8">
      <w:pPr>
        <w:pStyle w:val="ListParagraph"/>
        <w:numPr>
          <w:ilvl w:val="0"/>
          <w:numId w:val="78"/>
        </w:numPr>
        <w:rPr>
          <w:color w:val="000000"/>
        </w:rPr>
      </w:pPr>
      <w:r w:rsidRPr="00F06DE8">
        <w:rPr>
          <w:color w:val="000000"/>
        </w:rPr>
        <w:t xml:space="preserve">inquiries of management on the policies and procedures in place regarding compliance with laws and regulations, including consideration of known or suspected instances of non-compliance and whether they have knowledge of any actual, suspected or alleged </w:t>
      </w:r>
      <w:proofErr w:type="gramStart"/>
      <w:r w:rsidRPr="00F06DE8">
        <w:rPr>
          <w:color w:val="000000"/>
        </w:rPr>
        <w:t>fraud;</w:t>
      </w:r>
      <w:proofErr w:type="gramEnd"/>
      <w:r w:rsidRPr="00F06DE8">
        <w:rPr>
          <w:color w:val="000000"/>
        </w:rPr>
        <w:t xml:space="preserve"> </w:t>
      </w:r>
    </w:p>
    <w:p w14:paraId="1630E26B" w14:textId="098FD7E2" w:rsidR="00F06DE8" w:rsidRPr="00F06DE8" w:rsidRDefault="00F06DE8" w:rsidP="00F06DE8">
      <w:pPr>
        <w:pStyle w:val="ListParagraph"/>
        <w:numPr>
          <w:ilvl w:val="0"/>
          <w:numId w:val="78"/>
        </w:numPr>
        <w:rPr>
          <w:color w:val="000000"/>
        </w:rPr>
      </w:pPr>
      <w:r w:rsidRPr="00F06DE8">
        <w:rPr>
          <w:color w:val="000000"/>
        </w:rPr>
        <w:t xml:space="preserve">inspection of the group’s regulatory and legal correspondence and review of minutes of the board of </w:t>
      </w:r>
      <w:proofErr w:type="gramStart"/>
      <w:r w:rsidRPr="00F06DE8">
        <w:rPr>
          <w:color w:val="000000"/>
        </w:rPr>
        <w:t>directors</w:t>
      </w:r>
      <w:proofErr w:type="gramEnd"/>
      <w:r w:rsidRPr="00F06DE8">
        <w:rPr>
          <w:color w:val="000000"/>
        </w:rPr>
        <w:t xml:space="preserve"> meetings during the year to corroborate inquiries </w:t>
      </w:r>
      <w:proofErr w:type="gramStart"/>
      <w:r w:rsidRPr="00F06DE8">
        <w:rPr>
          <w:color w:val="000000"/>
        </w:rPr>
        <w:t>made;</w:t>
      </w:r>
      <w:proofErr w:type="gramEnd"/>
      <w:r w:rsidRPr="00F06DE8">
        <w:rPr>
          <w:color w:val="000000"/>
        </w:rPr>
        <w:t xml:space="preserve"> </w:t>
      </w:r>
    </w:p>
    <w:p w14:paraId="6C6AEA6D" w14:textId="6E59B770" w:rsidR="00F06DE8" w:rsidRPr="00F06DE8" w:rsidRDefault="00F06DE8" w:rsidP="00F06DE8">
      <w:pPr>
        <w:pStyle w:val="ListParagraph"/>
        <w:numPr>
          <w:ilvl w:val="0"/>
          <w:numId w:val="78"/>
        </w:numPr>
        <w:rPr>
          <w:color w:val="000000"/>
        </w:rPr>
      </w:pPr>
      <w:r w:rsidRPr="00F06DE8">
        <w:rPr>
          <w:color w:val="000000"/>
        </w:rPr>
        <w:t xml:space="preserve">gaining an understanding of the internal controls established to mitigate risk related to </w:t>
      </w:r>
      <w:proofErr w:type="gramStart"/>
      <w:r w:rsidRPr="00F06DE8">
        <w:rPr>
          <w:color w:val="000000"/>
        </w:rPr>
        <w:t>fraud;</w:t>
      </w:r>
      <w:proofErr w:type="gramEnd"/>
      <w:r w:rsidRPr="00F06DE8">
        <w:rPr>
          <w:color w:val="000000"/>
        </w:rPr>
        <w:t xml:space="preserve"> </w:t>
      </w:r>
    </w:p>
    <w:p w14:paraId="5CB04358" w14:textId="02DF48B0" w:rsidR="00F06DE8" w:rsidRPr="00F06DE8" w:rsidRDefault="00F06DE8" w:rsidP="00F06DE8">
      <w:pPr>
        <w:pStyle w:val="ListParagraph"/>
        <w:numPr>
          <w:ilvl w:val="0"/>
          <w:numId w:val="78"/>
        </w:numPr>
        <w:rPr>
          <w:color w:val="000000"/>
        </w:rPr>
      </w:pPr>
      <w:r w:rsidRPr="00F06DE8">
        <w:rPr>
          <w:color w:val="000000"/>
        </w:rPr>
        <w:t xml:space="preserve">discussion amongst the engagement team in relation to the identified laws and regulations and regarding the risk of fraud, and remaining alert to any indications of non-compliance or opportunities for fraudulent manipulation </w:t>
      </w:r>
      <w:r w:rsidRPr="00F06DE8">
        <w:rPr>
          <w:color w:val="000000"/>
        </w:rPr>
        <w:br/>
        <w:t xml:space="preserve">of financial statements throughout the </w:t>
      </w:r>
      <w:proofErr w:type="gramStart"/>
      <w:r w:rsidRPr="00F06DE8">
        <w:rPr>
          <w:color w:val="000000"/>
        </w:rPr>
        <w:t>audit;</w:t>
      </w:r>
      <w:proofErr w:type="gramEnd"/>
    </w:p>
    <w:p w14:paraId="71146873" w14:textId="4AF44B4C" w:rsidR="00F06DE8" w:rsidRPr="00F06DE8" w:rsidRDefault="00F06DE8" w:rsidP="00F06DE8">
      <w:pPr>
        <w:pStyle w:val="ListParagraph"/>
        <w:numPr>
          <w:ilvl w:val="0"/>
          <w:numId w:val="78"/>
        </w:numPr>
        <w:rPr>
          <w:color w:val="000000"/>
        </w:rPr>
      </w:pPr>
      <w:r w:rsidRPr="00F06DE8">
        <w:rPr>
          <w:color w:val="000000"/>
        </w:rPr>
        <w:t xml:space="preserve">identifying and testing journal entries to address the </w:t>
      </w:r>
      <w:r w:rsidRPr="00F06DE8">
        <w:rPr>
          <w:color w:val="000000"/>
        </w:rPr>
        <w:br/>
        <w:t xml:space="preserve">risk of inappropriate journals and management override </w:t>
      </w:r>
      <w:r w:rsidRPr="00F06DE8">
        <w:rPr>
          <w:color w:val="000000"/>
        </w:rPr>
        <w:br/>
        <w:t xml:space="preserve">of </w:t>
      </w:r>
      <w:proofErr w:type="gramStart"/>
      <w:r w:rsidRPr="00F06DE8">
        <w:rPr>
          <w:color w:val="000000"/>
        </w:rPr>
        <w:t>controls;</w:t>
      </w:r>
      <w:proofErr w:type="gramEnd"/>
    </w:p>
    <w:p w14:paraId="36F7E9AE" w14:textId="18F987C5" w:rsidR="00F06DE8" w:rsidRPr="00F06DE8" w:rsidRDefault="00F06DE8" w:rsidP="00F06DE8">
      <w:pPr>
        <w:pStyle w:val="ListParagraph"/>
        <w:numPr>
          <w:ilvl w:val="0"/>
          <w:numId w:val="78"/>
        </w:numPr>
        <w:rPr>
          <w:color w:val="000000"/>
        </w:rPr>
      </w:pPr>
      <w:r w:rsidRPr="00F06DE8">
        <w:rPr>
          <w:color w:val="000000"/>
        </w:rPr>
        <w:t xml:space="preserve">designing audit procedures to incorporate unpredictability around the nature, timing or extent of our </w:t>
      </w:r>
      <w:proofErr w:type="gramStart"/>
      <w:r w:rsidRPr="00F06DE8">
        <w:rPr>
          <w:color w:val="000000"/>
        </w:rPr>
        <w:t>testing;</w:t>
      </w:r>
      <w:proofErr w:type="gramEnd"/>
      <w:r w:rsidRPr="00F06DE8">
        <w:rPr>
          <w:color w:val="000000"/>
        </w:rPr>
        <w:t xml:space="preserve"> </w:t>
      </w:r>
    </w:p>
    <w:p w14:paraId="5FCC933F" w14:textId="37DA3CED" w:rsidR="00F06DE8" w:rsidRPr="00F06DE8" w:rsidRDefault="00F06DE8" w:rsidP="00F06DE8">
      <w:pPr>
        <w:pStyle w:val="ListParagraph"/>
        <w:numPr>
          <w:ilvl w:val="0"/>
          <w:numId w:val="78"/>
        </w:numPr>
        <w:rPr>
          <w:color w:val="000000"/>
        </w:rPr>
      </w:pPr>
      <w:r w:rsidRPr="00F06DE8">
        <w:rPr>
          <w:color w:val="000000"/>
        </w:rPr>
        <w:t xml:space="preserve">challenging assumptions and judgements made by management in their significant accounting estimates, including estimating the useful lives of depreciable assets, estimating allowance for the impairment of intangible and tangible assets, and estimating allowance for the impairment of receivables and stocks; and </w:t>
      </w:r>
    </w:p>
    <w:p w14:paraId="4639CC53" w14:textId="4A6017F4" w:rsidR="00F06DE8" w:rsidRPr="00F06DE8" w:rsidRDefault="00F06DE8" w:rsidP="00F06DE8">
      <w:pPr>
        <w:pStyle w:val="ListParagraph"/>
        <w:numPr>
          <w:ilvl w:val="0"/>
          <w:numId w:val="78"/>
        </w:numPr>
        <w:rPr>
          <w:color w:val="000000"/>
        </w:rPr>
      </w:pPr>
      <w:r w:rsidRPr="00F06DE8">
        <w:rPr>
          <w:color w:val="000000"/>
        </w:rPr>
        <w:t>review of the financial statement disclosures to underlying supporting documentation and inquiries of management.</w:t>
      </w:r>
    </w:p>
    <w:p w14:paraId="32607055" w14:textId="77777777" w:rsidR="00F06DE8" w:rsidRPr="00F06DE8" w:rsidRDefault="00F06DE8" w:rsidP="00F06DE8">
      <w:pPr>
        <w:rPr>
          <w:color w:val="000000"/>
        </w:rPr>
      </w:pPr>
    </w:p>
    <w:p w14:paraId="38C24119" w14:textId="77777777" w:rsidR="00F06DE8" w:rsidRPr="00F06DE8" w:rsidRDefault="00F06DE8" w:rsidP="00E65F98">
      <w:r w:rsidRPr="00F06DE8">
        <w:t>The primary responsibility for the prevention and detection of irregularities including fraud rests with those charged with governance and management. As with any audit, there remains a risk of non-detection or irregularities, as these may involve collusion, forgery, intentional omissions, misrepresentations or override of internal controls.</w:t>
      </w:r>
    </w:p>
    <w:p w14:paraId="0F483C38" w14:textId="77777777" w:rsidR="00F06DE8" w:rsidRPr="00F06DE8" w:rsidRDefault="00F06DE8" w:rsidP="00F06DE8">
      <w:pPr>
        <w:rPr>
          <w:color w:val="000000"/>
        </w:rPr>
      </w:pPr>
    </w:p>
    <w:p w14:paraId="613AE58B" w14:textId="77777777" w:rsidR="00F06DE8" w:rsidRPr="00F06DE8" w:rsidRDefault="00F06DE8" w:rsidP="00E65F98">
      <w:pPr>
        <w:pStyle w:val="Heading2"/>
        <w:rPr>
          <w:color w:val="00BF28"/>
        </w:rPr>
      </w:pPr>
      <w:bookmarkStart w:id="236" w:name="_Toc213058668"/>
      <w:r w:rsidRPr="00F06DE8">
        <w:t>The Purpose of our Audit Work and to whom we owe our Responsibilities</w:t>
      </w:r>
      <w:bookmarkEnd w:id="236"/>
    </w:p>
    <w:p w14:paraId="2B84DDFD" w14:textId="77777777" w:rsidR="00F06DE8" w:rsidRPr="00F06DE8" w:rsidRDefault="00F06DE8" w:rsidP="00F06DE8">
      <w:pPr>
        <w:rPr>
          <w:color w:val="000000"/>
        </w:rPr>
      </w:pPr>
      <w:r w:rsidRPr="00F06DE8">
        <w:rPr>
          <w:color w:val="000000"/>
        </w:rPr>
        <w:t>This report is made solely to the Company’s members, as a body, in accordance with chapter 3 of Part 16 of the Companies Act 2006.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2344FA3E" w14:textId="77777777" w:rsidR="00F06DE8" w:rsidRPr="00F06DE8" w:rsidRDefault="00F06DE8" w:rsidP="00F06DE8">
      <w:pPr>
        <w:rPr>
          <w:color w:val="000000"/>
        </w:rPr>
      </w:pPr>
    </w:p>
    <w:p w14:paraId="497B34DD" w14:textId="77777777" w:rsidR="00F06DE8" w:rsidRPr="00F06DE8" w:rsidRDefault="00F06DE8" w:rsidP="00F06DE8">
      <w:pPr>
        <w:rPr>
          <w:color w:val="000000"/>
        </w:rPr>
      </w:pPr>
      <w:r w:rsidRPr="00F06DE8">
        <w:rPr>
          <w:b/>
          <w:bCs/>
          <w:color w:val="000000"/>
        </w:rPr>
        <w:t>Louise Kelly (Senior Statutory Auditor)</w:t>
      </w:r>
      <w:r w:rsidRPr="00F06DE8">
        <w:rPr>
          <w:color w:val="000000"/>
        </w:rPr>
        <w:br/>
        <w:t>for and on behalf of Grant Thornton (NI) LLP</w:t>
      </w:r>
      <w:r w:rsidRPr="00F06DE8">
        <w:rPr>
          <w:color w:val="000000"/>
        </w:rPr>
        <w:br/>
        <w:t>Chartered Accountants, Statutory Auditors, Belfast</w:t>
      </w:r>
    </w:p>
    <w:p w14:paraId="2A7AF93B" w14:textId="77777777" w:rsidR="00F06DE8" w:rsidRDefault="00F06DE8" w:rsidP="00F06DE8">
      <w:pPr>
        <w:rPr>
          <w:color w:val="000000"/>
        </w:rPr>
        <w:sectPr w:rsidR="00F06DE8" w:rsidSect="00E253EE">
          <w:pgSz w:w="11900" w:h="16840"/>
          <w:pgMar w:top="720" w:right="720" w:bottom="720" w:left="720" w:header="709" w:footer="709" w:gutter="0"/>
          <w:cols w:space="708"/>
          <w:docGrid w:linePitch="360"/>
        </w:sectPr>
      </w:pPr>
      <w:r w:rsidRPr="00F06DE8">
        <w:rPr>
          <w:color w:val="000000"/>
        </w:rPr>
        <w:t>18 June 2025</w:t>
      </w:r>
    </w:p>
    <w:p w14:paraId="2E3BFB1B" w14:textId="77777777" w:rsidR="00F06DE8" w:rsidRPr="00190AAA" w:rsidRDefault="00F06DE8" w:rsidP="00E65F98">
      <w:pPr>
        <w:pStyle w:val="Heading1"/>
        <w:rPr>
          <w14:textOutline w14:w="9525" w14:cap="flat" w14:cmpd="sng" w14:algn="ctr">
            <w14:solidFill>
              <w14:srgbClr w14:val="00BF28"/>
            </w14:solidFill>
            <w14:prstDash w14:val="solid"/>
            <w14:round/>
          </w14:textOutline>
        </w:rPr>
      </w:pPr>
      <w:bookmarkStart w:id="237" w:name="_Toc213058669"/>
      <w:r w:rsidRPr="00190AAA">
        <w:lastRenderedPageBreak/>
        <w:t>Consolidated Income Statement</w:t>
      </w:r>
      <w:bookmarkEnd w:id="237"/>
    </w:p>
    <w:p w14:paraId="4E1D10FA" w14:textId="77777777" w:rsidR="00F06DE8" w:rsidRPr="00190AAA" w:rsidRDefault="00F06DE8" w:rsidP="00190AAA">
      <w:pPr>
        <w:spacing w:line="276" w:lineRule="auto"/>
        <w:rPr>
          <w:b/>
          <w:bCs/>
        </w:rPr>
      </w:pPr>
      <w:r w:rsidRPr="00190AAA">
        <w:rPr>
          <w:b/>
          <w:bCs/>
        </w:rPr>
        <w:t>for the 52 weeks ended 30 March 2025</w:t>
      </w:r>
    </w:p>
    <w:p w14:paraId="1F1BD4B7" w14:textId="77777777" w:rsidR="00F06DE8" w:rsidRDefault="00F06DE8" w:rsidP="00F06DE8">
      <w:pPr>
        <w:pStyle w:val="FinancialHeading2"/>
        <w:spacing w:line="240" w:lineRule="auto"/>
        <w:ind w:left="397"/>
        <w:rPr>
          <w:rFonts w:ascii="Arial" w:hAnsi="Arial" w:cs="Arial"/>
          <w:color w:val="000000" w:themeColor="text1"/>
        </w:rPr>
      </w:pPr>
    </w:p>
    <w:tbl>
      <w:tblPr>
        <w:tblStyle w:val="TableGrid"/>
        <w:tblW w:w="0" w:type="auto"/>
        <w:tblLayout w:type="fixed"/>
        <w:tblLook w:val="0000" w:firstRow="0" w:lastRow="0" w:firstColumn="0" w:lastColumn="0" w:noHBand="0" w:noVBand="0"/>
      </w:tblPr>
      <w:tblGrid>
        <w:gridCol w:w="3964"/>
        <w:gridCol w:w="1276"/>
        <w:gridCol w:w="2410"/>
        <w:gridCol w:w="2205"/>
      </w:tblGrid>
      <w:tr w:rsidR="00F06DE8" w:rsidRPr="00F06DE8" w14:paraId="730332CF" w14:textId="77777777" w:rsidTr="00190AAA">
        <w:trPr>
          <w:trHeight w:val="283"/>
        </w:trPr>
        <w:tc>
          <w:tcPr>
            <w:tcW w:w="3964" w:type="dxa"/>
          </w:tcPr>
          <w:p w14:paraId="1AEBB1D3"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1276" w:type="dxa"/>
          </w:tcPr>
          <w:p w14:paraId="5F11B3F5"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Notes</w:t>
            </w:r>
          </w:p>
        </w:tc>
        <w:tc>
          <w:tcPr>
            <w:tcW w:w="2410" w:type="dxa"/>
          </w:tcPr>
          <w:p w14:paraId="4531A2B5"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 xml:space="preserve">52 weeks ended </w:t>
            </w:r>
          </w:p>
          <w:p w14:paraId="1C3BD864"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30 March 2025</w:t>
            </w:r>
          </w:p>
          <w:p w14:paraId="3EE9379D"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£’000</w:t>
            </w:r>
          </w:p>
        </w:tc>
        <w:tc>
          <w:tcPr>
            <w:tcW w:w="2205" w:type="dxa"/>
          </w:tcPr>
          <w:p w14:paraId="14076039"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 xml:space="preserve">53 weeks ended </w:t>
            </w:r>
          </w:p>
          <w:p w14:paraId="7A032A8B"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31 March 2024</w:t>
            </w:r>
          </w:p>
          <w:p w14:paraId="66840D68"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£’000</w:t>
            </w:r>
          </w:p>
        </w:tc>
      </w:tr>
      <w:tr w:rsidR="00F06DE8" w:rsidRPr="00F06DE8" w14:paraId="1A82DF7B" w14:textId="77777777" w:rsidTr="00190AAA">
        <w:trPr>
          <w:trHeight w:val="283"/>
        </w:trPr>
        <w:tc>
          <w:tcPr>
            <w:tcW w:w="3964" w:type="dxa"/>
          </w:tcPr>
          <w:p w14:paraId="5CC11BD8"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Revenue</w:t>
            </w:r>
          </w:p>
        </w:tc>
        <w:tc>
          <w:tcPr>
            <w:tcW w:w="1276" w:type="dxa"/>
          </w:tcPr>
          <w:p w14:paraId="775615D7"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ab/>
              <w:t>4</w:t>
            </w:r>
          </w:p>
        </w:tc>
        <w:tc>
          <w:tcPr>
            <w:tcW w:w="2410" w:type="dxa"/>
          </w:tcPr>
          <w:p w14:paraId="3C90DA48"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343,894</w:t>
            </w:r>
          </w:p>
        </w:tc>
        <w:tc>
          <w:tcPr>
            <w:tcW w:w="2205" w:type="dxa"/>
          </w:tcPr>
          <w:p w14:paraId="1C12DBB1"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329,901</w:t>
            </w:r>
          </w:p>
        </w:tc>
      </w:tr>
      <w:tr w:rsidR="00F06DE8" w:rsidRPr="00F06DE8" w14:paraId="232D29E4" w14:textId="77777777" w:rsidTr="00190AAA">
        <w:trPr>
          <w:trHeight w:val="283"/>
        </w:trPr>
        <w:tc>
          <w:tcPr>
            <w:tcW w:w="3964" w:type="dxa"/>
          </w:tcPr>
          <w:p w14:paraId="29C444C8"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Cost of sales</w:t>
            </w:r>
          </w:p>
        </w:tc>
        <w:tc>
          <w:tcPr>
            <w:tcW w:w="1276" w:type="dxa"/>
          </w:tcPr>
          <w:p w14:paraId="698F70FD"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2410" w:type="dxa"/>
          </w:tcPr>
          <w:p w14:paraId="3EEE8CED"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(335,372)</w:t>
            </w:r>
          </w:p>
        </w:tc>
        <w:tc>
          <w:tcPr>
            <w:tcW w:w="2205" w:type="dxa"/>
          </w:tcPr>
          <w:p w14:paraId="60A132F7"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(312,024)</w:t>
            </w:r>
          </w:p>
        </w:tc>
      </w:tr>
      <w:tr w:rsidR="00F06DE8" w:rsidRPr="00F06DE8" w14:paraId="3DCAE252" w14:textId="77777777" w:rsidTr="00190AAA">
        <w:trPr>
          <w:trHeight w:val="283"/>
        </w:trPr>
        <w:tc>
          <w:tcPr>
            <w:tcW w:w="3964" w:type="dxa"/>
          </w:tcPr>
          <w:p w14:paraId="16ACC27C" w14:textId="77777777" w:rsidR="00F06DE8" w:rsidRPr="00F06DE8" w:rsidRDefault="00F06DE8" w:rsidP="00190AAA">
            <w:pPr>
              <w:autoSpaceDE w:val="0"/>
              <w:autoSpaceDN w:val="0"/>
              <w:adjustRightInd w:val="0"/>
              <w:spacing w:line="240" w:lineRule="auto"/>
              <w:textAlignment w:val="center"/>
              <w:rPr>
                <w:rFonts w:cs="Arial"/>
                <w:color w:val="000000" w:themeColor="text1"/>
                <w:sz w:val="20"/>
                <w:szCs w:val="20"/>
              </w:rPr>
            </w:pPr>
            <w:r w:rsidRPr="00F06DE8">
              <w:rPr>
                <w:rFonts w:cs="Arial"/>
                <w:b/>
                <w:bCs/>
                <w:color w:val="000000" w:themeColor="text1"/>
                <w:sz w:val="20"/>
                <w:szCs w:val="20"/>
              </w:rPr>
              <w:t>Gross profit</w:t>
            </w:r>
          </w:p>
        </w:tc>
        <w:tc>
          <w:tcPr>
            <w:tcW w:w="1276" w:type="dxa"/>
          </w:tcPr>
          <w:p w14:paraId="7CADBA6D"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2410" w:type="dxa"/>
          </w:tcPr>
          <w:p w14:paraId="2FD5EE52"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8,522</w:t>
            </w:r>
          </w:p>
        </w:tc>
        <w:tc>
          <w:tcPr>
            <w:tcW w:w="2205" w:type="dxa"/>
          </w:tcPr>
          <w:p w14:paraId="3D2489E5"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17,877</w:t>
            </w:r>
          </w:p>
        </w:tc>
      </w:tr>
      <w:tr w:rsidR="00F06DE8" w:rsidRPr="00F06DE8" w14:paraId="06D83889" w14:textId="77777777" w:rsidTr="00190AAA">
        <w:trPr>
          <w:trHeight w:val="283"/>
        </w:trPr>
        <w:tc>
          <w:tcPr>
            <w:tcW w:w="3964" w:type="dxa"/>
          </w:tcPr>
          <w:p w14:paraId="2B592C3F"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Administrative expenses</w:t>
            </w:r>
          </w:p>
        </w:tc>
        <w:tc>
          <w:tcPr>
            <w:tcW w:w="1276" w:type="dxa"/>
          </w:tcPr>
          <w:p w14:paraId="1703392B"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2410" w:type="dxa"/>
          </w:tcPr>
          <w:p w14:paraId="71B4D6A6"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(19,144)</w:t>
            </w:r>
          </w:p>
        </w:tc>
        <w:tc>
          <w:tcPr>
            <w:tcW w:w="2205" w:type="dxa"/>
          </w:tcPr>
          <w:p w14:paraId="419B88B4"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(17,734)</w:t>
            </w:r>
          </w:p>
        </w:tc>
      </w:tr>
      <w:tr w:rsidR="00F06DE8" w:rsidRPr="00F06DE8" w14:paraId="0DC2B5FF" w14:textId="77777777" w:rsidTr="00190AAA">
        <w:trPr>
          <w:trHeight w:val="283"/>
        </w:trPr>
        <w:tc>
          <w:tcPr>
            <w:tcW w:w="3964" w:type="dxa"/>
          </w:tcPr>
          <w:p w14:paraId="2FFD9CC3"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Fair value adjustment on fuel derivative</w:t>
            </w:r>
          </w:p>
        </w:tc>
        <w:tc>
          <w:tcPr>
            <w:tcW w:w="1276" w:type="dxa"/>
          </w:tcPr>
          <w:p w14:paraId="2F73B923"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ab/>
              <w:t>22</w:t>
            </w:r>
          </w:p>
        </w:tc>
        <w:tc>
          <w:tcPr>
            <w:tcW w:w="2410" w:type="dxa"/>
          </w:tcPr>
          <w:p w14:paraId="05923475"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(4,466)</w:t>
            </w:r>
          </w:p>
        </w:tc>
        <w:tc>
          <w:tcPr>
            <w:tcW w:w="2205" w:type="dxa"/>
          </w:tcPr>
          <w:p w14:paraId="54F31D95"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979</w:t>
            </w:r>
          </w:p>
        </w:tc>
      </w:tr>
      <w:tr w:rsidR="00F06DE8" w:rsidRPr="00F06DE8" w14:paraId="43CE8B30" w14:textId="77777777" w:rsidTr="00190AAA">
        <w:trPr>
          <w:trHeight w:val="283"/>
        </w:trPr>
        <w:tc>
          <w:tcPr>
            <w:tcW w:w="3964" w:type="dxa"/>
          </w:tcPr>
          <w:p w14:paraId="01CCBB73"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Other income</w:t>
            </w:r>
          </w:p>
        </w:tc>
        <w:tc>
          <w:tcPr>
            <w:tcW w:w="1276" w:type="dxa"/>
          </w:tcPr>
          <w:p w14:paraId="263FED04"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ab/>
              <w:t>8</w:t>
            </w:r>
          </w:p>
        </w:tc>
        <w:tc>
          <w:tcPr>
            <w:tcW w:w="2410" w:type="dxa"/>
          </w:tcPr>
          <w:p w14:paraId="7D747BCF"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62</w:t>
            </w:r>
          </w:p>
        </w:tc>
        <w:tc>
          <w:tcPr>
            <w:tcW w:w="2205" w:type="dxa"/>
          </w:tcPr>
          <w:p w14:paraId="78BE9E5F"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82</w:t>
            </w:r>
          </w:p>
        </w:tc>
      </w:tr>
      <w:tr w:rsidR="00F06DE8" w:rsidRPr="00F06DE8" w14:paraId="2BBBC32C" w14:textId="77777777" w:rsidTr="00190AAA">
        <w:trPr>
          <w:trHeight w:val="283"/>
        </w:trPr>
        <w:tc>
          <w:tcPr>
            <w:tcW w:w="3964" w:type="dxa"/>
          </w:tcPr>
          <w:p w14:paraId="65BE80D5"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b/>
                <w:bCs/>
                <w:color w:val="000000" w:themeColor="text1"/>
                <w:sz w:val="20"/>
                <w:szCs w:val="20"/>
              </w:rPr>
              <w:t>Operating (loss)/profit</w:t>
            </w:r>
          </w:p>
        </w:tc>
        <w:tc>
          <w:tcPr>
            <w:tcW w:w="1276" w:type="dxa"/>
          </w:tcPr>
          <w:p w14:paraId="586167C2"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ab/>
              <w:t>6</w:t>
            </w:r>
          </w:p>
        </w:tc>
        <w:tc>
          <w:tcPr>
            <w:tcW w:w="2410" w:type="dxa"/>
          </w:tcPr>
          <w:p w14:paraId="2BD66B66"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(15,026)</w:t>
            </w:r>
          </w:p>
        </w:tc>
        <w:tc>
          <w:tcPr>
            <w:tcW w:w="2205" w:type="dxa"/>
          </w:tcPr>
          <w:p w14:paraId="5BE2ED70"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b/>
                <w:bCs/>
                <w:color w:val="000000" w:themeColor="text1"/>
                <w:sz w:val="20"/>
                <w:szCs w:val="20"/>
              </w:rPr>
              <w:t>1,204</w:t>
            </w:r>
          </w:p>
        </w:tc>
      </w:tr>
      <w:tr w:rsidR="00F06DE8" w:rsidRPr="00F06DE8" w14:paraId="4D605D71" w14:textId="77777777" w:rsidTr="00190AAA">
        <w:trPr>
          <w:trHeight w:val="283"/>
        </w:trPr>
        <w:tc>
          <w:tcPr>
            <w:tcW w:w="3964" w:type="dxa"/>
          </w:tcPr>
          <w:p w14:paraId="5D3B2E86"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Finance income</w:t>
            </w:r>
          </w:p>
        </w:tc>
        <w:tc>
          <w:tcPr>
            <w:tcW w:w="1276" w:type="dxa"/>
          </w:tcPr>
          <w:p w14:paraId="4274A5B8"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ab/>
              <w:t>7</w:t>
            </w:r>
          </w:p>
        </w:tc>
        <w:tc>
          <w:tcPr>
            <w:tcW w:w="2410" w:type="dxa"/>
          </w:tcPr>
          <w:p w14:paraId="100651EC"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9,411</w:t>
            </w:r>
          </w:p>
        </w:tc>
        <w:tc>
          <w:tcPr>
            <w:tcW w:w="2205" w:type="dxa"/>
          </w:tcPr>
          <w:p w14:paraId="5D81888C"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6,427</w:t>
            </w:r>
          </w:p>
        </w:tc>
      </w:tr>
      <w:tr w:rsidR="00F06DE8" w:rsidRPr="00F06DE8" w14:paraId="7741D0D5" w14:textId="77777777" w:rsidTr="00190AAA">
        <w:trPr>
          <w:trHeight w:val="283"/>
        </w:trPr>
        <w:tc>
          <w:tcPr>
            <w:tcW w:w="3964" w:type="dxa"/>
          </w:tcPr>
          <w:p w14:paraId="04ED9830"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b/>
                <w:bCs/>
                <w:color w:val="000000" w:themeColor="text1"/>
                <w:sz w:val="20"/>
                <w:szCs w:val="20"/>
              </w:rPr>
              <w:t>(Loss) / profit before tax</w:t>
            </w:r>
          </w:p>
        </w:tc>
        <w:tc>
          <w:tcPr>
            <w:tcW w:w="1276" w:type="dxa"/>
          </w:tcPr>
          <w:p w14:paraId="29F41EA3"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2410" w:type="dxa"/>
          </w:tcPr>
          <w:p w14:paraId="15482BB5"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(5,615)</w:t>
            </w:r>
          </w:p>
        </w:tc>
        <w:tc>
          <w:tcPr>
            <w:tcW w:w="2205" w:type="dxa"/>
          </w:tcPr>
          <w:p w14:paraId="0CC18617"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7,631</w:t>
            </w:r>
          </w:p>
        </w:tc>
      </w:tr>
      <w:tr w:rsidR="00F06DE8" w:rsidRPr="00F06DE8" w14:paraId="5CA908F0" w14:textId="77777777" w:rsidTr="00190AAA">
        <w:trPr>
          <w:trHeight w:val="283"/>
        </w:trPr>
        <w:tc>
          <w:tcPr>
            <w:tcW w:w="3964" w:type="dxa"/>
          </w:tcPr>
          <w:p w14:paraId="32F5693A"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color w:val="000000" w:themeColor="text1"/>
                <w:sz w:val="20"/>
                <w:szCs w:val="20"/>
              </w:rPr>
              <w:t>Tax on (loss) / profit</w:t>
            </w:r>
          </w:p>
        </w:tc>
        <w:tc>
          <w:tcPr>
            <w:tcW w:w="1276" w:type="dxa"/>
          </w:tcPr>
          <w:p w14:paraId="0BD2947D"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ab/>
              <w:t>9</w:t>
            </w:r>
          </w:p>
        </w:tc>
        <w:tc>
          <w:tcPr>
            <w:tcW w:w="2410" w:type="dxa"/>
          </w:tcPr>
          <w:p w14:paraId="28973EA7"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(12,889)</w:t>
            </w:r>
          </w:p>
        </w:tc>
        <w:tc>
          <w:tcPr>
            <w:tcW w:w="2205" w:type="dxa"/>
          </w:tcPr>
          <w:p w14:paraId="4D4B4BD5" w14:textId="77777777" w:rsidR="00F06DE8" w:rsidRPr="00F06DE8" w:rsidRDefault="00F06DE8" w:rsidP="00190AAA">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F06DE8">
              <w:rPr>
                <w:rFonts w:cs="Arial"/>
                <w:color w:val="000000" w:themeColor="text1"/>
                <w:sz w:val="20"/>
                <w:szCs w:val="20"/>
              </w:rPr>
              <w:t>(4,774)</w:t>
            </w:r>
          </w:p>
        </w:tc>
      </w:tr>
      <w:tr w:rsidR="00F06DE8" w:rsidRPr="00F06DE8" w14:paraId="2C2873F5" w14:textId="77777777" w:rsidTr="00190AAA">
        <w:trPr>
          <w:trHeight w:val="283"/>
        </w:trPr>
        <w:tc>
          <w:tcPr>
            <w:tcW w:w="3964" w:type="dxa"/>
          </w:tcPr>
          <w:p w14:paraId="5BC8C1DE" w14:textId="77777777" w:rsidR="00F06DE8" w:rsidRPr="00F06DE8" w:rsidRDefault="00F06DE8" w:rsidP="00190AAA">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F06DE8">
              <w:rPr>
                <w:rFonts w:cs="Arial"/>
                <w:b/>
                <w:bCs/>
                <w:color w:val="000000" w:themeColor="text1"/>
                <w:sz w:val="20"/>
                <w:szCs w:val="20"/>
              </w:rPr>
              <w:t>(Loss)/profit for the period</w:t>
            </w:r>
          </w:p>
        </w:tc>
        <w:tc>
          <w:tcPr>
            <w:tcW w:w="1276" w:type="dxa"/>
          </w:tcPr>
          <w:p w14:paraId="3FC243F4" w14:textId="77777777" w:rsidR="00F06DE8" w:rsidRPr="00F06DE8" w:rsidRDefault="00F06DE8" w:rsidP="00190AAA">
            <w:pPr>
              <w:autoSpaceDE w:val="0"/>
              <w:autoSpaceDN w:val="0"/>
              <w:adjustRightInd w:val="0"/>
              <w:spacing w:line="240" w:lineRule="auto"/>
              <w:rPr>
                <w:rFonts w:cs="Arial"/>
                <w:color w:val="000000" w:themeColor="text1"/>
                <w:sz w:val="20"/>
                <w:szCs w:val="20"/>
              </w:rPr>
            </w:pPr>
          </w:p>
        </w:tc>
        <w:tc>
          <w:tcPr>
            <w:tcW w:w="2410" w:type="dxa"/>
          </w:tcPr>
          <w:p w14:paraId="1AB5CD79"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(18,504)</w:t>
            </w:r>
          </w:p>
        </w:tc>
        <w:tc>
          <w:tcPr>
            <w:tcW w:w="2205" w:type="dxa"/>
          </w:tcPr>
          <w:p w14:paraId="4B9848AA" w14:textId="77777777" w:rsidR="00F06DE8" w:rsidRPr="00F06DE8" w:rsidRDefault="00F06DE8" w:rsidP="00190AAA">
            <w:pPr>
              <w:autoSpaceDE w:val="0"/>
              <w:autoSpaceDN w:val="0"/>
              <w:adjustRightInd w:val="0"/>
              <w:spacing w:line="240" w:lineRule="auto"/>
              <w:jc w:val="right"/>
              <w:textAlignment w:val="center"/>
              <w:rPr>
                <w:rFonts w:cs="Arial"/>
                <w:color w:val="000000" w:themeColor="text1"/>
                <w:sz w:val="20"/>
                <w:szCs w:val="20"/>
              </w:rPr>
            </w:pPr>
            <w:r w:rsidRPr="00F06DE8">
              <w:rPr>
                <w:rFonts w:cs="Arial"/>
                <w:b/>
                <w:bCs/>
                <w:color w:val="000000" w:themeColor="text1"/>
                <w:sz w:val="20"/>
                <w:szCs w:val="20"/>
              </w:rPr>
              <w:t>2,857</w:t>
            </w:r>
          </w:p>
        </w:tc>
      </w:tr>
    </w:tbl>
    <w:p w14:paraId="1220DB27" w14:textId="77777777" w:rsidR="00F06DE8" w:rsidRPr="00F06DE8" w:rsidRDefault="00F06DE8" w:rsidP="00F06DE8">
      <w:pPr>
        <w:pStyle w:val="FinancialHeading2"/>
        <w:spacing w:line="240" w:lineRule="auto"/>
        <w:ind w:left="397"/>
        <w:rPr>
          <w:rFonts w:ascii="Arial" w:hAnsi="Arial" w:cs="Arial"/>
          <w:color w:val="000000" w:themeColor="text1"/>
        </w:rPr>
      </w:pPr>
    </w:p>
    <w:p w14:paraId="3FB0EAD3" w14:textId="77777777" w:rsidR="00190AAA" w:rsidRPr="00190AAA" w:rsidRDefault="00190AAA" w:rsidP="00E65F98">
      <w:r w:rsidRPr="00190AAA">
        <w:t>All reported results arise from continuing operations.</w:t>
      </w:r>
    </w:p>
    <w:p w14:paraId="012D6B5C" w14:textId="77777777" w:rsidR="00190AAA" w:rsidRPr="00190AAA" w:rsidRDefault="00190AAA" w:rsidP="00E65F98"/>
    <w:p w14:paraId="16A7E0D9" w14:textId="467C5F92" w:rsidR="00F06DE8" w:rsidRDefault="00190AAA" w:rsidP="00E65F98">
      <w:r w:rsidRPr="00190AAA">
        <w:t>The notes on pages 46 to 76 form part of these consolidated financial statements.</w:t>
      </w:r>
    </w:p>
    <w:p w14:paraId="2DF598DB" w14:textId="77777777" w:rsidR="00190AAA" w:rsidRDefault="00190AAA" w:rsidP="003F4D72">
      <w:pPr>
        <w:spacing w:line="276" w:lineRule="auto"/>
      </w:pPr>
    </w:p>
    <w:p w14:paraId="715A4E12" w14:textId="77777777" w:rsidR="00190AAA" w:rsidRPr="00190AAA" w:rsidRDefault="00190AAA" w:rsidP="00E65F98">
      <w:pPr>
        <w:pStyle w:val="Heading1"/>
        <w:rPr>
          <w:outline/>
          <w:color w:val="00BF28"/>
          <w14:textOutline w14:w="9525" w14:cap="flat" w14:cmpd="sng" w14:algn="ctr">
            <w14:solidFill>
              <w14:srgbClr w14:val="00BF28"/>
            </w14:solidFill>
            <w14:prstDash w14:val="solid"/>
            <w14:round/>
          </w14:textOutline>
          <w14:textFill>
            <w14:noFill/>
          </w14:textFill>
        </w:rPr>
      </w:pPr>
      <w:bookmarkStart w:id="238" w:name="_Toc213058670"/>
      <w:r w:rsidRPr="00190AAA">
        <w:t>Consolidated Statement of Comprehensive Income</w:t>
      </w:r>
      <w:bookmarkEnd w:id="238"/>
      <w:r w:rsidRPr="00190AAA">
        <w:t xml:space="preserve"> </w:t>
      </w:r>
    </w:p>
    <w:p w14:paraId="3071F82F" w14:textId="77777777" w:rsidR="00190AAA" w:rsidRDefault="00190AAA" w:rsidP="00190AAA">
      <w:pPr>
        <w:spacing w:line="276" w:lineRule="auto"/>
        <w:rPr>
          <w:rFonts w:cs="Arial"/>
          <w:b/>
          <w:bCs/>
        </w:rPr>
      </w:pPr>
      <w:r w:rsidRPr="00190AAA">
        <w:rPr>
          <w:rFonts w:cs="Arial"/>
          <w:b/>
          <w:bCs/>
        </w:rPr>
        <w:t>for the 52 weeks ended 30 March 2025</w:t>
      </w:r>
    </w:p>
    <w:p w14:paraId="0B9A630B" w14:textId="77777777" w:rsidR="00190AAA" w:rsidRDefault="00190AAA" w:rsidP="00190AAA">
      <w:pPr>
        <w:spacing w:line="276" w:lineRule="auto"/>
        <w:rPr>
          <w:rFonts w:cs="Arial"/>
          <w:b/>
          <w:bCs/>
        </w:rPr>
      </w:pPr>
    </w:p>
    <w:tbl>
      <w:tblPr>
        <w:tblStyle w:val="TableGrid"/>
        <w:tblW w:w="0" w:type="auto"/>
        <w:tblLayout w:type="fixed"/>
        <w:tblLook w:val="0000" w:firstRow="0" w:lastRow="0" w:firstColumn="0" w:lastColumn="0" w:noHBand="0" w:noVBand="0"/>
      </w:tblPr>
      <w:tblGrid>
        <w:gridCol w:w="5291"/>
        <w:gridCol w:w="1517"/>
        <w:gridCol w:w="1516"/>
        <w:gridCol w:w="1531"/>
      </w:tblGrid>
      <w:tr w:rsidR="001A5A4F" w:rsidRPr="001A5A4F" w14:paraId="5C980FF4" w14:textId="77777777" w:rsidTr="001A5A4F">
        <w:trPr>
          <w:trHeight w:val="283"/>
        </w:trPr>
        <w:tc>
          <w:tcPr>
            <w:tcW w:w="5291" w:type="dxa"/>
          </w:tcPr>
          <w:p w14:paraId="5EB0BFDE" w14:textId="77777777" w:rsidR="001A5A4F" w:rsidRPr="001A5A4F" w:rsidRDefault="001A5A4F" w:rsidP="001A5A4F">
            <w:pPr>
              <w:spacing w:line="240" w:lineRule="auto"/>
              <w:rPr>
                <w:color w:val="000000" w:themeColor="text1"/>
                <w:sz w:val="20"/>
                <w:szCs w:val="20"/>
              </w:rPr>
            </w:pPr>
          </w:p>
        </w:tc>
        <w:tc>
          <w:tcPr>
            <w:tcW w:w="1517" w:type="dxa"/>
          </w:tcPr>
          <w:p w14:paraId="3DBD8084"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Notes</w:t>
            </w:r>
          </w:p>
        </w:tc>
        <w:tc>
          <w:tcPr>
            <w:tcW w:w="1516" w:type="dxa"/>
          </w:tcPr>
          <w:p w14:paraId="29F80BC4"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52 weeks ended</w:t>
            </w:r>
          </w:p>
          <w:p w14:paraId="2BE82071"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30 March 2025</w:t>
            </w:r>
          </w:p>
          <w:p w14:paraId="03315869"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£’000</w:t>
            </w:r>
          </w:p>
        </w:tc>
        <w:tc>
          <w:tcPr>
            <w:tcW w:w="1531" w:type="dxa"/>
          </w:tcPr>
          <w:p w14:paraId="171960F4"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53 weeks ended</w:t>
            </w:r>
          </w:p>
          <w:p w14:paraId="43A93BF2"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31 March 2024</w:t>
            </w:r>
          </w:p>
          <w:p w14:paraId="4E6D9272"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£’000</w:t>
            </w:r>
          </w:p>
        </w:tc>
      </w:tr>
      <w:tr w:rsidR="001A5A4F" w:rsidRPr="001A5A4F" w14:paraId="4D5382B4" w14:textId="77777777" w:rsidTr="001A5A4F">
        <w:trPr>
          <w:trHeight w:val="283"/>
        </w:trPr>
        <w:tc>
          <w:tcPr>
            <w:tcW w:w="5291" w:type="dxa"/>
          </w:tcPr>
          <w:p w14:paraId="50A8FD19"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(Loss) / profit for the period</w:t>
            </w:r>
          </w:p>
        </w:tc>
        <w:tc>
          <w:tcPr>
            <w:tcW w:w="1517" w:type="dxa"/>
          </w:tcPr>
          <w:p w14:paraId="7E0292C7" w14:textId="77777777" w:rsidR="001A5A4F" w:rsidRPr="001A5A4F" w:rsidRDefault="001A5A4F" w:rsidP="001A5A4F">
            <w:pPr>
              <w:spacing w:line="240" w:lineRule="auto"/>
              <w:rPr>
                <w:color w:val="000000" w:themeColor="text1"/>
                <w:sz w:val="20"/>
                <w:szCs w:val="20"/>
              </w:rPr>
            </w:pPr>
          </w:p>
        </w:tc>
        <w:tc>
          <w:tcPr>
            <w:tcW w:w="1516" w:type="dxa"/>
          </w:tcPr>
          <w:p w14:paraId="43C5CF4F"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(18,504)</w:t>
            </w:r>
          </w:p>
        </w:tc>
        <w:tc>
          <w:tcPr>
            <w:tcW w:w="1531" w:type="dxa"/>
          </w:tcPr>
          <w:p w14:paraId="16AEDCA6"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2,857</w:t>
            </w:r>
          </w:p>
        </w:tc>
      </w:tr>
      <w:tr w:rsidR="001A5A4F" w:rsidRPr="001A5A4F" w14:paraId="6F045282" w14:textId="77777777" w:rsidTr="001A5A4F">
        <w:trPr>
          <w:trHeight w:val="283"/>
        </w:trPr>
        <w:tc>
          <w:tcPr>
            <w:tcW w:w="5291" w:type="dxa"/>
          </w:tcPr>
          <w:p w14:paraId="17CA084A"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 xml:space="preserve">Other comprehensive income </w:t>
            </w:r>
          </w:p>
        </w:tc>
        <w:tc>
          <w:tcPr>
            <w:tcW w:w="1517" w:type="dxa"/>
          </w:tcPr>
          <w:p w14:paraId="3CACAAA4" w14:textId="77777777" w:rsidR="001A5A4F" w:rsidRPr="001A5A4F" w:rsidRDefault="001A5A4F" w:rsidP="001A5A4F">
            <w:pPr>
              <w:spacing w:line="240" w:lineRule="auto"/>
              <w:rPr>
                <w:color w:val="000000" w:themeColor="text1"/>
                <w:sz w:val="20"/>
                <w:szCs w:val="20"/>
              </w:rPr>
            </w:pPr>
          </w:p>
        </w:tc>
        <w:tc>
          <w:tcPr>
            <w:tcW w:w="1516" w:type="dxa"/>
          </w:tcPr>
          <w:p w14:paraId="471B326A" w14:textId="77777777" w:rsidR="001A5A4F" w:rsidRPr="001A5A4F" w:rsidRDefault="001A5A4F" w:rsidP="001A5A4F">
            <w:pPr>
              <w:spacing w:line="240" w:lineRule="auto"/>
              <w:rPr>
                <w:color w:val="000000" w:themeColor="text1"/>
                <w:sz w:val="20"/>
                <w:szCs w:val="20"/>
              </w:rPr>
            </w:pPr>
          </w:p>
        </w:tc>
        <w:tc>
          <w:tcPr>
            <w:tcW w:w="1531" w:type="dxa"/>
          </w:tcPr>
          <w:p w14:paraId="7969E85E" w14:textId="77777777" w:rsidR="001A5A4F" w:rsidRPr="001A5A4F" w:rsidRDefault="001A5A4F" w:rsidP="001A5A4F">
            <w:pPr>
              <w:spacing w:line="240" w:lineRule="auto"/>
              <w:rPr>
                <w:color w:val="000000" w:themeColor="text1"/>
                <w:sz w:val="20"/>
                <w:szCs w:val="20"/>
              </w:rPr>
            </w:pPr>
          </w:p>
        </w:tc>
      </w:tr>
      <w:tr w:rsidR="001A5A4F" w:rsidRPr="001A5A4F" w14:paraId="2FAD42AE" w14:textId="77777777" w:rsidTr="001A5A4F">
        <w:trPr>
          <w:trHeight w:val="283"/>
        </w:trPr>
        <w:tc>
          <w:tcPr>
            <w:tcW w:w="5291" w:type="dxa"/>
          </w:tcPr>
          <w:p w14:paraId="13DE48E1"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Items that will not be reclassified subsequently to profit or loss:</w:t>
            </w:r>
          </w:p>
        </w:tc>
        <w:tc>
          <w:tcPr>
            <w:tcW w:w="1517" w:type="dxa"/>
          </w:tcPr>
          <w:p w14:paraId="519E98C2" w14:textId="77777777" w:rsidR="001A5A4F" w:rsidRPr="001A5A4F" w:rsidRDefault="001A5A4F" w:rsidP="001A5A4F">
            <w:pPr>
              <w:spacing w:line="240" w:lineRule="auto"/>
              <w:rPr>
                <w:color w:val="000000" w:themeColor="text1"/>
                <w:sz w:val="20"/>
                <w:szCs w:val="20"/>
              </w:rPr>
            </w:pPr>
          </w:p>
        </w:tc>
        <w:tc>
          <w:tcPr>
            <w:tcW w:w="1516" w:type="dxa"/>
          </w:tcPr>
          <w:p w14:paraId="4C572D15" w14:textId="77777777" w:rsidR="001A5A4F" w:rsidRPr="001A5A4F" w:rsidRDefault="001A5A4F" w:rsidP="001A5A4F">
            <w:pPr>
              <w:spacing w:line="240" w:lineRule="auto"/>
              <w:rPr>
                <w:color w:val="000000" w:themeColor="text1"/>
                <w:sz w:val="20"/>
                <w:szCs w:val="20"/>
              </w:rPr>
            </w:pPr>
          </w:p>
        </w:tc>
        <w:tc>
          <w:tcPr>
            <w:tcW w:w="1531" w:type="dxa"/>
          </w:tcPr>
          <w:p w14:paraId="476959F7" w14:textId="77777777" w:rsidR="001A5A4F" w:rsidRPr="001A5A4F" w:rsidRDefault="001A5A4F" w:rsidP="001A5A4F">
            <w:pPr>
              <w:spacing w:line="240" w:lineRule="auto"/>
              <w:rPr>
                <w:color w:val="000000" w:themeColor="text1"/>
                <w:sz w:val="20"/>
                <w:szCs w:val="20"/>
              </w:rPr>
            </w:pPr>
          </w:p>
        </w:tc>
      </w:tr>
      <w:tr w:rsidR="001A5A4F" w:rsidRPr="001A5A4F" w14:paraId="70F52F0D" w14:textId="77777777" w:rsidTr="001A5A4F">
        <w:trPr>
          <w:trHeight w:val="283"/>
        </w:trPr>
        <w:tc>
          <w:tcPr>
            <w:tcW w:w="5291" w:type="dxa"/>
          </w:tcPr>
          <w:p w14:paraId="24E3E0E8"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Actuarial surpluses on defined benefit pension schemes</w:t>
            </w:r>
          </w:p>
        </w:tc>
        <w:tc>
          <w:tcPr>
            <w:tcW w:w="1517" w:type="dxa"/>
          </w:tcPr>
          <w:p w14:paraId="5537FA00"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20(ii)</w:t>
            </w:r>
          </w:p>
        </w:tc>
        <w:tc>
          <w:tcPr>
            <w:tcW w:w="1516" w:type="dxa"/>
          </w:tcPr>
          <w:p w14:paraId="5F7EA40B"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165,493</w:t>
            </w:r>
          </w:p>
        </w:tc>
        <w:tc>
          <w:tcPr>
            <w:tcW w:w="1531" w:type="dxa"/>
          </w:tcPr>
          <w:p w14:paraId="1868363B"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55,701</w:t>
            </w:r>
          </w:p>
        </w:tc>
      </w:tr>
      <w:tr w:rsidR="001A5A4F" w:rsidRPr="001A5A4F" w14:paraId="227D5F0B" w14:textId="77777777" w:rsidTr="001A5A4F">
        <w:trPr>
          <w:trHeight w:val="283"/>
        </w:trPr>
        <w:tc>
          <w:tcPr>
            <w:tcW w:w="5291" w:type="dxa"/>
          </w:tcPr>
          <w:p w14:paraId="091AF9B7"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Tax relating to other comprehensive income:</w:t>
            </w:r>
          </w:p>
        </w:tc>
        <w:tc>
          <w:tcPr>
            <w:tcW w:w="1517" w:type="dxa"/>
          </w:tcPr>
          <w:p w14:paraId="6AEA9BD9" w14:textId="77777777" w:rsidR="001A5A4F" w:rsidRPr="001A5A4F" w:rsidRDefault="001A5A4F" w:rsidP="001A5A4F">
            <w:pPr>
              <w:spacing w:line="240" w:lineRule="auto"/>
              <w:rPr>
                <w:color w:val="000000" w:themeColor="text1"/>
                <w:sz w:val="20"/>
                <w:szCs w:val="20"/>
              </w:rPr>
            </w:pPr>
          </w:p>
        </w:tc>
        <w:tc>
          <w:tcPr>
            <w:tcW w:w="1516" w:type="dxa"/>
          </w:tcPr>
          <w:p w14:paraId="4569C0C7" w14:textId="77777777" w:rsidR="001A5A4F" w:rsidRPr="001A5A4F" w:rsidRDefault="001A5A4F" w:rsidP="001A5A4F">
            <w:pPr>
              <w:spacing w:line="240" w:lineRule="auto"/>
              <w:rPr>
                <w:color w:val="000000" w:themeColor="text1"/>
                <w:sz w:val="20"/>
                <w:szCs w:val="20"/>
              </w:rPr>
            </w:pPr>
          </w:p>
        </w:tc>
        <w:tc>
          <w:tcPr>
            <w:tcW w:w="1531" w:type="dxa"/>
          </w:tcPr>
          <w:p w14:paraId="0515702F" w14:textId="77777777" w:rsidR="001A5A4F" w:rsidRPr="001A5A4F" w:rsidRDefault="001A5A4F" w:rsidP="001A5A4F">
            <w:pPr>
              <w:spacing w:line="240" w:lineRule="auto"/>
              <w:rPr>
                <w:color w:val="000000" w:themeColor="text1"/>
                <w:sz w:val="20"/>
                <w:szCs w:val="20"/>
              </w:rPr>
            </w:pPr>
          </w:p>
        </w:tc>
      </w:tr>
      <w:tr w:rsidR="001A5A4F" w:rsidRPr="001A5A4F" w14:paraId="4ED0BFE8" w14:textId="77777777" w:rsidTr="001A5A4F">
        <w:trPr>
          <w:trHeight w:val="283"/>
        </w:trPr>
        <w:tc>
          <w:tcPr>
            <w:tcW w:w="5291" w:type="dxa"/>
          </w:tcPr>
          <w:p w14:paraId="3EB3E3AA"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Defined benefit pension schemes</w:t>
            </w:r>
          </w:p>
        </w:tc>
        <w:tc>
          <w:tcPr>
            <w:tcW w:w="1517" w:type="dxa"/>
          </w:tcPr>
          <w:p w14:paraId="1631D337"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9(d)</w:t>
            </w:r>
          </w:p>
        </w:tc>
        <w:tc>
          <w:tcPr>
            <w:tcW w:w="1516" w:type="dxa"/>
          </w:tcPr>
          <w:p w14:paraId="1080B262"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(41,374)</w:t>
            </w:r>
          </w:p>
        </w:tc>
        <w:tc>
          <w:tcPr>
            <w:tcW w:w="1531" w:type="dxa"/>
          </w:tcPr>
          <w:p w14:paraId="3448256E" w14:textId="77777777" w:rsidR="001A5A4F" w:rsidRPr="001A5A4F" w:rsidRDefault="001A5A4F" w:rsidP="001A5A4F">
            <w:pPr>
              <w:spacing w:line="240" w:lineRule="auto"/>
              <w:rPr>
                <w:rFonts w:cs="Axiforma"/>
                <w:b/>
                <w:bCs/>
                <w:color w:val="000000" w:themeColor="text1"/>
                <w:sz w:val="20"/>
                <w:szCs w:val="20"/>
              </w:rPr>
            </w:pPr>
            <w:r w:rsidRPr="001A5A4F">
              <w:rPr>
                <w:rFonts w:cs="Axiforma"/>
                <w:color w:val="000000" w:themeColor="text1"/>
                <w:sz w:val="20"/>
                <w:szCs w:val="20"/>
              </w:rPr>
              <w:t>(13,927)</w:t>
            </w:r>
          </w:p>
        </w:tc>
      </w:tr>
      <w:tr w:rsidR="001A5A4F" w:rsidRPr="001A5A4F" w14:paraId="4E388166" w14:textId="77777777" w:rsidTr="001A5A4F">
        <w:trPr>
          <w:trHeight w:val="283"/>
        </w:trPr>
        <w:tc>
          <w:tcPr>
            <w:tcW w:w="5291" w:type="dxa"/>
          </w:tcPr>
          <w:p w14:paraId="395F040B"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Other comprehensive income for the period, net of tax</w:t>
            </w:r>
          </w:p>
        </w:tc>
        <w:tc>
          <w:tcPr>
            <w:tcW w:w="1517" w:type="dxa"/>
          </w:tcPr>
          <w:p w14:paraId="0D2AEEE5" w14:textId="77777777" w:rsidR="001A5A4F" w:rsidRPr="001A5A4F" w:rsidRDefault="001A5A4F" w:rsidP="001A5A4F">
            <w:pPr>
              <w:spacing w:line="240" w:lineRule="auto"/>
              <w:rPr>
                <w:color w:val="000000" w:themeColor="text1"/>
                <w:sz w:val="20"/>
                <w:szCs w:val="20"/>
              </w:rPr>
            </w:pPr>
          </w:p>
        </w:tc>
        <w:tc>
          <w:tcPr>
            <w:tcW w:w="1516" w:type="dxa"/>
          </w:tcPr>
          <w:p w14:paraId="431B72F3"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124,119</w:t>
            </w:r>
          </w:p>
        </w:tc>
        <w:tc>
          <w:tcPr>
            <w:tcW w:w="1531" w:type="dxa"/>
          </w:tcPr>
          <w:p w14:paraId="0F15B11E"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41,774</w:t>
            </w:r>
          </w:p>
        </w:tc>
      </w:tr>
      <w:tr w:rsidR="001A5A4F" w:rsidRPr="001A5A4F" w14:paraId="5B3D7DBD" w14:textId="77777777" w:rsidTr="001A5A4F">
        <w:trPr>
          <w:trHeight w:val="283"/>
        </w:trPr>
        <w:tc>
          <w:tcPr>
            <w:tcW w:w="5291" w:type="dxa"/>
          </w:tcPr>
          <w:p w14:paraId="68C8F40E"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Total comprehensive income for the period</w:t>
            </w:r>
          </w:p>
        </w:tc>
        <w:tc>
          <w:tcPr>
            <w:tcW w:w="1517" w:type="dxa"/>
          </w:tcPr>
          <w:p w14:paraId="00479A4D" w14:textId="77777777" w:rsidR="001A5A4F" w:rsidRPr="001A5A4F" w:rsidRDefault="001A5A4F" w:rsidP="001A5A4F">
            <w:pPr>
              <w:spacing w:line="240" w:lineRule="auto"/>
              <w:rPr>
                <w:color w:val="000000" w:themeColor="text1"/>
                <w:sz w:val="20"/>
                <w:szCs w:val="20"/>
              </w:rPr>
            </w:pPr>
          </w:p>
        </w:tc>
        <w:tc>
          <w:tcPr>
            <w:tcW w:w="1516" w:type="dxa"/>
          </w:tcPr>
          <w:p w14:paraId="55F72DF3"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105,615</w:t>
            </w:r>
          </w:p>
        </w:tc>
        <w:tc>
          <w:tcPr>
            <w:tcW w:w="1531" w:type="dxa"/>
          </w:tcPr>
          <w:p w14:paraId="06AAA30A" w14:textId="77777777" w:rsidR="001A5A4F" w:rsidRPr="001A5A4F" w:rsidRDefault="001A5A4F" w:rsidP="001A5A4F">
            <w:pPr>
              <w:spacing w:line="240" w:lineRule="auto"/>
              <w:rPr>
                <w:rFonts w:cs="Axiforma"/>
                <w:b/>
                <w:bCs/>
                <w:color w:val="000000" w:themeColor="text1"/>
                <w:sz w:val="20"/>
                <w:szCs w:val="20"/>
              </w:rPr>
            </w:pPr>
            <w:r w:rsidRPr="001A5A4F">
              <w:rPr>
                <w:rFonts w:cs="Axiforma"/>
                <w:b/>
                <w:bCs/>
                <w:color w:val="000000" w:themeColor="text1"/>
                <w:sz w:val="20"/>
                <w:szCs w:val="20"/>
              </w:rPr>
              <w:t>44,631</w:t>
            </w:r>
          </w:p>
        </w:tc>
      </w:tr>
    </w:tbl>
    <w:p w14:paraId="055B5DD0" w14:textId="77777777" w:rsidR="00190AAA" w:rsidRPr="00190AAA" w:rsidRDefault="00190AAA" w:rsidP="00190AAA">
      <w:pPr>
        <w:spacing w:line="276" w:lineRule="auto"/>
        <w:rPr>
          <w:rFonts w:cs="Arial"/>
          <w:b/>
          <w:bCs/>
        </w:rPr>
      </w:pPr>
    </w:p>
    <w:p w14:paraId="19DE85E5" w14:textId="77777777" w:rsidR="001A5A4F" w:rsidRPr="001A5A4F" w:rsidRDefault="001A5A4F" w:rsidP="001A5A4F">
      <w:pPr>
        <w:tabs>
          <w:tab w:val="left" w:pos="198"/>
        </w:tabs>
        <w:suppressAutoHyphens/>
        <w:autoSpaceDE w:val="0"/>
        <w:autoSpaceDN w:val="0"/>
        <w:adjustRightInd w:val="0"/>
        <w:spacing w:line="240" w:lineRule="atLeast"/>
        <w:textAlignment w:val="center"/>
        <w:rPr>
          <w:rFonts w:cs="Arial"/>
          <w:color w:val="000000"/>
        </w:rPr>
      </w:pPr>
      <w:r w:rsidRPr="001A5A4F">
        <w:rPr>
          <w:rFonts w:cs="Arial"/>
          <w:color w:val="000000"/>
        </w:rPr>
        <w:t>All reported results arise from continuing operations.</w:t>
      </w:r>
    </w:p>
    <w:p w14:paraId="0EC5ECE3" w14:textId="4D0FE0DF" w:rsidR="00190AAA" w:rsidRDefault="001A5A4F" w:rsidP="001A5A4F">
      <w:pPr>
        <w:rPr>
          <w:rFonts w:cs="Arial"/>
          <w:color w:val="000000"/>
        </w:rPr>
      </w:pPr>
      <w:r w:rsidRPr="001A5A4F">
        <w:rPr>
          <w:rFonts w:cs="Arial"/>
          <w:color w:val="000000"/>
        </w:rPr>
        <w:t>The notes on pages 46 to 76 form part of these consolidated financial statements.</w:t>
      </w:r>
    </w:p>
    <w:p w14:paraId="082E5197" w14:textId="77777777" w:rsidR="001A5A4F" w:rsidRPr="001A5A4F" w:rsidRDefault="001A5A4F" w:rsidP="00E65F98">
      <w:pPr>
        <w:pStyle w:val="Heading1"/>
      </w:pPr>
      <w:bookmarkStart w:id="239" w:name="_Toc213058671"/>
      <w:r w:rsidRPr="001A5A4F">
        <w:lastRenderedPageBreak/>
        <w:t>Consolidated Balance Sheet</w:t>
      </w:r>
      <w:bookmarkEnd w:id="239"/>
      <w:r w:rsidRPr="001A5A4F">
        <w:t xml:space="preserve"> </w:t>
      </w:r>
    </w:p>
    <w:p w14:paraId="73FCBBA2" w14:textId="77777777" w:rsidR="001A5A4F" w:rsidRDefault="001A5A4F" w:rsidP="001A5A4F">
      <w:pPr>
        <w:spacing w:line="276" w:lineRule="auto"/>
        <w:rPr>
          <w:b/>
          <w:bCs/>
        </w:rPr>
      </w:pPr>
      <w:proofErr w:type="gramStart"/>
      <w:r w:rsidRPr="001A5A4F">
        <w:rPr>
          <w:b/>
          <w:bCs/>
        </w:rPr>
        <w:t>at</w:t>
      </w:r>
      <w:proofErr w:type="gramEnd"/>
      <w:r w:rsidRPr="001A5A4F">
        <w:rPr>
          <w:b/>
          <w:bCs/>
        </w:rPr>
        <w:t xml:space="preserve"> 30 March 2025</w:t>
      </w:r>
    </w:p>
    <w:p w14:paraId="1E04F675" w14:textId="77777777" w:rsidR="001A5A4F" w:rsidRDefault="001A5A4F" w:rsidP="001A5A4F">
      <w:pPr>
        <w:spacing w:line="276" w:lineRule="auto"/>
        <w:rPr>
          <w:b/>
          <w:bCs/>
        </w:rPr>
      </w:pPr>
    </w:p>
    <w:tbl>
      <w:tblPr>
        <w:tblStyle w:val="TableGrid"/>
        <w:tblW w:w="0" w:type="auto"/>
        <w:tblLayout w:type="fixed"/>
        <w:tblLook w:val="0000" w:firstRow="0" w:lastRow="0" w:firstColumn="0" w:lastColumn="0" w:noHBand="0" w:noVBand="0"/>
      </w:tblPr>
      <w:tblGrid>
        <w:gridCol w:w="5306"/>
        <w:gridCol w:w="1517"/>
        <w:gridCol w:w="1517"/>
        <w:gridCol w:w="1525"/>
      </w:tblGrid>
      <w:tr w:rsidR="001A5A4F" w:rsidRPr="001A5A4F" w14:paraId="2406F2F0" w14:textId="77777777" w:rsidTr="001A5A4F">
        <w:trPr>
          <w:trHeight w:val="283"/>
        </w:trPr>
        <w:tc>
          <w:tcPr>
            <w:tcW w:w="5306" w:type="dxa"/>
          </w:tcPr>
          <w:p w14:paraId="15E932A6" w14:textId="77777777" w:rsidR="001A5A4F" w:rsidRPr="001A5A4F" w:rsidRDefault="001A5A4F" w:rsidP="001A5A4F">
            <w:pPr>
              <w:spacing w:line="240" w:lineRule="auto"/>
              <w:rPr>
                <w:rFonts w:cs="Arial"/>
                <w:sz w:val="18"/>
                <w:szCs w:val="18"/>
              </w:rPr>
            </w:pPr>
          </w:p>
        </w:tc>
        <w:tc>
          <w:tcPr>
            <w:tcW w:w="1517" w:type="dxa"/>
          </w:tcPr>
          <w:p w14:paraId="2E48C700" w14:textId="77777777" w:rsidR="001A5A4F" w:rsidRPr="001A5A4F" w:rsidRDefault="001A5A4F" w:rsidP="001A5A4F">
            <w:pPr>
              <w:spacing w:line="240" w:lineRule="auto"/>
              <w:rPr>
                <w:rFonts w:cs="Arial"/>
                <w:color w:val="000000" w:themeColor="text1"/>
                <w:sz w:val="18"/>
                <w:szCs w:val="18"/>
              </w:rPr>
            </w:pPr>
            <w:r w:rsidRPr="001A5A4F">
              <w:rPr>
                <w:rFonts w:cs="Arial"/>
                <w:b/>
                <w:bCs/>
                <w:color w:val="000000" w:themeColor="text1"/>
                <w:sz w:val="18"/>
                <w:szCs w:val="18"/>
              </w:rPr>
              <w:t>Notes</w:t>
            </w:r>
          </w:p>
        </w:tc>
        <w:tc>
          <w:tcPr>
            <w:tcW w:w="1517" w:type="dxa"/>
          </w:tcPr>
          <w:p w14:paraId="39071A6D" w14:textId="77777777" w:rsidR="001A5A4F" w:rsidRPr="001A5A4F" w:rsidRDefault="001A5A4F" w:rsidP="001A5A4F">
            <w:pPr>
              <w:spacing w:line="240" w:lineRule="auto"/>
              <w:rPr>
                <w:rFonts w:cs="Arial"/>
                <w:b/>
                <w:bCs/>
                <w:color w:val="000000" w:themeColor="text1"/>
                <w:sz w:val="18"/>
                <w:szCs w:val="18"/>
              </w:rPr>
            </w:pPr>
            <w:r w:rsidRPr="001A5A4F">
              <w:rPr>
                <w:rFonts w:cs="Arial"/>
                <w:b/>
                <w:bCs/>
                <w:color w:val="000000" w:themeColor="text1"/>
                <w:sz w:val="18"/>
                <w:szCs w:val="18"/>
              </w:rPr>
              <w:t>30 March 2025</w:t>
            </w:r>
          </w:p>
          <w:p w14:paraId="608D8FC0" w14:textId="77777777" w:rsidR="001A5A4F" w:rsidRPr="001A5A4F" w:rsidRDefault="001A5A4F" w:rsidP="001A5A4F">
            <w:pPr>
              <w:spacing w:line="240" w:lineRule="auto"/>
              <w:rPr>
                <w:rFonts w:cs="Arial"/>
                <w:b/>
                <w:bCs/>
                <w:color w:val="000000" w:themeColor="text1"/>
                <w:sz w:val="18"/>
                <w:szCs w:val="18"/>
              </w:rPr>
            </w:pPr>
            <w:r w:rsidRPr="001A5A4F">
              <w:rPr>
                <w:rFonts w:cs="Arial"/>
                <w:b/>
                <w:bCs/>
                <w:color w:val="000000" w:themeColor="text1"/>
                <w:sz w:val="18"/>
                <w:szCs w:val="18"/>
              </w:rPr>
              <w:t>£’000</w:t>
            </w:r>
          </w:p>
        </w:tc>
        <w:tc>
          <w:tcPr>
            <w:tcW w:w="1525" w:type="dxa"/>
          </w:tcPr>
          <w:p w14:paraId="31D0B5E2" w14:textId="77777777" w:rsidR="001A5A4F" w:rsidRPr="001A5A4F" w:rsidRDefault="001A5A4F" w:rsidP="001A5A4F">
            <w:pPr>
              <w:spacing w:line="240" w:lineRule="auto"/>
              <w:rPr>
                <w:rFonts w:cs="Arial"/>
                <w:b/>
                <w:bCs/>
                <w:color w:val="000000" w:themeColor="text1"/>
                <w:sz w:val="18"/>
                <w:szCs w:val="18"/>
              </w:rPr>
            </w:pPr>
            <w:r w:rsidRPr="001A5A4F">
              <w:rPr>
                <w:rFonts w:cs="Arial"/>
                <w:b/>
                <w:bCs/>
                <w:color w:val="000000" w:themeColor="text1"/>
                <w:sz w:val="18"/>
                <w:szCs w:val="18"/>
              </w:rPr>
              <w:t>31 March 2024</w:t>
            </w:r>
          </w:p>
          <w:p w14:paraId="2EDE5F9E" w14:textId="77777777" w:rsidR="001A5A4F" w:rsidRPr="001A5A4F" w:rsidRDefault="001A5A4F" w:rsidP="001A5A4F">
            <w:pPr>
              <w:spacing w:line="240" w:lineRule="auto"/>
              <w:rPr>
                <w:rFonts w:cs="Arial"/>
                <w:b/>
                <w:bCs/>
                <w:color w:val="000000" w:themeColor="text1"/>
                <w:sz w:val="18"/>
                <w:szCs w:val="18"/>
              </w:rPr>
            </w:pPr>
            <w:r w:rsidRPr="001A5A4F">
              <w:rPr>
                <w:rFonts w:cs="Arial"/>
                <w:b/>
                <w:bCs/>
                <w:color w:val="000000" w:themeColor="text1"/>
                <w:sz w:val="18"/>
                <w:szCs w:val="18"/>
              </w:rPr>
              <w:t>£’000</w:t>
            </w:r>
          </w:p>
        </w:tc>
      </w:tr>
      <w:tr w:rsidR="001A5A4F" w:rsidRPr="001A5A4F" w14:paraId="619FF393" w14:textId="77777777" w:rsidTr="000525D5">
        <w:trPr>
          <w:trHeight w:val="283"/>
        </w:trPr>
        <w:tc>
          <w:tcPr>
            <w:tcW w:w="5306" w:type="dxa"/>
            <w:vAlign w:val="center"/>
          </w:tcPr>
          <w:p w14:paraId="39A2A00E"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Assets</w:t>
            </w:r>
          </w:p>
        </w:tc>
        <w:tc>
          <w:tcPr>
            <w:tcW w:w="1517" w:type="dxa"/>
          </w:tcPr>
          <w:p w14:paraId="2EE2FBC6" w14:textId="77777777" w:rsidR="001A5A4F" w:rsidRPr="001A5A4F" w:rsidRDefault="001A5A4F" w:rsidP="001A5A4F">
            <w:pPr>
              <w:spacing w:line="240" w:lineRule="auto"/>
              <w:rPr>
                <w:rFonts w:cs="Arial"/>
                <w:sz w:val="18"/>
                <w:szCs w:val="18"/>
              </w:rPr>
            </w:pPr>
          </w:p>
        </w:tc>
        <w:tc>
          <w:tcPr>
            <w:tcW w:w="1517" w:type="dxa"/>
          </w:tcPr>
          <w:p w14:paraId="54E1A7BB" w14:textId="77777777" w:rsidR="001A5A4F" w:rsidRPr="001A5A4F" w:rsidRDefault="001A5A4F" w:rsidP="001A5A4F">
            <w:pPr>
              <w:spacing w:line="240" w:lineRule="auto"/>
              <w:rPr>
                <w:rFonts w:cs="Arial"/>
                <w:sz w:val="18"/>
                <w:szCs w:val="18"/>
              </w:rPr>
            </w:pPr>
          </w:p>
        </w:tc>
        <w:tc>
          <w:tcPr>
            <w:tcW w:w="1525" w:type="dxa"/>
          </w:tcPr>
          <w:p w14:paraId="6FEC91BD" w14:textId="77777777" w:rsidR="001A5A4F" w:rsidRPr="001A5A4F" w:rsidRDefault="001A5A4F" w:rsidP="001A5A4F">
            <w:pPr>
              <w:spacing w:line="240" w:lineRule="auto"/>
              <w:rPr>
                <w:rFonts w:cs="Arial"/>
                <w:sz w:val="18"/>
                <w:szCs w:val="18"/>
              </w:rPr>
            </w:pPr>
          </w:p>
        </w:tc>
      </w:tr>
      <w:tr w:rsidR="001A5A4F" w:rsidRPr="001A5A4F" w14:paraId="68B61B50" w14:textId="77777777" w:rsidTr="000525D5">
        <w:trPr>
          <w:trHeight w:val="283"/>
        </w:trPr>
        <w:tc>
          <w:tcPr>
            <w:tcW w:w="5306" w:type="dxa"/>
            <w:vAlign w:val="center"/>
          </w:tcPr>
          <w:p w14:paraId="5050283E" w14:textId="77777777" w:rsidR="001A5A4F" w:rsidRPr="001A5A4F" w:rsidRDefault="001A5A4F" w:rsidP="000525D5">
            <w:pPr>
              <w:spacing w:line="240" w:lineRule="auto"/>
              <w:rPr>
                <w:rFonts w:cs="Arial"/>
                <w:color w:val="000000"/>
                <w:sz w:val="18"/>
                <w:szCs w:val="18"/>
              </w:rPr>
            </w:pPr>
            <w:r w:rsidRPr="001A5A4F">
              <w:rPr>
                <w:rFonts w:cs="Arial"/>
                <w:b/>
                <w:bCs/>
                <w:i/>
                <w:iCs/>
                <w:color w:val="000000"/>
                <w:sz w:val="18"/>
                <w:szCs w:val="18"/>
                <w:lang w:val="fr-FR"/>
              </w:rPr>
              <w:t>Non</w:t>
            </w:r>
            <w:r w:rsidRPr="001A5A4F">
              <w:rPr>
                <w:rFonts w:cs="Arial"/>
                <w:b/>
                <w:bCs/>
                <w:i/>
                <w:iCs/>
                <w:color w:val="000000"/>
                <w:sz w:val="18"/>
                <w:szCs w:val="18"/>
              </w:rPr>
              <w:t>-current assets</w:t>
            </w:r>
          </w:p>
        </w:tc>
        <w:tc>
          <w:tcPr>
            <w:tcW w:w="1517" w:type="dxa"/>
          </w:tcPr>
          <w:p w14:paraId="2E24A432" w14:textId="77777777" w:rsidR="001A5A4F" w:rsidRPr="001A5A4F" w:rsidRDefault="001A5A4F" w:rsidP="001A5A4F">
            <w:pPr>
              <w:spacing w:line="240" w:lineRule="auto"/>
              <w:rPr>
                <w:rFonts w:cs="Arial"/>
                <w:sz w:val="18"/>
                <w:szCs w:val="18"/>
              </w:rPr>
            </w:pPr>
          </w:p>
        </w:tc>
        <w:tc>
          <w:tcPr>
            <w:tcW w:w="1517" w:type="dxa"/>
          </w:tcPr>
          <w:p w14:paraId="4EBBEB8E" w14:textId="77777777" w:rsidR="001A5A4F" w:rsidRPr="001A5A4F" w:rsidRDefault="001A5A4F" w:rsidP="001A5A4F">
            <w:pPr>
              <w:spacing w:line="240" w:lineRule="auto"/>
              <w:rPr>
                <w:rFonts w:cs="Arial"/>
                <w:sz w:val="18"/>
                <w:szCs w:val="18"/>
              </w:rPr>
            </w:pPr>
          </w:p>
        </w:tc>
        <w:tc>
          <w:tcPr>
            <w:tcW w:w="1525" w:type="dxa"/>
          </w:tcPr>
          <w:p w14:paraId="1A4874D0" w14:textId="77777777" w:rsidR="001A5A4F" w:rsidRPr="001A5A4F" w:rsidRDefault="001A5A4F" w:rsidP="001A5A4F">
            <w:pPr>
              <w:spacing w:line="240" w:lineRule="auto"/>
              <w:rPr>
                <w:rFonts w:cs="Arial"/>
                <w:sz w:val="18"/>
                <w:szCs w:val="18"/>
              </w:rPr>
            </w:pPr>
          </w:p>
        </w:tc>
      </w:tr>
      <w:tr w:rsidR="001A5A4F" w:rsidRPr="001A5A4F" w14:paraId="3450CAF3" w14:textId="77777777" w:rsidTr="000525D5">
        <w:trPr>
          <w:trHeight w:val="283"/>
        </w:trPr>
        <w:tc>
          <w:tcPr>
            <w:tcW w:w="5306" w:type="dxa"/>
            <w:vAlign w:val="center"/>
          </w:tcPr>
          <w:p w14:paraId="2D42BE68"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Property, plant and equipment</w:t>
            </w:r>
          </w:p>
        </w:tc>
        <w:tc>
          <w:tcPr>
            <w:tcW w:w="1517" w:type="dxa"/>
            <w:vAlign w:val="center"/>
          </w:tcPr>
          <w:p w14:paraId="748F564C"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11</w:t>
            </w:r>
          </w:p>
        </w:tc>
        <w:tc>
          <w:tcPr>
            <w:tcW w:w="1517" w:type="dxa"/>
            <w:vAlign w:val="center"/>
          </w:tcPr>
          <w:p w14:paraId="39EE9C7E"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1,456,528</w:t>
            </w:r>
          </w:p>
        </w:tc>
        <w:tc>
          <w:tcPr>
            <w:tcW w:w="1525" w:type="dxa"/>
            <w:vAlign w:val="center"/>
          </w:tcPr>
          <w:p w14:paraId="11F6636B"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1,327,296</w:t>
            </w:r>
          </w:p>
        </w:tc>
      </w:tr>
      <w:tr w:rsidR="001A5A4F" w:rsidRPr="001A5A4F" w14:paraId="2519ADEE" w14:textId="77777777" w:rsidTr="000525D5">
        <w:trPr>
          <w:trHeight w:val="283"/>
        </w:trPr>
        <w:tc>
          <w:tcPr>
            <w:tcW w:w="5306" w:type="dxa"/>
            <w:vAlign w:val="center"/>
          </w:tcPr>
          <w:p w14:paraId="1A86A64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Investment property</w:t>
            </w:r>
          </w:p>
        </w:tc>
        <w:tc>
          <w:tcPr>
            <w:tcW w:w="1517" w:type="dxa"/>
            <w:vAlign w:val="center"/>
          </w:tcPr>
          <w:p w14:paraId="3AA55E50"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12</w:t>
            </w:r>
          </w:p>
        </w:tc>
        <w:tc>
          <w:tcPr>
            <w:tcW w:w="1517" w:type="dxa"/>
            <w:vAlign w:val="center"/>
          </w:tcPr>
          <w:p w14:paraId="751FF43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1,309</w:t>
            </w:r>
          </w:p>
        </w:tc>
        <w:tc>
          <w:tcPr>
            <w:tcW w:w="1525" w:type="dxa"/>
            <w:vAlign w:val="center"/>
          </w:tcPr>
          <w:p w14:paraId="65E88A9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1,309</w:t>
            </w:r>
          </w:p>
        </w:tc>
      </w:tr>
      <w:tr w:rsidR="001A5A4F" w:rsidRPr="001A5A4F" w14:paraId="4400DA46" w14:textId="77777777" w:rsidTr="000525D5">
        <w:trPr>
          <w:trHeight w:val="283"/>
        </w:trPr>
        <w:tc>
          <w:tcPr>
            <w:tcW w:w="5306" w:type="dxa"/>
            <w:vAlign w:val="center"/>
          </w:tcPr>
          <w:p w14:paraId="65324C9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Employee benefits</w:t>
            </w:r>
          </w:p>
        </w:tc>
        <w:tc>
          <w:tcPr>
            <w:tcW w:w="1517" w:type="dxa"/>
            <w:vAlign w:val="center"/>
          </w:tcPr>
          <w:p w14:paraId="55B1217C"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20</w:t>
            </w:r>
          </w:p>
        </w:tc>
        <w:tc>
          <w:tcPr>
            <w:tcW w:w="1517" w:type="dxa"/>
            <w:vAlign w:val="center"/>
          </w:tcPr>
          <w:p w14:paraId="075E69B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338,351</w:t>
            </w:r>
          </w:p>
        </w:tc>
        <w:tc>
          <w:tcPr>
            <w:tcW w:w="1525" w:type="dxa"/>
            <w:vAlign w:val="center"/>
          </w:tcPr>
          <w:p w14:paraId="4C0A58E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162,127</w:t>
            </w:r>
          </w:p>
        </w:tc>
      </w:tr>
      <w:tr w:rsidR="001A5A4F" w:rsidRPr="001A5A4F" w14:paraId="63B37D41" w14:textId="77777777" w:rsidTr="000525D5">
        <w:trPr>
          <w:trHeight w:val="283"/>
        </w:trPr>
        <w:tc>
          <w:tcPr>
            <w:tcW w:w="5306" w:type="dxa"/>
            <w:vAlign w:val="center"/>
          </w:tcPr>
          <w:p w14:paraId="6FC2992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Deferred tax assets</w:t>
            </w:r>
          </w:p>
        </w:tc>
        <w:tc>
          <w:tcPr>
            <w:tcW w:w="1517" w:type="dxa"/>
            <w:vAlign w:val="center"/>
          </w:tcPr>
          <w:p w14:paraId="177A525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9</w:t>
            </w:r>
          </w:p>
        </w:tc>
        <w:tc>
          <w:tcPr>
            <w:tcW w:w="1517" w:type="dxa"/>
            <w:vAlign w:val="center"/>
          </w:tcPr>
          <w:p w14:paraId="4AB4F5DF"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2,454</w:t>
            </w:r>
          </w:p>
        </w:tc>
        <w:tc>
          <w:tcPr>
            <w:tcW w:w="1525" w:type="dxa"/>
            <w:vAlign w:val="center"/>
          </w:tcPr>
          <w:p w14:paraId="1B493CF0"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13,065</w:t>
            </w:r>
          </w:p>
        </w:tc>
      </w:tr>
      <w:tr w:rsidR="001A5A4F" w:rsidRPr="001A5A4F" w14:paraId="189F120C" w14:textId="77777777" w:rsidTr="000525D5">
        <w:trPr>
          <w:trHeight w:val="283"/>
        </w:trPr>
        <w:tc>
          <w:tcPr>
            <w:tcW w:w="5306" w:type="dxa"/>
            <w:vAlign w:val="center"/>
          </w:tcPr>
          <w:p w14:paraId="77D91E0C"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Derivative financial instruments</w:t>
            </w:r>
          </w:p>
        </w:tc>
        <w:tc>
          <w:tcPr>
            <w:tcW w:w="1517" w:type="dxa"/>
            <w:vAlign w:val="center"/>
          </w:tcPr>
          <w:p w14:paraId="5F62A0BA"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22</w:t>
            </w:r>
          </w:p>
        </w:tc>
        <w:tc>
          <w:tcPr>
            <w:tcW w:w="1517" w:type="dxa"/>
            <w:vAlign w:val="center"/>
          </w:tcPr>
          <w:p w14:paraId="65BCEED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w:t>
            </w:r>
          </w:p>
        </w:tc>
        <w:tc>
          <w:tcPr>
            <w:tcW w:w="1525" w:type="dxa"/>
            <w:vAlign w:val="center"/>
          </w:tcPr>
          <w:p w14:paraId="1C237DD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337</w:t>
            </w:r>
          </w:p>
        </w:tc>
      </w:tr>
      <w:tr w:rsidR="001A5A4F" w:rsidRPr="001A5A4F" w14:paraId="5A889A06" w14:textId="77777777" w:rsidTr="000525D5">
        <w:trPr>
          <w:trHeight w:val="283"/>
        </w:trPr>
        <w:tc>
          <w:tcPr>
            <w:tcW w:w="5306" w:type="dxa"/>
            <w:vAlign w:val="center"/>
          </w:tcPr>
          <w:p w14:paraId="29841CA5"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Total non-current assets</w:t>
            </w:r>
          </w:p>
        </w:tc>
        <w:tc>
          <w:tcPr>
            <w:tcW w:w="1517" w:type="dxa"/>
            <w:vAlign w:val="center"/>
          </w:tcPr>
          <w:p w14:paraId="4C4BA7F4" w14:textId="77777777" w:rsidR="001A5A4F" w:rsidRPr="001A5A4F" w:rsidRDefault="001A5A4F" w:rsidP="000525D5">
            <w:pPr>
              <w:spacing w:line="240" w:lineRule="auto"/>
              <w:rPr>
                <w:rFonts w:cs="Arial"/>
                <w:sz w:val="18"/>
                <w:szCs w:val="18"/>
              </w:rPr>
            </w:pPr>
          </w:p>
        </w:tc>
        <w:tc>
          <w:tcPr>
            <w:tcW w:w="1517" w:type="dxa"/>
            <w:vAlign w:val="center"/>
          </w:tcPr>
          <w:p w14:paraId="0D771675"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1,798,642</w:t>
            </w:r>
          </w:p>
        </w:tc>
        <w:tc>
          <w:tcPr>
            <w:tcW w:w="1525" w:type="dxa"/>
            <w:vAlign w:val="center"/>
          </w:tcPr>
          <w:p w14:paraId="2CA53FAD"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1,504,134</w:t>
            </w:r>
          </w:p>
        </w:tc>
      </w:tr>
      <w:tr w:rsidR="001A5A4F" w:rsidRPr="001A5A4F" w14:paraId="74A1AD7E" w14:textId="77777777" w:rsidTr="000525D5">
        <w:trPr>
          <w:trHeight w:val="283"/>
        </w:trPr>
        <w:tc>
          <w:tcPr>
            <w:tcW w:w="5306" w:type="dxa"/>
            <w:vAlign w:val="center"/>
          </w:tcPr>
          <w:p w14:paraId="4589D1A3" w14:textId="77777777" w:rsidR="001A5A4F" w:rsidRPr="001A5A4F" w:rsidRDefault="001A5A4F" w:rsidP="000525D5">
            <w:pPr>
              <w:spacing w:line="240" w:lineRule="auto"/>
              <w:rPr>
                <w:rFonts w:cs="Arial"/>
                <w:color w:val="000000"/>
                <w:sz w:val="18"/>
                <w:szCs w:val="18"/>
              </w:rPr>
            </w:pPr>
            <w:r w:rsidRPr="001A5A4F">
              <w:rPr>
                <w:rFonts w:cs="Arial"/>
                <w:b/>
                <w:bCs/>
                <w:i/>
                <w:iCs/>
                <w:color w:val="000000"/>
                <w:sz w:val="18"/>
                <w:szCs w:val="18"/>
              </w:rPr>
              <w:t>Current assets</w:t>
            </w:r>
          </w:p>
        </w:tc>
        <w:tc>
          <w:tcPr>
            <w:tcW w:w="1517" w:type="dxa"/>
            <w:vAlign w:val="center"/>
          </w:tcPr>
          <w:p w14:paraId="533C44E9" w14:textId="77777777" w:rsidR="001A5A4F" w:rsidRPr="001A5A4F" w:rsidRDefault="001A5A4F" w:rsidP="000525D5">
            <w:pPr>
              <w:spacing w:line="240" w:lineRule="auto"/>
              <w:rPr>
                <w:rFonts w:cs="Arial"/>
                <w:sz w:val="18"/>
                <w:szCs w:val="18"/>
              </w:rPr>
            </w:pPr>
          </w:p>
        </w:tc>
        <w:tc>
          <w:tcPr>
            <w:tcW w:w="1517" w:type="dxa"/>
            <w:vAlign w:val="center"/>
          </w:tcPr>
          <w:p w14:paraId="4A2C91A9" w14:textId="77777777" w:rsidR="001A5A4F" w:rsidRPr="001A5A4F" w:rsidRDefault="001A5A4F" w:rsidP="000525D5">
            <w:pPr>
              <w:spacing w:line="240" w:lineRule="auto"/>
              <w:rPr>
                <w:rFonts w:cs="Arial"/>
                <w:sz w:val="18"/>
                <w:szCs w:val="18"/>
              </w:rPr>
            </w:pPr>
          </w:p>
        </w:tc>
        <w:tc>
          <w:tcPr>
            <w:tcW w:w="1525" w:type="dxa"/>
            <w:vAlign w:val="center"/>
          </w:tcPr>
          <w:p w14:paraId="2ADCD344" w14:textId="77777777" w:rsidR="001A5A4F" w:rsidRPr="001A5A4F" w:rsidRDefault="001A5A4F" w:rsidP="000525D5">
            <w:pPr>
              <w:spacing w:line="240" w:lineRule="auto"/>
              <w:rPr>
                <w:rFonts w:cs="Arial"/>
                <w:sz w:val="18"/>
                <w:szCs w:val="18"/>
              </w:rPr>
            </w:pPr>
          </w:p>
        </w:tc>
      </w:tr>
      <w:tr w:rsidR="001A5A4F" w:rsidRPr="001A5A4F" w14:paraId="359DB3A2" w14:textId="77777777" w:rsidTr="000525D5">
        <w:trPr>
          <w:trHeight w:val="283"/>
        </w:trPr>
        <w:tc>
          <w:tcPr>
            <w:tcW w:w="5306" w:type="dxa"/>
            <w:vAlign w:val="center"/>
          </w:tcPr>
          <w:p w14:paraId="7989BA2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Inventories</w:t>
            </w:r>
          </w:p>
        </w:tc>
        <w:tc>
          <w:tcPr>
            <w:tcW w:w="1517" w:type="dxa"/>
            <w:vAlign w:val="center"/>
          </w:tcPr>
          <w:p w14:paraId="33B73BEA"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14</w:t>
            </w:r>
          </w:p>
        </w:tc>
        <w:tc>
          <w:tcPr>
            <w:tcW w:w="1517" w:type="dxa"/>
            <w:vAlign w:val="center"/>
          </w:tcPr>
          <w:p w14:paraId="17826071"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13,344</w:t>
            </w:r>
          </w:p>
        </w:tc>
        <w:tc>
          <w:tcPr>
            <w:tcW w:w="1525" w:type="dxa"/>
            <w:vAlign w:val="center"/>
          </w:tcPr>
          <w:p w14:paraId="7FBAA01F"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13,369</w:t>
            </w:r>
          </w:p>
        </w:tc>
      </w:tr>
      <w:tr w:rsidR="001A5A4F" w:rsidRPr="001A5A4F" w14:paraId="02DFCBD0" w14:textId="77777777" w:rsidTr="000525D5">
        <w:trPr>
          <w:trHeight w:val="283"/>
        </w:trPr>
        <w:tc>
          <w:tcPr>
            <w:tcW w:w="5306" w:type="dxa"/>
            <w:vAlign w:val="center"/>
          </w:tcPr>
          <w:p w14:paraId="7E0116C1"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Trade and other receivables</w:t>
            </w:r>
          </w:p>
        </w:tc>
        <w:tc>
          <w:tcPr>
            <w:tcW w:w="1517" w:type="dxa"/>
            <w:vAlign w:val="center"/>
          </w:tcPr>
          <w:p w14:paraId="0AD2E034"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15</w:t>
            </w:r>
          </w:p>
        </w:tc>
        <w:tc>
          <w:tcPr>
            <w:tcW w:w="1517" w:type="dxa"/>
            <w:vAlign w:val="center"/>
          </w:tcPr>
          <w:p w14:paraId="56EFE88E"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113,244</w:t>
            </w:r>
          </w:p>
        </w:tc>
        <w:tc>
          <w:tcPr>
            <w:tcW w:w="1525" w:type="dxa"/>
            <w:vAlign w:val="center"/>
          </w:tcPr>
          <w:p w14:paraId="4CB97C3B"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144,711</w:t>
            </w:r>
          </w:p>
        </w:tc>
      </w:tr>
      <w:tr w:rsidR="001A5A4F" w:rsidRPr="001A5A4F" w14:paraId="5D042709" w14:textId="77777777" w:rsidTr="000525D5">
        <w:trPr>
          <w:trHeight w:val="283"/>
        </w:trPr>
        <w:tc>
          <w:tcPr>
            <w:tcW w:w="5306" w:type="dxa"/>
            <w:vAlign w:val="center"/>
          </w:tcPr>
          <w:p w14:paraId="5E9A9F0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Corporation tax receivables</w:t>
            </w:r>
          </w:p>
        </w:tc>
        <w:tc>
          <w:tcPr>
            <w:tcW w:w="1517" w:type="dxa"/>
            <w:vAlign w:val="center"/>
          </w:tcPr>
          <w:p w14:paraId="6CD315A0" w14:textId="77777777" w:rsidR="001A5A4F" w:rsidRPr="001A5A4F" w:rsidRDefault="001A5A4F" w:rsidP="000525D5">
            <w:pPr>
              <w:spacing w:line="240" w:lineRule="auto"/>
              <w:rPr>
                <w:rFonts w:cs="Arial"/>
                <w:sz w:val="18"/>
                <w:szCs w:val="18"/>
              </w:rPr>
            </w:pPr>
          </w:p>
        </w:tc>
        <w:tc>
          <w:tcPr>
            <w:tcW w:w="1517" w:type="dxa"/>
            <w:vAlign w:val="center"/>
          </w:tcPr>
          <w:p w14:paraId="78F17C4E"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3,299</w:t>
            </w:r>
          </w:p>
        </w:tc>
        <w:tc>
          <w:tcPr>
            <w:tcW w:w="1525" w:type="dxa"/>
            <w:vAlign w:val="center"/>
          </w:tcPr>
          <w:p w14:paraId="633AACCD"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3,381</w:t>
            </w:r>
          </w:p>
        </w:tc>
      </w:tr>
      <w:tr w:rsidR="001A5A4F" w:rsidRPr="001A5A4F" w14:paraId="52D23431" w14:textId="77777777" w:rsidTr="000525D5">
        <w:trPr>
          <w:trHeight w:val="283"/>
        </w:trPr>
        <w:tc>
          <w:tcPr>
            <w:tcW w:w="5306" w:type="dxa"/>
            <w:vAlign w:val="center"/>
          </w:tcPr>
          <w:p w14:paraId="035A7A10"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Derivative financial instruments</w:t>
            </w:r>
          </w:p>
        </w:tc>
        <w:tc>
          <w:tcPr>
            <w:tcW w:w="1517" w:type="dxa"/>
            <w:vAlign w:val="center"/>
          </w:tcPr>
          <w:p w14:paraId="4109599B"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22</w:t>
            </w:r>
          </w:p>
        </w:tc>
        <w:tc>
          <w:tcPr>
            <w:tcW w:w="1517" w:type="dxa"/>
            <w:vAlign w:val="center"/>
          </w:tcPr>
          <w:p w14:paraId="1EBF6614"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30</w:t>
            </w:r>
          </w:p>
        </w:tc>
        <w:tc>
          <w:tcPr>
            <w:tcW w:w="1525" w:type="dxa"/>
            <w:vAlign w:val="center"/>
          </w:tcPr>
          <w:p w14:paraId="2FBBCDC8"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1,892</w:t>
            </w:r>
          </w:p>
        </w:tc>
      </w:tr>
      <w:tr w:rsidR="001A5A4F" w:rsidRPr="001A5A4F" w14:paraId="1496B5A0" w14:textId="77777777" w:rsidTr="000525D5">
        <w:trPr>
          <w:trHeight w:val="283"/>
        </w:trPr>
        <w:tc>
          <w:tcPr>
            <w:tcW w:w="5306" w:type="dxa"/>
            <w:vAlign w:val="center"/>
          </w:tcPr>
          <w:p w14:paraId="6529210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Cash and cash equivalents</w:t>
            </w:r>
          </w:p>
        </w:tc>
        <w:tc>
          <w:tcPr>
            <w:tcW w:w="1517" w:type="dxa"/>
            <w:vAlign w:val="center"/>
          </w:tcPr>
          <w:p w14:paraId="75E4F29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19</w:t>
            </w:r>
          </w:p>
        </w:tc>
        <w:tc>
          <w:tcPr>
            <w:tcW w:w="1517" w:type="dxa"/>
            <w:vAlign w:val="center"/>
          </w:tcPr>
          <w:p w14:paraId="6B3B7E0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23,731</w:t>
            </w:r>
          </w:p>
        </w:tc>
        <w:tc>
          <w:tcPr>
            <w:tcW w:w="1525" w:type="dxa"/>
            <w:vAlign w:val="center"/>
          </w:tcPr>
          <w:p w14:paraId="645E66B2"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24,266</w:t>
            </w:r>
          </w:p>
        </w:tc>
      </w:tr>
      <w:tr w:rsidR="001A5A4F" w:rsidRPr="001A5A4F" w14:paraId="21561AF8" w14:textId="77777777" w:rsidTr="000525D5">
        <w:trPr>
          <w:trHeight w:val="283"/>
        </w:trPr>
        <w:tc>
          <w:tcPr>
            <w:tcW w:w="5306" w:type="dxa"/>
            <w:vAlign w:val="center"/>
          </w:tcPr>
          <w:p w14:paraId="74C2715F"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Total current assets</w:t>
            </w:r>
          </w:p>
        </w:tc>
        <w:tc>
          <w:tcPr>
            <w:tcW w:w="1517" w:type="dxa"/>
            <w:vAlign w:val="center"/>
          </w:tcPr>
          <w:p w14:paraId="628436D5" w14:textId="77777777" w:rsidR="001A5A4F" w:rsidRPr="001A5A4F" w:rsidRDefault="001A5A4F" w:rsidP="000525D5">
            <w:pPr>
              <w:spacing w:line="240" w:lineRule="auto"/>
              <w:rPr>
                <w:rFonts w:cs="Arial"/>
                <w:sz w:val="18"/>
                <w:szCs w:val="18"/>
              </w:rPr>
            </w:pPr>
          </w:p>
        </w:tc>
        <w:tc>
          <w:tcPr>
            <w:tcW w:w="1517" w:type="dxa"/>
            <w:vAlign w:val="center"/>
          </w:tcPr>
          <w:p w14:paraId="053863D2"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153,648</w:t>
            </w:r>
          </w:p>
        </w:tc>
        <w:tc>
          <w:tcPr>
            <w:tcW w:w="1525" w:type="dxa"/>
            <w:vAlign w:val="center"/>
          </w:tcPr>
          <w:p w14:paraId="5F5A2BFB"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187,619</w:t>
            </w:r>
          </w:p>
        </w:tc>
      </w:tr>
      <w:tr w:rsidR="001A5A4F" w:rsidRPr="001A5A4F" w14:paraId="08F26A47" w14:textId="77777777" w:rsidTr="000525D5">
        <w:trPr>
          <w:trHeight w:val="283"/>
        </w:trPr>
        <w:tc>
          <w:tcPr>
            <w:tcW w:w="5306" w:type="dxa"/>
            <w:vAlign w:val="center"/>
          </w:tcPr>
          <w:p w14:paraId="7F556D50"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Liabilities</w:t>
            </w:r>
          </w:p>
        </w:tc>
        <w:tc>
          <w:tcPr>
            <w:tcW w:w="1517" w:type="dxa"/>
            <w:vAlign w:val="center"/>
          </w:tcPr>
          <w:p w14:paraId="0B4F925F" w14:textId="77777777" w:rsidR="001A5A4F" w:rsidRPr="001A5A4F" w:rsidRDefault="001A5A4F" w:rsidP="000525D5">
            <w:pPr>
              <w:spacing w:line="240" w:lineRule="auto"/>
              <w:rPr>
                <w:rFonts w:cs="Arial"/>
                <w:sz w:val="18"/>
                <w:szCs w:val="18"/>
              </w:rPr>
            </w:pPr>
          </w:p>
        </w:tc>
        <w:tc>
          <w:tcPr>
            <w:tcW w:w="1517" w:type="dxa"/>
            <w:vAlign w:val="center"/>
          </w:tcPr>
          <w:p w14:paraId="06AF072E" w14:textId="77777777" w:rsidR="001A5A4F" w:rsidRPr="001A5A4F" w:rsidRDefault="001A5A4F" w:rsidP="000525D5">
            <w:pPr>
              <w:spacing w:line="240" w:lineRule="auto"/>
              <w:rPr>
                <w:rFonts w:cs="Arial"/>
                <w:sz w:val="18"/>
                <w:szCs w:val="18"/>
              </w:rPr>
            </w:pPr>
          </w:p>
        </w:tc>
        <w:tc>
          <w:tcPr>
            <w:tcW w:w="1525" w:type="dxa"/>
            <w:vAlign w:val="center"/>
          </w:tcPr>
          <w:p w14:paraId="03B319D3" w14:textId="77777777" w:rsidR="001A5A4F" w:rsidRPr="001A5A4F" w:rsidRDefault="001A5A4F" w:rsidP="000525D5">
            <w:pPr>
              <w:spacing w:line="240" w:lineRule="auto"/>
              <w:rPr>
                <w:rFonts w:cs="Arial"/>
                <w:sz w:val="18"/>
                <w:szCs w:val="18"/>
              </w:rPr>
            </w:pPr>
          </w:p>
        </w:tc>
      </w:tr>
      <w:tr w:rsidR="001A5A4F" w:rsidRPr="001A5A4F" w14:paraId="03B6B018" w14:textId="77777777" w:rsidTr="000525D5">
        <w:trPr>
          <w:trHeight w:val="283"/>
        </w:trPr>
        <w:tc>
          <w:tcPr>
            <w:tcW w:w="5306" w:type="dxa"/>
            <w:vAlign w:val="center"/>
          </w:tcPr>
          <w:p w14:paraId="56E3E93A" w14:textId="77777777" w:rsidR="001A5A4F" w:rsidRPr="001A5A4F" w:rsidRDefault="001A5A4F" w:rsidP="000525D5">
            <w:pPr>
              <w:spacing w:line="240" w:lineRule="auto"/>
              <w:rPr>
                <w:rFonts w:cs="Arial"/>
                <w:color w:val="000000"/>
                <w:sz w:val="18"/>
                <w:szCs w:val="18"/>
              </w:rPr>
            </w:pPr>
            <w:r w:rsidRPr="001A5A4F">
              <w:rPr>
                <w:rFonts w:cs="Arial"/>
                <w:b/>
                <w:bCs/>
                <w:i/>
                <w:iCs/>
                <w:color w:val="000000"/>
                <w:sz w:val="18"/>
                <w:szCs w:val="18"/>
              </w:rPr>
              <w:t>Current liabilities</w:t>
            </w:r>
          </w:p>
        </w:tc>
        <w:tc>
          <w:tcPr>
            <w:tcW w:w="1517" w:type="dxa"/>
            <w:vAlign w:val="center"/>
          </w:tcPr>
          <w:p w14:paraId="00774232" w14:textId="77777777" w:rsidR="001A5A4F" w:rsidRPr="001A5A4F" w:rsidRDefault="001A5A4F" w:rsidP="000525D5">
            <w:pPr>
              <w:spacing w:line="240" w:lineRule="auto"/>
              <w:rPr>
                <w:rFonts w:cs="Arial"/>
                <w:sz w:val="18"/>
                <w:szCs w:val="18"/>
              </w:rPr>
            </w:pPr>
          </w:p>
        </w:tc>
        <w:tc>
          <w:tcPr>
            <w:tcW w:w="1517" w:type="dxa"/>
            <w:vAlign w:val="center"/>
          </w:tcPr>
          <w:p w14:paraId="7A332FC2" w14:textId="77777777" w:rsidR="001A5A4F" w:rsidRPr="001A5A4F" w:rsidRDefault="001A5A4F" w:rsidP="000525D5">
            <w:pPr>
              <w:spacing w:line="240" w:lineRule="auto"/>
              <w:rPr>
                <w:rFonts w:cs="Arial"/>
                <w:sz w:val="18"/>
                <w:szCs w:val="18"/>
              </w:rPr>
            </w:pPr>
          </w:p>
        </w:tc>
        <w:tc>
          <w:tcPr>
            <w:tcW w:w="1525" w:type="dxa"/>
            <w:vAlign w:val="center"/>
          </w:tcPr>
          <w:p w14:paraId="18BC1D24" w14:textId="77777777" w:rsidR="001A5A4F" w:rsidRPr="001A5A4F" w:rsidRDefault="001A5A4F" w:rsidP="000525D5">
            <w:pPr>
              <w:spacing w:line="240" w:lineRule="auto"/>
              <w:rPr>
                <w:rFonts w:cs="Arial"/>
                <w:sz w:val="18"/>
                <w:szCs w:val="18"/>
              </w:rPr>
            </w:pPr>
          </w:p>
        </w:tc>
      </w:tr>
      <w:tr w:rsidR="001A5A4F" w:rsidRPr="001A5A4F" w14:paraId="26168151" w14:textId="77777777" w:rsidTr="000525D5">
        <w:trPr>
          <w:trHeight w:val="283"/>
        </w:trPr>
        <w:tc>
          <w:tcPr>
            <w:tcW w:w="5306" w:type="dxa"/>
            <w:vAlign w:val="center"/>
          </w:tcPr>
          <w:p w14:paraId="128E3D2C"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Trade and other payables</w:t>
            </w:r>
          </w:p>
        </w:tc>
        <w:tc>
          <w:tcPr>
            <w:tcW w:w="1517" w:type="dxa"/>
            <w:vAlign w:val="center"/>
          </w:tcPr>
          <w:p w14:paraId="75CD7A2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16</w:t>
            </w:r>
          </w:p>
        </w:tc>
        <w:tc>
          <w:tcPr>
            <w:tcW w:w="1517" w:type="dxa"/>
            <w:vAlign w:val="center"/>
          </w:tcPr>
          <w:p w14:paraId="66D41AB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113,636</w:t>
            </w:r>
          </w:p>
        </w:tc>
        <w:tc>
          <w:tcPr>
            <w:tcW w:w="1525" w:type="dxa"/>
            <w:vAlign w:val="center"/>
          </w:tcPr>
          <w:p w14:paraId="72118B3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135,957</w:t>
            </w:r>
          </w:p>
        </w:tc>
      </w:tr>
      <w:tr w:rsidR="001A5A4F" w:rsidRPr="001A5A4F" w14:paraId="611ECB45" w14:textId="77777777" w:rsidTr="000525D5">
        <w:trPr>
          <w:trHeight w:val="283"/>
        </w:trPr>
        <w:tc>
          <w:tcPr>
            <w:tcW w:w="5306" w:type="dxa"/>
            <w:vAlign w:val="center"/>
          </w:tcPr>
          <w:p w14:paraId="486BCD14"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Current tax liabilities</w:t>
            </w:r>
          </w:p>
        </w:tc>
        <w:tc>
          <w:tcPr>
            <w:tcW w:w="1517" w:type="dxa"/>
            <w:vAlign w:val="center"/>
          </w:tcPr>
          <w:p w14:paraId="6AA74B22" w14:textId="77777777" w:rsidR="001A5A4F" w:rsidRPr="001A5A4F" w:rsidRDefault="001A5A4F" w:rsidP="000525D5">
            <w:pPr>
              <w:spacing w:line="240" w:lineRule="auto"/>
              <w:rPr>
                <w:rFonts w:cs="Arial"/>
                <w:sz w:val="18"/>
                <w:szCs w:val="18"/>
              </w:rPr>
            </w:pPr>
          </w:p>
        </w:tc>
        <w:tc>
          <w:tcPr>
            <w:tcW w:w="1517" w:type="dxa"/>
            <w:vAlign w:val="center"/>
          </w:tcPr>
          <w:p w14:paraId="2EFA5382"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41</w:t>
            </w:r>
          </w:p>
        </w:tc>
        <w:tc>
          <w:tcPr>
            <w:tcW w:w="1525" w:type="dxa"/>
            <w:vAlign w:val="center"/>
          </w:tcPr>
          <w:p w14:paraId="54627B3E"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208</w:t>
            </w:r>
          </w:p>
        </w:tc>
      </w:tr>
      <w:tr w:rsidR="001A5A4F" w:rsidRPr="001A5A4F" w14:paraId="13761E1A" w14:textId="77777777" w:rsidTr="000525D5">
        <w:trPr>
          <w:trHeight w:val="283"/>
        </w:trPr>
        <w:tc>
          <w:tcPr>
            <w:tcW w:w="5306" w:type="dxa"/>
            <w:vAlign w:val="center"/>
          </w:tcPr>
          <w:p w14:paraId="7568F66C"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Provisions</w:t>
            </w:r>
          </w:p>
        </w:tc>
        <w:tc>
          <w:tcPr>
            <w:tcW w:w="1517" w:type="dxa"/>
            <w:vAlign w:val="center"/>
          </w:tcPr>
          <w:p w14:paraId="56C27DB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17</w:t>
            </w:r>
          </w:p>
        </w:tc>
        <w:tc>
          <w:tcPr>
            <w:tcW w:w="1517" w:type="dxa"/>
            <w:vAlign w:val="center"/>
          </w:tcPr>
          <w:p w14:paraId="7E5D2E9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11,644</w:t>
            </w:r>
          </w:p>
        </w:tc>
        <w:tc>
          <w:tcPr>
            <w:tcW w:w="1525" w:type="dxa"/>
            <w:vAlign w:val="center"/>
          </w:tcPr>
          <w:p w14:paraId="57D14CA4"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11,190</w:t>
            </w:r>
          </w:p>
        </w:tc>
      </w:tr>
      <w:tr w:rsidR="001A5A4F" w:rsidRPr="001A5A4F" w14:paraId="3087633E" w14:textId="77777777" w:rsidTr="000525D5">
        <w:trPr>
          <w:trHeight w:val="283"/>
        </w:trPr>
        <w:tc>
          <w:tcPr>
            <w:tcW w:w="5306" w:type="dxa"/>
            <w:vAlign w:val="center"/>
          </w:tcPr>
          <w:p w14:paraId="356D7BDA"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Derivative financial instruments</w:t>
            </w:r>
          </w:p>
        </w:tc>
        <w:tc>
          <w:tcPr>
            <w:tcW w:w="1517" w:type="dxa"/>
            <w:vAlign w:val="center"/>
          </w:tcPr>
          <w:p w14:paraId="44351AB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22</w:t>
            </w:r>
          </w:p>
        </w:tc>
        <w:tc>
          <w:tcPr>
            <w:tcW w:w="1517" w:type="dxa"/>
            <w:vAlign w:val="center"/>
          </w:tcPr>
          <w:p w14:paraId="444E7AA7"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2,136</w:t>
            </w:r>
          </w:p>
        </w:tc>
        <w:tc>
          <w:tcPr>
            <w:tcW w:w="1525" w:type="dxa"/>
            <w:vAlign w:val="center"/>
          </w:tcPr>
          <w:p w14:paraId="11C43DE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505</w:t>
            </w:r>
          </w:p>
        </w:tc>
      </w:tr>
      <w:tr w:rsidR="001A5A4F" w:rsidRPr="001A5A4F" w14:paraId="3AE1AE6B" w14:textId="77777777" w:rsidTr="000525D5">
        <w:trPr>
          <w:trHeight w:val="283"/>
        </w:trPr>
        <w:tc>
          <w:tcPr>
            <w:tcW w:w="5306" w:type="dxa"/>
            <w:vAlign w:val="center"/>
          </w:tcPr>
          <w:p w14:paraId="54F70E53"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Total current liabilities</w:t>
            </w:r>
          </w:p>
        </w:tc>
        <w:tc>
          <w:tcPr>
            <w:tcW w:w="1517" w:type="dxa"/>
            <w:vAlign w:val="center"/>
          </w:tcPr>
          <w:p w14:paraId="24ED66F6" w14:textId="77777777" w:rsidR="001A5A4F" w:rsidRPr="001A5A4F" w:rsidRDefault="001A5A4F" w:rsidP="000525D5">
            <w:pPr>
              <w:spacing w:line="240" w:lineRule="auto"/>
              <w:rPr>
                <w:rFonts w:cs="Arial"/>
                <w:sz w:val="18"/>
                <w:szCs w:val="18"/>
              </w:rPr>
            </w:pPr>
          </w:p>
        </w:tc>
        <w:tc>
          <w:tcPr>
            <w:tcW w:w="1517" w:type="dxa"/>
            <w:vAlign w:val="center"/>
          </w:tcPr>
          <w:p w14:paraId="4293B8EB"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127,457</w:t>
            </w:r>
          </w:p>
        </w:tc>
        <w:tc>
          <w:tcPr>
            <w:tcW w:w="1525" w:type="dxa"/>
            <w:vAlign w:val="center"/>
          </w:tcPr>
          <w:p w14:paraId="3829E923"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147,860</w:t>
            </w:r>
          </w:p>
        </w:tc>
      </w:tr>
      <w:tr w:rsidR="001A5A4F" w:rsidRPr="001A5A4F" w14:paraId="59A65841" w14:textId="77777777" w:rsidTr="000525D5">
        <w:trPr>
          <w:trHeight w:val="283"/>
        </w:trPr>
        <w:tc>
          <w:tcPr>
            <w:tcW w:w="5306" w:type="dxa"/>
            <w:vAlign w:val="center"/>
          </w:tcPr>
          <w:p w14:paraId="7EED1C61"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Net current assets</w:t>
            </w:r>
          </w:p>
        </w:tc>
        <w:tc>
          <w:tcPr>
            <w:tcW w:w="1517" w:type="dxa"/>
            <w:vAlign w:val="center"/>
          </w:tcPr>
          <w:p w14:paraId="6966A973" w14:textId="77777777" w:rsidR="001A5A4F" w:rsidRPr="001A5A4F" w:rsidRDefault="001A5A4F" w:rsidP="000525D5">
            <w:pPr>
              <w:spacing w:line="240" w:lineRule="auto"/>
              <w:rPr>
                <w:rFonts w:cs="Arial"/>
                <w:sz w:val="18"/>
                <w:szCs w:val="18"/>
              </w:rPr>
            </w:pPr>
          </w:p>
        </w:tc>
        <w:tc>
          <w:tcPr>
            <w:tcW w:w="1517" w:type="dxa"/>
            <w:vAlign w:val="center"/>
          </w:tcPr>
          <w:p w14:paraId="227F967E"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26,191</w:t>
            </w:r>
          </w:p>
        </w:tc>
        <w:tc>
          <w:tcPr>
            <w:tcW w:w="1525" w:type="dxa"/>
            <w:vAlign w:val="center"/>
          </w:tcPr>
          <w:p w14:paraId="13BD20F7"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39,759</w:t>
            </w:r>
          </w:p>
        </w:tc>
      </w:tr>
      <w:tr w:rsidR="001A5A4F" w:rsidRPr="001A5A4F" w14:paraId="350345C3" w14:textId="77777777" w:rsidTr="000525D5">
        <w:trPr>
          <w:trHeight w:val="283"/>
        </w:trPr>
        <w:tc>
          <w:tcPr>
            <w:tcW w:w="5306" w:type="dxa"/>
            <w:vAlign w:val="center"/>
          </w:tcPr>
          <w:p w14:paraId="5D949C1D" w14:textId="77777777" w:rsidR="001A5A4F" w:rsidRPr="001A5A4F" w:rsidRDefault="001A5A4F" w:rsidP="000525D5">
            <w:pPr>
              <w:spacing w:line="240" w:lineRule="auto"/>
              <w:rPr>
                <w:rFonts w:cs="Arial"/>
                <w:color w:val="000000"/>
                <w:sz w:val="18"/>
                <w:szCs w:val="18"/>
              </w:rPr>
            </w:pPr>
            <w:r w:rsidRPr="001A5A4F">
              <w:rPr>
                <w:rFonts w:cs="Arial"/>
                <w:b/>
                <w:bCs/>
                <w:i/>
                <w:iCs/>
                <w:color w:val="000000"/>
                <w:sz w:val="18"/>
                <w:szCs w:val="18"/>
              </w:rPr>
              <w:t>Non-current liabilities</w:t>
            </w:r>
          </w:p>
        </w:tc>
        <w:tc>
          <w:tcPr>
            <w:tcW w:w="1517" w:type="dxa"/>
            <w:vAlign w:val="center"/>
          </w:tcPr>
          <w:p w14:paraId="2935F0F5" w14:textId="77777777" w:rsidR="001A5A4F" w:rsidRPr="001A5A4F" w:rsidRDefault="001A5A4F" w:rsidP="000525D5">
            <w:pPr>
              <w:spacing w:line="240" w:lineRule="auto"/>
              <w:rPr>
                <w:rFonts w:cs="Arial"/>
                <w:sz w:val="18"/>
                <w:szCs w:val="18"/>
              </w:rPr>
            </w:pPr>
          </w:p>
        </w:tc>
        <w:tc>
          <w:tcPr>
            <w:tcW w:w="1517" w:type="dxa"/>
            <w:vAlign w:val="center"/>
          </w:tcPr>
          <w:p w14:paraId="1569BA7A" w14:textId="77777777" w:rsidR="001A5A4F" w:rsidRPr="001A5A4F" w:rsidRDefault="001A5A4F" w:rsidP="000525D5">
            <w:pPr>
              <w:spacing w:line="240" w:lineRule="auto"/>
              <w:rPr>
                <w:rFonts w:cs="Arial"/>
                <w:sz w:val="18"/>
                <w:szCs w:val="18"/>
              </w:rPr>
            </w:pPr>
          </w:p>
        </w:tc>
        <w:tc>
          <w:tcPr>
            <w:tcW w:w="1525" w:type="dxa"/>
            <w:vAlign w:val="center"/>
          </w:tcPr>
          <w:p w14:paraId="14239B23" w14:textId="77777777" w:rsidR="001A5A4F" w:rsidRPr="001A5A4F" w:rsidRDefault="001A5A4F" w:rsidP="000525D5">
            <w:pPr>
              <w:spacing w:line="240" w:lineRule="auto"/>
              <w:rPr>
                <w:rFonts w:cs="Arial"/>
                <w:sz w:val="18"/>
                <w:szCs w:val="18"/>
              </w:rPr>
            </w:pPr>
          </w:p>
        </w:tc>
      </w:tr>
      <w:tr w:rsidR="001A5A4F" w:rsidRPr="001A5A4F" w14:paraId="55EB3CA9" w14:textId="77777777" w:rsidTr="000525D5">
        <w:trPr>
          <w:trHeight w:val="283"/>
        </w:trPr>
        <w:tc>
          <w:tcPr>
            <w:tcW w:w="5306" w:type="dxa"/>
            <w:vAlign w:val="center"/>
          </w:tcPr>
          <w:p w14:paraId="59981E9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Deferred tax liabilities</w:t>
            </w:r>
          </w:p>
        </w:tc>
        <w:tc>
          <w:tcPr>
            <w:tcW w:w="1517" w:type="dxa"/>
            <w:vAlign w:val="center"/>
          </w:tcPr>
          <w:p w14:paraId="3BDA24AD"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9</w:t>
            </w:r>
          </w:p>
        </w:tc>
        <w:tc>
          <w:tcPr>
            <w:tcW w:w="1517" w:type="dxa"/>
            <w:vAlign w:val="center"/>
          </w:tcPr>
          <w:p w14:paraId="3ABDE5ED"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89,571</w:t>
            </w:r>
          </w:p>
        </w:tc>
        <w:tc>
          <w:tcPr>
            <w:tcW w:w="1525" w:type="dxa"/>
            <w:vAlign w:val="center"/>
          </w:tcPr>
          <w:p w14:paraId="222A903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45,899</w:t>
            </w:r>
          </w:p>
        </w:tc>
      </w:tr>
      <w:tr w:rsidR="001A5A4F" w:rsidRPr="001A5A4F" w14:paraId="452EC062" w14:textId="77777777" w:rsidTr="000525D5">
        <w:trPr>
          <w:trHeight w:val="283"/>
        </w:trPr>
        <w:tc>
          <w:tcPr>
            <w:tcW w:w="5306" w:type="dxa"/>
            <w:vAlign w:val="center"/>
          </w:tcPr>
          <w:p w14:paraId="3C82FF74"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Deferred income</w:t>
            </w:r>
          </w:p>
        </w:tc>
        <w:tc>
          <w:tcPr>
            <w:tcW w:w="1517" w:type="dxa"/>
            <w:vAlign w:val="center"/>
          </w:tcPr>
          <w:p w14:paraId="088ED9BD"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18</w:t>
            </w:r>
          </w:p>
        </w:tc>
        <w:tc>
          <w:tcPr>
            <w:tcW w:w="1517" w:type="dxa"/>
            <w:vAlign w:val="center"/>
          </w:tcPr>
          <w:p w14:paraId="6B43DDE8"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1,438,355</w:t>
            </w:r>
          </w:p>
        </w:tc>
        <w:tc>
          <w:tcPr>
            <w:tcW w:w="1525" w:type="dxa"/>
            <w:vAlign w:val="center"/>
          </w:tcPr>
          <w:p w14:paraId="25A4FA9B"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1,307,339</w:t>
            </w:r>
          </w:p>
        </w:tc>
      </w:tr>
      <w:tr w:rsidR="001A5A4F" w:rsidRPr="001A5A4F" w14:paraId="654B3556" w14:textId="77777777" w:rsidTr="000525D5">
        <w:trPr>
          <w:trHeight w:val="283"/>
        </w:trPr>
        <w:tc>
          <w:tcPr>
            <w:tcW w:w="5306" w:type="dxa"/>
            <w:vAlign w:val="center"/>
          </w:tcPr>
          <w:p w14:paraId="2D9752A9"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Derivative financial instruments</w:t>
            </w:r>
          </w:p>
        </w:tc>
        <w:tc>
          <w:tcPr>
            <w:tcW w:w="1517" w:type="dxa"/>
            <w:vAlign w:val="center"/>
          </w:tcPr>
          <w:p w14:paraId="214AD5D1"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22</w:t>
            </w:r>
          </w:p>
        </w:tc>
        <w:tc>
          <w:tcPr>
            <w:tcW w:w="1517" w:type="dxa"/>
            <w:vAlign w:val="center"/>
          </w:tcPr>
          <w:p w14:paraId="4EF98426"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1,234</w:t>
            </w:r>
          </w:p>
        </w:tc>
        <w:tc>
          <w:tcPr>
            <w:tcW w:w="1525" w:type="dxa"/>
            <w:vAlign w:val="center"/>
          </w:tcPr>
          <w:p w14:paraId="554F7BBF"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597</w:t>
            </w:r>
          </w:p>
        </w:tc>
      </w:tr>
      <w:tr w:rsidR="001A5A4F" w:rsidRPr="001A5A4F" w14:paraId="64CE8753" w14:textId="77777777" w:rsidTr="000525D5">
        <w:trPr>
          <w:trHeight w:val="283"/>
        </w:trPr>
        <w:tc>
          <w:tcPr>
            <w:tcW w:w="5306" w:type="dxa"/>
            <w:vAlign w:val="center"/>
          </w:tcPr>
          <w:p w14:paraId="114A141D"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Total non-current liabilities</w:t>
            </w:r>
          </w:p>
        </w:tc>
        <w:tc>
          <w:tcPr>
            <w:tcW w:w="1517" w:type="dxa"/>
            <w:vAlign w:val="center"/>
          </w:tcPr>
          <w:p w14:paraId="61F25747" w14:textId="77777777" w:rsidR="001A5A4F" w:rsidRPr="001A5A4F" w:rsidRDefault="001A5A4F" w:rsidP="000525D5">
            <w:pPr>
              <w:spacing w:line="240" w:lineRule="auto"/>
              <w:rPr>
                <w:rFonts w:cs="Arial"/>
                <w:sz w:val="18"/>
                <w:szCs w:val="18"/>
              </w:rPr>
            </w:pPr>
          </w:p>
        </w:tc>
        <w:tc>
          <w:tcPr>
            <w:tcW w:w="1517" w:type="dxa"/>
            <w:vAlign w:val="center"/>
          </w:tcPr>
          <w:p w14:paraId="290B2838"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1,529,160</w:t>
            </w:r>
          </w:p>
        </w:tc>
        <w:tc>
          <w:tcPr>
            <w:tcW w:w="1525" w:type="dxa"/>
            <w:vAlign w:val="center"/>
          </w:tcPr>
          <w:p w14:paraId="2C12B5A0"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1,353,835</w:t>
            </w:r>
          </w:p>
        </w:tc>
      </w:tr>
      <w:tr w:rsidR="001A5A4F" w:rsidRPr="001A5A4F" w14:paraId="642FB0B3" w14:textId="77777777" w:rsidTr="000525D5">
        <w:trPr>
          <w:trHeight w:val="283"/>
        </w:trPr>
        <w:tc>
          <w:tcPr>
            <w:tcW w:w="5306" w:type="dxa"/>
            <w:vAlign w:val="center"/>
          </w:tcPr>
          <w:p w14:paraId="622A70F0"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Net assets</w:t>
            </w:r>
          </w:p>
        </w:tc>
        <w:tc>
          <w:tcPr>
            <w:tcW w:w="1517" w:type="dxa"/>
            <w:vAlign w:val="center"/>
          </w:tcPr>
          <w:p w14:paraId="113B95B6" w14:textId="77777777" w:rsidR="001A5A4F" w:rsidRPr="001A5A4F" w:rsidRDefault="001A5A4F" w:rsidP="000525D5">
            <w:pPr>
              <w:spacing w:line="240" w:lineRule="auto"/>
              <w:rPr>
                <w:rFonts w:cs="Arial"/>
                <w:sz w:val="18"/>
                <w:szCs w:val="18"/>
              </w:rPr>
            </w:pPr>
          </w:p>
        </w:tc>
        <w:tc>
          <w:tcPr>
            <w:tcW w:w="1517" w:type="dxa"/>
            <w:vAlign w:val="center"/>
          </w:tcPr>
          <w:p w14:paraId="35EB1786"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295,673</w:t>
            </w:r>
          </w:p>
        </w:tc>
        <w:tc>
          <w:tcPr>
            <w:tcW w:w="1525" w:type="dxa"/>
            <w:vAlign w:val="center"/>
          </w:tcPr>
          <w:p w14:paraId="16F23032"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190,058</w:t>
            </w:r>
          </w:p>
        </w:tc>
      </w:tr>
      <w:tr w:rsidR="001A5A4F" w:rsidRPr="001A5A4F" w14:paraId="71EB9207" w14:textId="77777777" w:rsidTr="000525D5">
        <w:trPr>
          <w:trHeight w:val="283"/>
        </w:trPr>
        <w:tc>
          <w:tcPr>
            <w:tcW w:w="5306" w:type="dxa"/>
            <w:vAlign w:val="center"/>
          </w:tcPr>
          <w:p w14:paraId="149AA842"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Reserves</w:t>
            </w:r>
          </w:p>
        </w:tc>
        <w:tc>
          <w:tcPr>
            <w:tcW w:w="1517" w:type="dxa"/>
            <w:vAlign w:val="center"/>
          </w:tcPr>
          <w:p w14:paraId="0C35AEAB" w14:textId="77777777" w:rsidR="001A5A4F" w:rsidRPr="001A5A4F" w:rsidRDefault="001A5A4F" w:rsidP="000525D5">
            <w:pPr>
              <w:spacing w:line="240" w:lineRule="auto"/>
              <w:rPr>
                <w:rFonts w:cs="Arial"/>
                <w:sz w:val="18"/>
                <w:szCs w:val="18"/>
              </w:rPr>
            </w:pPr>
          </w:p>
        </w:tc>
        <w:tc>
          <w:tcPr>
            <w:tcW w:w="1517" w:type="dxa"/>
            <w:vAlign w:val="center"/>
          </w:tcPr>
          <w:p w14:paraId="027A7C90" w14:textId="77777777" w:rsidR="001A5A4F" w:rsidRPr="001A5A4F" w:rsidRDefault="001A5A4F" w:rsidP="000525D5">
            <w:pPr>
              <w:spacing w:line="240" w:lineRule="auto"/>
              <w:rPr>
                <w:rFonts w:cs="Arial"/>
                <w:sz w:val="18"/>
                <w:szCs w:val="18"/>
              </w:rPr>
            </w:pPr>
          </w:p>
        </w:tc>
        <w:tc>
          <w:tcPr>
            <w:tcW w:w="1525" w:type="dxa"/>
            <w:vAlign w:val="center"/>
          </w:tcPr>
          <w:p w14:paraId="30095AC2" w14:textId="77777777" w:rsidR="001A5A4F" w:rsidRPr="001A5A4F" w:rsidRDefault="001A5A4F" w:rsidP="000525D5">
            <w:pPr>
              <w:spacing w:line="240" w:lineRule="auto"/>
              <w:rPr>
                <w:rFonts w:cs="Arial"/>
                <w:sz w:val="18"/>
                <w:szCs w:val="18"/>
              </w:rPr>
            </w:pPr>
          </w:p>
        </w:tc>
      </w:tr>
      <w:tr w:rsidR="001A5A4F" w:rsidRPr="001A5A4F" w14:paraId="0BC125B7" w14:textId="77777777" w:rsidTr="000525D5">
        <w:trPr>
          <w:trHeight w:val="283"/>
        </w:trPr>
        <w:tc>
          <w:tcPr>
            <w:tcW w:w="5306" w:type="dxa"/>
            <w:vAlign w:val="center"/>
          </w:tcPr>
          <w:p w14:paraId="754E074F"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Fixed asset revaluation reserve</w:t>
            </w:r>
          </w:p>
        </w:tc>
        <w:tc>
          <w:tcPr>
            <w:tcW w:w="1517" w:type="dxa"/>
            <w:vAlign w:val="center"/>
          </w:tcPr>
          <w:p w14:paraId="4D7B49C6" w14:textId="77777777" w:rsidR="001A5A4F" w:rsidRPr="001A5A4F" w:rsidRDefault="001A5A4F" w:rsidP="000525D5">
            <w:pPr>
              <w:spacing w:line="240" w:lineRule="auto"/>
              <w:rPr>
                <w:rFonts w:cs="Arial"/>
                <w:sz w:val="18"/>
                <w:szCs w:val="18"/>
              </w:rPr>
            </w:pPr>
          </w:p>
        </w:tc>
        <w:tc>
          <w:tcPr>
            <w:tcW w:w="1517" w:type="dxa"/>
            <w:vAlign w:val="center"/>
          </w:tcPr>
          <w:p w14:paraId="0DCA1650"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4,077</w:t>
            </w:r>
          </w:p>
        </w:tc>
        <w:tc>
          <w:tcPr>
            <w:tcW w:w="1525" w:type="dxa"/>
            <w:vAlign w:val="center"/>
          </w:tcPr>
          <w:p w14:paraId="1CC6A55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4,077</w:t>
            </w:r>
          </w:p>
        </w:tc>
      </w:tr>
      <w:tr w:rsidR="001A5A4F" w:rsidRPr="001A5A4F" w14:paraId="6BC3E0B9" w14:textId="77777777" w:rsidTr="000525D5">
        <w:trPr>
          <w:trHeight w:val="283"/>
        </w:trPr>
        <w:tc>
          <w:tcPr>
            <w:tcW w:w="5306" w:type="dxa"/>
            <w:vAlign w:val="center"/>
          </w:tcPr>
          <w:p w14:paraId="0BD098AD"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Other reserves</w:t>
            </w:r>
          </w:p>
        </w:tc>
        <w:tc>
          <w:tcPr>
            <w:tcW w:w="1517" w:type="dxa"/>
            <w:vAlign w:val="center"/>
          </w:tcPr>
          <w:p w14:paraId="5C7DEB5B" w14:textId="77777777" w:rsidR="001A5A4F" w:rsidRPr="001A5A4F" w:rsidRDefault="001A5A4F" w:rsidP="000525D5">
            <w:pPr>
              <w:spacing w:line="240" w:lineRule="auto"/>
              <w:rPr>
                <w:rFonts w:cs="Arial"/>
                <w:sz w:val="18"/>
                <w:szCs w:val="18"/>
              </w:rPr>
            </w:pPr>
          </w:p>
        </w:tc>
        <w:tc>
          <w:tcPr>
            <w:tcW w:w="1517" w:type="dxa"/>
            <w:vAlign w:val="center"/>
          </w:tcPr>
          <w:p w14:paraId="65BAD8F9"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50,086</w:t>
            </w:r>
          </w:p>
        </w:tc>
        <w:tc>
          <w:tcPr>
            <w:tcW w:w="1525" w:type="dxa"/>
            <w:vAlign w:val="center"/>
          </w:tcPr>
          <w:p w14:paraId="4C22BD4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50,086</w:t>
            </w:r>
          </w:p>
        </w:tc>
      </w:tr>
      <w:tr w:rsidR="001A5A4F" w:rsidRPr="001A5A4F" w14:paraId="3909297A" w14:textId="77777777" w:rsidTr="000525D5">
        <w:trPr>
          <w:trHeight w:val="283"/>
        </w:trPr>
        <w:tc>
          <w:tcPr>
            <w:tcW w:w="5306" w:type="dxa"/>
            <w:vAlign w:val="center"/>
          </w:tcPr>
          <w:p w14:paraId="5490FF2F"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Retained earnings</w:t>
            </w:r>
          </w:p>
        </w:tc>
        <w:tc>
          <w:tcPr>
            <w:tcW w:w="1517" w:type="dxa"/>
            <w:vAlign w:val="center"/>
          </w:tcPr>
          <w:p w14:paraId="599A9027" w14:textId="77777777" w:rsidR="001A5A4F" w:rsidRPr="001A5A4F" w:rsidRDefault="001A5A4F" w:rsidP="000525D5">
            <w:pPr>
              <w:spacing w:line="240" w:lineRule="auto"/>
              <w:rPr>
                <w:rFonts w:cs="Arial"/>
                <w:sz w:val="18"/>
                <w:szCs w:val="18"/>
              </w:rPr>
            </w:pPr>
          </w:p>
        </w:tc>
        <w:tc>
          <w:tcPr>
            <w:tcW w:w="1517" w:type="dxa"/>
            <w:vAlign w:val="center"/>
          </w:tcPr>
          <w:p w14:paraId="19991F75"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241,510</w:t>
            </w:r>
          </w:p>
        </w:tc>
        <w:tc>
          <w:tcPr>
            <w:tcW w:w="1525" w:type="dxa"/>
            <w:vAlign w:val="center"/>
          </w:tcPr>
          <w:p w14:paraId="22588593" w14:textId="77777777" w:rsidR="001A5A4F" w:rsidRPr="001A5A4F" w:rsidRDefault="001A5A4F" w:rsidP="000525D5">
            <w:pPr>
              <w:spacing w:line="240" w:lineRule="auto"/>
              <w:rPr>
                <w:rFonts w:cs="Arial"/>
                <w:color w:val="000000"/>
                <w:sz w:val="18"/>
                <w:szCs w:val="18"/>
              </w:rPr>
            </w:pPr>
            <w:r w:rsidRPr="001A5A4F">
              <w:rPr>
                <w:rFonts w:cs="Arial"/>
                <w:color w:val="000000"/>
                <w:sz w:val="18"/>
                <w:szCs w:val="18"/>
              </w:rPr>
              <w:t>135,895</w:t>
            </w:r>
          </w:p>
        </w:tc>
      </w:tr>
      <w:tr w:rsidR="001A5A4F" w:rsidRPr="001A5A4F" w14:paraId="392C6C5A" w14:textId="77777777" w:rsidTr="000525D5">
        <w:trPr>
          <w:trHeight w:val="283"/>
        </w:trPr>
        <w:tc>
          <w:tcPr>
            <w:tcW w:w="5306" w:type="dxa"/>
            <w:vAlign w:val="center"/>
          </w:tcPr>
          <w:p w14:paraId="2F88F554"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 xml:space="preserve">Total reserves </w:t>
            </w:r>
          </w:p>
        </w:tc>
        <w:tc>
          <w:tcPr>
            <w:tcW w:w="1517" w:type="dxa"/>
            <w:vAlign w:val="center"/>
          </w:tcPr>
          <w:p w14:paraId="34386059" w14:textId="77777777" w:rsidR="001A5A4F" w:rsidRPr="001A5A4F" w:rsidRDefault="001A5A4F" w:rsidP="000525D5">
            <w:pPr>
              <w:spacing w:line="240" w:lineRule="auto"/>
              <w:rPr>
                <w:rFonts w:cs="Arial"/>
                <w:sz w:val="18"/>
                <w:szCs w:val="18"/>
              </w:rPr>
            </w:pPr>
          </w:p>
        </w:tc>
        <w:tc>
          <w:tcPr>
            <w:tcW w:w="1517" w:type="dxa"/>
            <w:vAlign w:val="center"/>
          </w:tcPr>
          <w:p w14:paraId="71D4FF16"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295,673</w:t>
            </w:r>
          </w:p>
        </w:tc>
        <w:tc>
          <w:tcPr>
            <w:tcW w:w="1525" w:type="dxa"/>
            <w:vAlign w:val="center"/>
          </w:tcPr>
          <w:p w14:paraId="134AD725" w14:textId="77777777" w:rsidR="001A5A4F" w:rsidRPr="001A5A4F" w:rsidRDefault="001A5A4F" w:rsidP="000525D5">
            <w:pPr>
              <w:spacing w:line="240" w:lineRule="auto"/>
              <w:rPr>
                <w:rFonts w:cs="Arial"/>
                <w:color w:val="000000"/>
                <w:sz w:val="18"/>
                <w:szCs w:val="18"/>
              </w:rPr>
            </w:pPr>
            <w:r w:rsidRPr="001A5A4F">
              <w:rPr>
                <w:rFonts w:cs="Arial"/>
                <w:b/>
                <w:bCs/>
                <w:color w:val="000000"/>
                <w:sz w:val="18"/>
                <w:szCs w:val="18"/>
              </w:rPr>
              <w:t>190,058</w:t>
            </w:r>
          </w:p>
        </w:tc>
      </w:tr>
    </w:tbl>
    <w:p w14:paraId="378CE2B1" w14:textId="77777777" w:rsidR="001A5A4F" w:rsidRPr="001A5A4F" w:rsidRDefault="001A5A4F" w:rsidP="001A5A4F">
      <w:pPr>
        <w:rPr>
          <w:rFonts w:cs="Arial"/>
        </w:rPr>
      </w:pPr>
    </w:p>
    <w:p w14:paraId="35A314C5" w14:textId="6B3FED4A" w:rsidR="001A5A4F" w:rsidRPr="001A5A4F" w:rsidRDefault="001A5A4F" w:rsidP="001A5A4F">
      <w:pPr>
        <w:rPr>
          <w:rFonts w:cs="Arial"/>
          <w:color w:val="000000"/>
        </w:rPr>
      </w:pPr>
      <w:r w:rsidRPr="001A5A4F">
        <w:rPr>
          <w:rFonts w:cs="Arial"/>
          <w:color w:val="000000"/>
        </w:rPr>
        <w:t xml:space="preserve">The financial statements were approved by the board of Directors and authorised for issue on 18 June 2025. They were signed on its behalf by: </w:t>
      </w:r>
    </w:p>
    <w:p w14:paraId="49BFF50B" w14:textId="77777777" w:rsidR="001A5A4F" w:rsidRPr="001A5A4F" w:rsidRDefault="001A5A4F" w:rsidP="001A5A4F">
      <w:pPr>
        <w:rPr>
          <w:rFonts w:cs="Arial"/>
          <w:color w:val="000000"/>
        </w:rPr>
      </w:pPr>
    </w:p>
    <w:p w14:paraId="3166EA18" w14:textId="023CA2D8" w:rsidR="001A5A4F" w:rsidRPr="001A5A4F" w:rsidRDefault="001A5A4F" w:rsidP="001A5A4F">
      <w:pPr>
        <w:rPr>
          <w:rFonts w:cs="Arial"/>
          <w:b/>
          <w:bCs/>
          <w:color w:val="000000"/>
        </w:rPr>
      </w:pPr>
      <w:r w:rsidRPr="001A5A4F">
        <w:rPr>
          <w:rFonts w:cs="Arial"/>
          <w:b/>
          <w:bCs/>
          <w:color w:val="000000"/>
        </w:rPr>
        <w:t xml:space="preserve"> C Conway (Group Chief Executive)</w:t>
      </w:r>
    </w:p>
    <w:p w14:paraId="61A107C5" w14:textId="6E052366" w:rsidR="001A5A4F" w:rsidRDefault="001A5A4F" w:rsidP="001A5A4F">
      <w:pPr>
        <w:rPr>
          <w:rFonts w:cs="Arial"/>
          <w:color w:val="000000"/>
        </w:rPr>
      </w:pPr>
      <w:r w:rsidRPr="001A5A4F">
        <w:rPr>
          <w:rFonts w:cs="Arial"/>
          <w:color w:val="000000"/>
        </w:rPr>
        <w:t>The notes on pages 46 to 76 form part of these consolidated financial statements.</w:t>
      </w:r>
    </w:p>
    <w:p w14:paraId="553BDF1F" w14:textId="61D02C86" w:rsidR="001A5A4F" w:rsidRPr="003F4D72" w:rsidRDefault="001A5A4F" w:rsidP="003F4D72">
      <w:pPr>
        <w:pStyle w:val="Heading1"/>
        <w:rPr>
          <w:color w:val="000000"/>
          <w:sz w:val="24"/>
          <w:szCs w:val="24"/>
        </w:rPr>
      </w:pPr>
      <w:bookmarkStart w:id="240" w:name="_Toc213058672"/>
      <w:r w:rsidRPr="001A5A4F">
        <w:lastRenderedPageBreak/>
        <w:t>Company Balance Sheet</w:t>
      </w:r>
      <w:bookmarkEnd w:id="240"/>
      <w:r w:rsidRPr="001A5A4F">
        <w:t xml:space="preserve"> </w:t>
      </w:r>
    </w:p>
    <w:p w14:paraId="74EB9E1F" w14:textId="77777777" w:rsidR="001A5A4F" w:rsidRPr="001A5A4F" w:rsidRDefault="001A5A4F" w:rsidP="001A5A4F">
      <w:pPr>
        <w:spacing w:line="276" w:lineRule="auto"/>
        <w:rPr>
          <w:rFonts w:ascii="Axiforma SemiBold" w:hAnsi="Axiforma SemiBold" w:cs="Axiforma SemiBold"/>
        </w:rPr>
      </w:pPr>
      <w:proofErr w:type="gramStart"/>
      <w:r w:rsidRPr="001A5A4F">
        <w:rPr>
          <w:rFonts w:ascii="Axiforma SemiBold" w:hAnsi="Axiforma SemiBold" w:cs="Axiforma SemiBold"/>
        </w:rPr>
        <w:t>At</w:t>
      </w:r>
      <w:proofErr w:type="gramEnd"/>
      <w:r w:rsidRPr="001A5A4F">
        <w:rPr>
          <w:rFonts w:ascii="Axiforma SemiBold" w:hAnsi="Axiforma SemiBold" w:cs="Axiforma SemiBold"/>
        </w:rPr>
        <w:t xml:space="preserve"> 30 March 2025</w:t>
      </w:r>
    </w:p>
    <w:p w14:paraId="0E1E00C1" w14:textId="77777777" w:rsidR="001A5A4F" w:rsidRPr="001A5A4F" w:rsidRDefault="001A5A4F" w:rsidP="001A5A4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180" w:lineRule="atLeast"/>
        <w:textAlignment w:val="center"/>
        <w:rPr>
          <w:rFonts w:ascii="Axiforma Book" w:hAnsi="Axiforma Book" w:cs="Axiforma Book"/>
          <w:b/>
          <w:bCs/>
          <w:color w:val="000000"/>
          <w:sz w:val="14"/>
          <w:szCs w:val="14"/>
        </w:rPr>
      </w:pPr>
    </w:p>
    <w:tbl>
      <w:tblPr>
        <w:tblStyle w:val="TableGrid"/>
        <w:tblW w:w="0" w:type="auto"/>
        <w:tblLayout w:type="fixed"/>
        <w:tblLook w:val="0000" w:firstRow="0" w:lastRow="0" w:firstColumn="0" w:lastColumn="0" w:noHBand="0" w:noVBand="0"/>
      </w:tblPr>
      <w:tblGrid>
        <w:gridCol w:w="4106"/>
        <w:gridCol w:w="1559"/>
        <w:gridCol w:w="2127"/>
        <w:gridCol w:w="2080"/>
      </w:tblGrid>
      <w:tr w:rsidR="001A5A4F" w:rsidRPr="001A5A4F" w14:paraId="24AF3F2A" w14:textId="77777777" w:rsidTr="000525D5">
        <w:trPr>
          <w:trHeight w:val="283"/>
        </w:trPr>
        <w:tc>
          <w:tcPr>
            <w:tcW w:w="4106" w:type="dxa"/>
          </w:tcPr>
          <w:p w14:paraId="300F9866" w14:textId="77777777" w:rsidR="001A5A4F" w:rsidRPr="001A5A4F" w:rsidRDefault="001A5A4F" w:rsidP="001A5A4F">
            <w:pPr>
              <w:spacing w:line="240" w:lineRule="auto"/>
              <w:rPr>
                <w:rFonts w:cs="Arial"/>
                <w:color w:val="000000" w:themeColor="text1"/>
                <w:sz w:val="20"/>
                <w:szCs w:val="20"/>
              </w:rPr>
            </w:pPr>
          </w:p>
        </w:tc>
        <w:tc>
          <w:tcPr>
            <w:tcW w:w="1559" w:type="dxa"/>
            <w:vAlign w:val="center"/>
          </w:tcPr>
          <w:p w14:paraId="615641F1"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14:textOutline w14:w="9525" w14:cap="flat" w14:cmpd="sng" w14:algn="ctr">
                  <w14:noFill/>
                  <w14:prstDash w14:val="solid"/>
                  <w14:round/>
                </w14:textOutline>
              </w:rPr>
              <w:t>Notes</w:t>
            </w:r>
          </w:p>
        </w:tc>
        <w:tc>
          <w:tcPr>
            <w:tcW w:w="2127" w:type="dxa"/>
            <w:vAlign w:val="center"/>
          </w:tcPr>
          <w:p w14:paraId="452C9FEE" w14:textId="77777777" w:rsidR="001A5A4F" w:rsidRPr="001A5A4F" w:rsidRDefault="001A5A4F" w:rsidP="000525D5">
            <w:pPr>
              <w:spacing w:line="240" w:lineRule="auto"/>
              <w:rPr>
                <w:rFonts w:cs="Arial"/>
                <w:b/>
                <w:bCs/>
                <w:color w:val="000000" w:themeColor="text1"/>
                <w:sz w:val="20"/>
                <w:szCs w:val="20"/>
                <w14:textOutline w14:w="9525" w14:cap="flat" w14:cmpd="sng" w14:algn="ctr">
                  <w14:noFill/>
                  <w14:prstDash w14:val="solid"/>
                  <w14:round/>
                </w14:textOutline>
              </w:rPr>
            </w:pPr>
            <w:r w:rsidRPr="001A5A4F">
              <w:rPr>
                <w:rFonts w:cs="Arial"/>
                <w:b/>
                <w:bCs/>
                <w:color w:val="000000" w:themeColor="text1"/>
                <w:sz w:val="20"/>
                <w:szCs w:val="20"/>
                <w14:textOutline w14:w="9525" w14:cap="flat" w14:cmpd="sng" w14:algn="ctr">
                  <w14:noFill/>
                  <w14:prstDash w14:val="solid"/>
                  <w14:round/>
                </w14:textOutline>
              </w:rPr>
              <w:t>30 March 2025</w:t>
            </w:r>
          </w:p>
          <w:p w14:paraId="5C003E15"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14:textOutline w14:w="9525" w14:cap="flat" w14:cmpd="sng" w14:algn="ctr">
                  <w14:noFill/>
                  <w14:prstDash w14:val="solid"/>
                  <w14:round/>
                </w14:textOutline>
              </w:rPr>
              <w:t>£’000</w:t>
            </w:r>
          </w:p>
        </w:tc>
        <w:tc>
          <w:tcPr>
            <w:tcW w:w="2080" w:type="dxa"/>
            <w:vAlign w:val="center"/>
          </w:tcPr>
          <w:p w14:paraId="105A968E" w14:textId="77777777" w:rsidR="001A5A4F" w:rsidRPr="001A5A4F" w:rsidRDefault="001A5A4F" w:rsidP="000525D5">
            <w:pPr>
              <w:spacing w:line="240" w:lineRule="auto"/>
              <w:rPr>
                <w:rFonts w:cs="Arial"/>
                <w:b/>
                <w:bCs/>
                <w:color w:val="000000" w:themeColor="text1"/>
                <w:sz w:val="20"/>
                <w:szCs w:val="20"/>
                <w14:textOutline w14:w="9525" w14:cap="flat" w14:cmpd="sng" w14:algn="ctr">
                  <w14:noFill/>
                  <w14:prstDash w14:val="solid"/>
                  <w14:round/>
                </w14:textOutline>
              </w:rPr>
            </w:pPr>
            <w:r w:rsidRPr="001A5A4F">
              <w:rPr>
                <w:rFonts w:cs="Arial"/>
                <w:b/>
                <w:bCs/>
                <w:color w:val="000000" w:themeColor="text1"/>
                <w:sz w:val="20"/>
                <w:szCs w:val="20"/>
                <w14:textOutline w14:w="9525" w14:cap="flat" w14:cmpd="sng" w14:algn="ctr">
                  <w14:noFill/>
                  <w14:prstDash w14:val="solid"/>
                  <w14:round/>
                </w14:textOutline>
              </w:rPr>
              <w:t>31 March 2024</w:t>
            </w:r>
          </w:p>
          <w:p w14:paraId="7E4E80C7"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14:textOutline w14:w="9525" w14:cap="flat" w14:cmpd="sng" w14:algn="ctr">
                  <w14:noFill/>
                  <w14:prstDash w14:val="solid"/>
                  <w14:round/>
                </w14:textOutline>
              </w:rPr>
              <w:t>£’000</w:t>
            </w:r>
          </w:p>
        </w:tc>
      </w:tr>
      <w:tr w:rsidR="001A5A4F" w:rsidRPr="001A5A4F" w14:paraId="7526E1F4" w14:textId="77777777" w:rsidTr="000525D5">
        <w:trPr>
          <w:trHeight w:val="283"/>
        </w:trPr>
        <w:tc>
          <w:tcPr>
            <w:tcW w:w="4106" w:type="dxa"/>
            <w:vAlign w:val="center"/>
          </w:tcPr>
          <w:p w14:paraId="7217053F"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Assets</w:t>
            </w:r>
          </w:p>
        </w:tc>
        <w:tc>
          <w:tcPr>
            <w:tcW w:w="1559" w:type="dxa"/>
            <w:vAlign w:val="center"/>
          </w:tcPr>
          <w:p w14:paraId="78313DAA"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1417A5A9"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6A3B0475" w14:textId="77777777" w:rsidR="001A5A4F" w:rsidRPr="001A5A4F" w:rsidRDefault="001A5A4F" w:rsidP="000525D5">
            <w:pPr>
              <w:spacing w:line="240" w:lineRule="auto"/>
              <w:rPr>
                <w:rFonts w:cs="Arial"/>
                <w:color w:val="000000" w:themeColor="text1"/>
                <w:sz w:val="20"/>
                <w:szCs w:val="20"/>
              </w:rPr>
            </w:pPr>
          </w:p>
        </w:tc>
      </w:tr>
      <w:tr w:rsidR="001A5A4F" w:rsidRPr="001A5A4F" w14:paraId="27064111" w14:textId="77777777" w:rsidTr="000525D5">
        <w:trPr>
          <w:trHeight w:val="283"/>
        </w:trPr>
        <w:tc>
          <w:tcPr>
            <w:tcW w:w="4106" w:type="dxa"/>
            <w:vAlign w:val="center"/>
          </w:tcPr>
          <w:p w14:paraId="6FB74B98" w14:textId="77777777" w:rsidR="001A5A4F" w:rsidRPr="001A5A4F" w:rsidRDefault="001A5A4F" w:rsidP="000525D5">
            <w:pPr>
              <w:spacing w:line="240" w:lineRule="auto"/>
              <w:rPr>
                <w:rFonts w:cs="Arial"/>
                <w:b/>
                <w:bCs/>
                <w:color w:val="000000" w:themeColor="text1"/>
                <w:sz w:val="20"/>
                <w:szCs w:val="20"/>
              </w:rPr>
            </w:pPr>
            <w:r w:rsidRPr="001A5A4F">
              <w:rPr>
                <w:rFonts w:cs="Arial"/>
                <w:b/>
                <w:bCs/>
                <w:i/>
                <w:iCs/>
                <w:color w:val="000000" w:themeColor="text1"/>
                <w:sz w:val="20"/>
                <w:szCs w:val="20"/>
              </w:rPr>
              <w:t>Non-current assets</w:t>
            </w:r>
          </w:p>
        </w:tc>
        <w:tc>
          <w:tcPr>
            <w:tcW w:w="1559" w:type="dxa"/>
            <w:vAlign w:val="center"/>
          </w:tcPr>
          <w:p w14:paraId="65DBED18"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41239AB2"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0DF26480" w14:textId="77777777" w:rsidR="001A5A4F" w:rsidRPr="001A5A4F" w:rsidRDefault="001A5A4F" w:rsidP="000525D5">
            <w:pPr>
              <w:spacing w:line="240" w:lineRule="auto"/>
              <w:rPr>
                <w:rFonts w:cs="Arial"/>
                <w:color w:val="000000" w:themeColor="text1"/>
                <w:sz w:val="20"/>
                <w:szCs w:val="20"/>
              </w:rPr>
            </w:pPr>
          </w:p>
        </w:tc>
      </w:tr>
      <w:tr w:rsidR="001A5A4F" w:rsidRPr="001A5A4F" w14:paraId="12CA339B" w14:textId="77777777" w:rsidTr="000525D5">
        <w:trPr>
          <w:trHeight w:val="283"/>
        </w:trPr>
        <w:tc>
          <w:tcPr>
            <w:tcW w:w="4106" w:type="dxa"/>
            <w:vAlign w:val="center"/>
          </w:tcPr>
          <w:p w14:paraId="35FAF65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Deferred tax asset</w:t>
            </w:r>
          </w:p>
        </w:tc>
        <w:tc>
          <w:tcPr>
            <w:tcW w:w="1559" w:type="dxa"/>
            <w:vAlign w:val="center"/>
          </w:tcPr>
          <w:p w14:paraId="77C9B7F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9</w:t>
            </w:r>
          </w:p>
        </w:tc>
        <w:tc>
          <w:tcPr>
            <w:tcW w:w="2127" w:type="dxa"/>
            <w:vAlign w:val="center"/>
          </w:tcPr>
          <w:p w14:paraId="10A3F77F"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47</w:t>
            </w:r>
          </w:p>
        </w:tc>
        <w:tc>
          <w:tcPr>
            <w:tcW w:w="2080" w:type="dxa"/>
            <w:vAlign w:val="center"/>
          </w:tcPr>
          <w:p w14:paraId="7D5A7868"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14</w:t>
            </w:r>
          </w:p>
        </w:tc>
      </w:tr>
      <w:tr w:rsidR="001A5A4F" w:rsidRPr="001A5A4F" w14:paraId="2F8B3149" w14:textId="77777777" w:rsidTr="000525D5">
        <w:trPr>
          <w:trHeight w:val="283"/>
        </w:trPr>
        <w:tc>
          <w:tcPr>
            <w:tcW w:w="4106" w:type="dxa"/>
            <w:vAlign w:val="center"/>
          </w:tcPr>
          <w:p w14:paraId="722A8484"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Property, plant and equipment</w:t>
            </w:r>
          </w:p>
        </w:tc>
        <w:tc>
          <w:tcPr>
            <w:tcW w:w="1559" w:type="dxa"/>
            <w:vAlign w:val="center"/>
          </w:tcPr>
          <w:p w14:paraId="642AB988"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11</w:t>
            </w:r>
          </w:p>
        </w:tc>
        <w:tc>
          <w:tcPr>
            <w:tcW w:w="2127" w:type="dxa"/>
            <w:vAlign w:val="center"/>
          </w:tcPr>
          <w:p w14:paraId="561C80B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61,175</w:t>
            </w:r>
          </w:p>
        </w:tc>
        <w:tc>
          <w:tcPr>
            <w:tcW w:w="2080" w:type="dxa"/>
            <w:vAlign w:val="center"/>
          </w:tcPr>
          <w:p w14:paraId="1E83561C"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225,667</w:t>
            </w:r>
          </w:p>
        </w:tc>
      </w:tr>
      <w:tr w:rsidR="001A5A4F" w:rsidRPr="001A5A4F" w14:paraId="68E16EBB" w14:textId="77777777" w:rsidTr="000525D5">
        <w:trPr>
          <w:trHeight w:val="283"/>
        </w:trPr>
        <w:tc>
          <w:tcPr>
            <w:tcW w:w="4106" w:type="dxa"/>
            <w:vAlign w:val="center"/>
          </w:tcPr>
          <w:p w14:paraId="09EE9171"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Investment property</w:t>
            </w:r>
          </w:p>
        </w:tc>
        <w:tc>
          <w:tcPr>
            <w:tcW w:w="1559" w:type="dxa"/>
            <w:vAlign w:val="center"/>
          </w:tcPr>
          <w:p w14:paraId="204E605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12</w:t>
            </w:r>
          </w:p>
        </w:tc>
        <w:tc>
          <w:tcPr>
            <w:tcW w:w="2127" w:type="dxa"/>
            <w:vAlign w:val="center"/>
          </w:tcPr>
          <w:p w14:paraId="79D1A2BE"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1,309</w:t>
            </w:r>
          </w:p>
        </w:tc>
        <w:tc>
          <w:tcPr>
            <w:tcW w:w="2080" w:type="dxa"/>
            <w:vAlign w:val="center"/>
          </w:tcPr>
          <w:p w14:paraId="7A5D506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1,309</w:t>
            </w:r>
          </w:p>
        </w:tc>
      </w:tr>
      <w:tr w:rsidR="001A5A4F" w:rsidRPr="001A5A4F" w14:paraId="71A3DD50" w14:textId="77777777" w:rsidTr="000525D5">
        <w:trPr>
          <w:trHeight w:val="283"/>
        </w:trPr>
        <w:tc>
          <w:tcPr>
            <w:tcW w:w="4106" w:type="dxa"/>
            <w:vAlign w:val="center"/>
          </w:tcPr>
          <w:p w14:paraId="2B61DF84"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Investment in subsidiaries</w:t>
            </w:r>
          </w:p>
        </w:tc>
        <w:tc>
          <w:tcPr>
            <w:tcW w:w="1559" w:type="dxa"/>
            <w:vAlign w:val="center"/>
          </w:tcPr>
          <w:p w14:paraId="64C88DC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13</w:t>
            </w:r>
          </w:p>
        </w:tc>
        <w:tc>
          <w:tcPr>
            <w:tcW w:w="2127" w:type="dxa"/>
            <w:vAlign w:val="center"/>
          </w:tcPr>
          <w:p w14:paraId="7CF4591E"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w:t>
            </w:r>
          </w:p>
        </w:tc>
        <w:tc>
          <w:tcPr>
            <w:tcW w:w="2080" w:type="dxa"/>
            <w:vAlign w:val="center"/>
          </w:tcPr>
          <w:p w14:paraId="450BD2D4"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w:t>
            </w:r>
          </w:p>
        </w:tc>
      </w:tr>
      <w:tr w:rsidR="001A5A4F" w:rsidRPr="001A5A4F" w14:paraId="43711C29" w14:textId="77777777" w:rsidTr="000525D5">
        <w:trPr>
          <w:trHeight w:val="283"/>
        </w:trPr>
        <w:tc>
          <w:tcPr>
            <w:tcW w:w="4106" w:type="dxa"/>
            <w:vAlign w:val="center"/>
          </w:tcPr>
          <w:p w14:paraId="366E3F26"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Employee benefits</w:t>
            </w:r>
          </w:p>
        </w:tc>
        <w:tc>
          <w:tcPr>
            <w:tcW w:w="1559" w:type="dxa"/>
            <w:vAlign w:val="center"/>
          </w:tcPr>
          <w:p w14:paraId="3E795CA9"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20</w:t>
            </w:r>
          </w:p>
        </w:tc>
        <w:tc>
          <w:tcPr>
            <w:tcW w:w="2127" w:type="dxa"/>
            <w:vAlign w:val="center"/>
          </w:tcPr>
          <w:p w14:paraId="50E4A0A7"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6,468</w:t>
            </w:r>
          </w:p>
        </w:tc>
        <w:tc>
          <w:tcPr>
            <w:tcW w:w="2080" w:type="dxa"/>
            <w:vAlign w:val="center"/>
          </w:tcPr>
          <w:p w14:paraId="6DF3F7A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3,669</w:t>
            </w:r>
          </w:p>
        </w:tc>
      </w:tr>
      <w:tr w:rsidR="001A5A4F" w:rsidRPr="001A5A4F" w14:paraId="490A22B7" w14:textId="77777777" w:rsidTr="000525D5">
        <w:trPr>
          <w:trHeight w:val="283"/>
        </w:trPr>
        <w:tc>
          <w:tcPr>
            <w:tcW w:w="4106" w:type="dxa"/>
            <w:vAlign w:val="center"/>
          </w:tcPr>
          <w:p w14:paraId="65521DD8"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Total non-current assets</w:t>
            </w:r>
          </w:p>
        </w:tc>
        <w:tc>
          <w:tcPr>
            <w:tcW w:w="1559" w:type="dxa"/>
            <w:vAlign w:val="center"/>
          </w:tcPr>
          <w:p w14:paraId="1A4FD637"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03D9C14B"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68,999</w:t>
            </w:r>
          </w:p>
        </w:tc>
        <w:tc>
          <w:tcPr>
            <w:tcW w:w="2080" w:type="dxa"/>
            <w:vAlign w:val="center"/>
          </w:tcPr>
          <w:p w14:paraId="53D90E65"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230,659</w:t>
            </w:r>
          </w:p>
        </w:tc>
      </w:tr>
      <w:tr w:rsidR="001A5A4F" w:rsidRPr="001A5A4F" w14:paraId="180370B4" w14:textId="77777777" w:rsidTr="000525D5">
        <w:trPr>
          <w:trHeight w:val="283"/>
        </w:trPr>
        <w:tc>
          <w:tcPr>
            <w:tcW w:w="4106" w:type="dxa"/>
            <w:vAlign w:val="center"/>
          </w:tcPr>
          <w:p w14:paraId="24E2A125" w14:textId="77777777" w:rsidR="001A5A4F" w:rsidRPr="001A5A4F" w:rsidRDefault="001A5A4F" w:rsidP="000525D5">
            <w:pPr>
              <w:spacing w:line="240" w:lineRule="auto"/>
              <w:rPr>
                <w:rFonts w:cs="Arial"/>
                <w:b/>
                <w:bCs/>
                <w:color w:val="000000" w:themeColor="text1"/>
                <w:sz w:val="20"/>
                <w:szCs w:val="20"/>
              </w:rPr>
            </w:pPr>
            <w:r w:rsidRPr="001A5A4F">
              <w:rPr>
                <w:rFonts w:cs="Arial"/>
                <w:b/>
                <w:bCs/>
                <w:i/>
                <w:iCs/>
                <w:color w:val="000000" w:themeColor="text1"/>
                <w:sz w:val="20"/>
                <w:szCs w:val="20"/>
              </w:rPr>
              <w:t>Current assets</w:t>
            </w:r>
          </w:p>
        </w:tc>
        <w:tc>
          <w:tcPr>
            <w:tcW w:w="1559" w:type="dxa"/>
            <w:vAlign w:val="center"/>
          </w:tcPr>
          <w:p w14:paraId="254CDA0A"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1055840F"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3BB7DF6F" w14:textId="77777777" w:rsidR="001A5A4F" w:rsidRPr="001A5A4F" w:rsidRDefault="001A5A4F" w:rsidP="000525D5">
            <w:pPr>
              <w:spacing w:line="240" w:lineRule="auto"/>
              <w:rPr>
                <w:rFonts w:cs="Arial"/>
                <w:color w:val="000000" w:themeColor="text1"/>
                <w:sz w:val="20"/>
                <w:szCs w:val="20"/>
              </w:rPr>
            </w:pPr>
          </w:p>
        </w:tc>
      </w:tr>
      <w:tr w:rsidR="001A5A4F" w:rsidRPr="001A5A4F" w14:paraId="2D6F15F2" w14:textId="77777777" w:rsidTr="000525D5">
        <w:trPr>
          <w:trHeight w:val="283"/>
        </w:trPr>
        <w:tc>
          <w:tcPr>
            <w:tcW w:w="4106" w:type="dxa"/>
            <w:vAlign w:val="center"/>
          </w:tcPr>
          <w:p w14:paraId="570778E3"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Trade and other receivables</w:t>
            </w:r>
          </w:p>
        </w:tc>
        <w:tc>
          <w:tcPr>
            <w:tcW w:w="1559" w:type="dxa"/>
            <w:vAlign w:val="center"/>
          </w:tcPr>
          <w:p w14:paraId="54B591F4"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15</w:t>
            </w:r>
          </w:p>
        </w:tc>
        <w:tc>
          <w:tcPr>
            <w:tcW w:w="2127" w:type="dxa"/>
            <w:vAlign w:val="center"/>
          </w:tcPr>
          <w:p w14:paraId="54AD1049"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312,697</w:t>
            </w:r>
          </w:p>
        </w:tc>
        <w:tc>
          <w:tcPr>
            <w:tcW w:w="2080" w:type="dxa"/>
            <w:vAlign w:val="center"/>
          </w:tcPr>
          <w:p w14:paraId="0E56A7C6"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228,693</w:t>
            </w:r>
          </w:p>
        </w:tc>
      </w:tr>
      <w:tr w:rsidR="001A5A4F" w:rsidRPr="001A5A4F" w14:paraId="010136E2" w14:textId="77777777" w:rsidTr="000525D5">
        <w:trPr>
          <w:trHeight w:val="283"/>
        </w:trPr>
        <w:tc>
          <w:tcPr>
            <w:tcW w:w="4106" w:type="dxa"/>
            <w:vAlign w:val="center"/>
          </w:tcPr>
          <w:p w14:paraId="19A9B58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Cash and cash equivalents</w:t>
            </w:r>
          </w:p>
        </w:tc>
        <w:tc>
          <w:tcPr>
            <w:tcW w:w="1559" w:type="dxa"/>
            <w:vAlign w:val="center"/>
          </w:tcPr>
          <w:p w14:paraId="1EA633B2"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6919EEDB"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84</w:t>
            </w:r>
          </w:p>
        </w:tc>
        <w:tc>
          <w:tcPr>
            <w:tcW w:w="2080" w:type="dxa"/>
            <w:vAlign w:val="center"/>
          </w:tcPr>
          <w:p w14:paraId="22ED346E"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208</w:t>
            </w:r>
          </w:p>
        </w:tc>
      </w:tr>
      <w:tr w:rsidR="001A5A4F" w:rsidRPr="001A5A4F" w14:paraId="1FECC098" w14:textId="77777777" w:rsidTr="000525D5">
        <w:trPr>
          <w:trHeight w:val="283"/>
        </w:trPr>
        <w:tc>
          <w:tcPr>
            <w:tcW w:w="4106" w:type="dxa"/>
            <w:vAlign w:val="center"/>
          </w:tcPr>
          <w:p w14:paraId="26A32431"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Total current assets</w:t>
            </w:r>
          </w:p>
        </w:tc>
        <w:tc>
          <w:tcPr>
            <w:tcW w:w="1559" w:type="dxa"/>
            <w:vAlign w:val="center"/>
          </w:tcPr>
          <w:p w14:paraId="5BB02618"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0FB25833"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312,781</w:t>
            </w:r>
          </w:p>
        </w:tc>
        <w:tc>
          <w:tcPr>
            <w:tcW w:w="2080" w:type="dxa"/>
            <w:vAlign w:val="center"/>
          </w:tcPr>
          <w:p w14:paraId="47EE66DB"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228,901</w:t>
            </w:r>
          </w:p>
        </w:tc>
      </w:tr>
      <w:tr w:rsidR="001A5A4F" w:rsidRPr="001A5A4F" w14:paraId="53579774" w14:textId="77777777" w:rsidTr="000525D5">
        <w:trPr>
          <w:trHeight w:val="283"/>
        </w:trPr>
        <w:tc>
          <w:tcPr>
            <w:tcW w:w="4106" w:type="dxa"/>
            <w:vAlign w:val="center"/>
          </w:tcPr>
          <w:p w14:paraId="58A5434F"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Liabilities</w:t>
            </w:r>
          </w:p>
        </w:tc>
        <w:tc>
          <w:tcPr>
            <w:tcW w:w="1559" w:type="dxa"/>
            <w:vAlign w:val="center"/>
          </w:tcPr>
          <w:p w14:paraId="57142176"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3A549E0F"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5B407865" w14:textId="77777777" w:rsidR="001A5A4F" w:rsidRPr="001A5A4F" w:rsidRDefault="001A5A4F" w:rsidP="000525D5">
            <w:pPr>
              <w:spacing w:line="240" w:lineRule="auto"/>
              <w:rPr>
                <w:rFonts w:cs="Arial"/>
                <w:color w:val="000000" w:themeColor="text1"/>
                <w:sz w:val="20"/>
                <w:szCs w:val="20"/>
              </w:rPr>
            </w:pPr>
          </w:p>
        </w:tc>
      </w:tr>
      <w:tr w:rsidR="001A5A4F" w:rsidRPr="001A5A4F" w14:paraId="5A888843" w14:textId="77777777" w:rsidTr="000525D5">
        <w:trPr>
          <w:trHeight w:val="283"/>
        </w:trPr>
        <w:tc>
          <w:tcPr>
            <w:tcW w:w="4106" w:type="dxa"/>
            <w:vAlign w:val="center"/>
          </w:tcPr>
          <w:p w14:paraId="625A1208" w14:textId="77777777" w:rsidR="001A5A4F" w:rsidRPr="001A5A4F" w:rsidRDefault="001A5A4F" w:rsidP="000525D5">
            <w:pPr>
              <w:spacing w:line="240" w:lineRule="auto"/>
              <w:rPr>
                <w:rFonts w:cs="Arial"/>
                <w:b/>
                <w:bCs/>
                <w:color w:val="000000" w:themeColor="text1"/>
                <w:sz w:val="20"/>
                <w:szCs w:val="20"/>
              </w:rPr>
            </w:pPr>
            <w:r w:rsidRPr="001A5A4F">
              <w:rPr>
                <w:rFonts w:cs="Arial"/>
                <w:b/>
                <w:bCs/>
                <w:i/>
                <w:iCs/>
                <w:color w:val="000000" w:themeColor="text1"/>
                <w:sz w:val="20"/>
                <w:szCs w:val="20"/>
              </w:rPr>
              <w:t>Current liabilities</w:t>
            </w:r>
          </w:p>
        </w:tc>
        <w:tc>
          <w:tcPr>
            <w:tcW w:w="1559" w:type="dxa"/>
            <w:vAlign w:val="center"/>
          </w:tcPr>
          <w:p w14:paraId="3472B564"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2FA59A2A"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7F18191E" w14:textId="77777777" w:rsidR="001A5A4F" w:rsidRPr="001A5A4F" w:rsidRDefault="001A5A4F" w:rsidP="000525D5">
            <w:pPr>
              <w:spacing w:line="240" w:lineRule="auto"/>
              <w:rPr>
                <w:rFonts w:cs="Arial"/>
                <w:color w:val="000000" w:themeColor="text1"/>
                <w:sz w:val="20"/>
                <w:szCs w:val="20"/>
              </w:rPr>
            </w:pPr>
          </w:p>
        </w:tc>
      </w:tr>
      <w:tr w:rsidR="001A5A4F" w:rsidRPr="001A5A4F" w14:paraId="15BFB53B" w14:textId="77777777" w:rsidTr="000525D5">
        <w:trPr>
          <w:trHeight w:val="283"/>
        </w:trPr>
        <w:tc>
          <w:tcPr>
            <w:tcW w:w="4106" w:type="dxa"/>
            <w:vAlign w:val="center"/>
          </w:tcPr>
          <w:p w14:paraId="42E04FA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Trade and other payables</w:t>
            </w:r>
          </w:p>
        </w:tc>
        <w:tc>
          <w:tcPr>
            <w:tcW w:w="1559" w:type="dxa"/>
            <w:vAlign w:val="center"/>
          </w:tcPr>
          <w:p w14:paraId="325B8C6F"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16</w:t>
            </w:r>
          </w:p>
        </w:tc>
        <w:tc>
          <w:tcPr>
            <w:tcW w:w="2127" w:type="dxa"/>
            <w:vAlign w:val="center"/>
          </w:tcPr>
          <w:p w14:paraId="7D2759F5"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299,408</w:t>
            </w:r>
          </w:p>
        </w:tc>
        <w:tc>
          <w:tcPr>
            <w:tcW w:w="2080" w:type="dxa"/>
            <w:vAlign w:val="center"/>
          </w:tcPr>
          <w:p w14:paraId="69B311D3"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215,565</w:t>
            </w:r>
          </w:p>
        </w:tc>
      </w:tr>
      <w:tr w:rsidR="001A5A4F" w:rsidRPr="001A5A4F" w14:paraId="091DFEE6" w14:textId="77777777" w:rsidTr="000525D5">
        <w:trPr>
          <w:trHeight w:val="283"/>
        </w:trPr>
        <w:tc>
          <w:tcPr>
            <w:tcW w:w="4106" w:type="dxa"/>
            <w:vAlign w:val="center"/>
          </w:tcPr>
          <w:p w14:paraId="76984949"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Corporation tax liabilities</w:t>
            </w:r>
          </w:p>
        </w:tc>
        <w:tc>
          <w:tcPr>
            <w:tcW w:w="1559" w:type="dxa"/>
            <w:vAlign w:val="center"/>
          </w:tcPr>
          <w:p w14:paraId="4B405FD8"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7FA9B1B7"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41</w:t>
            </w:r>
          </w:p>
        </w:tc>
        <w:tc>
          <w:tcPr>
            <w:tcW w:w="2080" w:type="dxa"/>
            <w:vAlign w:val="center"/>
          </w:tcPr>
          <w:p w14:paraId="2C13A7ED"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208</w:t>
            </w:r>
          </w:p>
        </w:tc>
      </w:tr>
      <w:tr w:rsidR="001A5A4F" w:rsidRPr="001A5A4F" w14:paraId="7A5375BA" w14:textId="77777777" w:rsidTr="000525D5">
        <w:trPr>
          <w:trHeight w:val="283"/>
        </w:trPr>
        <w:tc>
          <w:tcPr>
            <w:tcW w:w="4106" w:type="dxa"/>
            <w:vAlign w:val="center"/>
          </w:tcPr>
          <w:p w14:paraId="5EC8823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Provisions</w:t>
            </w:r>
          </w:p>
        </w:tc>
        <w:tc>
          <w:tcPr>
            <w:tcW w:w="1559" w:type="dxa"/>
            <w:vAlign w:val="center"/>
          </w:tcPr>
          <w:p w14:paraId="4D3753F6"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17</w:t>
            </w:r>
          </w:p>
        </w:tc>
        <w:tc>
          <w:tcPr>
            <w:tcW w:w="2127" w:type="dxa"/>
            <w:vAlign w:val="center"/>
          </w:tcPr>
          <w:p w14:paraId="5E9CED1E"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w:t>
            </w:r>
          </w:p>
        </w:tc>
        <w:tc>
          <w:tcPr>
            <w:tcW w:w="2080" w:type="dxa"/>
            <w:vAlign w:val="center"/>
          </w:tcPr>
          <w:p w14:paraId="45416F31"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w:t>
            </w:r>
          </w:p>
        </w:tc>
      </w:tr>
      <w:tr w:rsidR="001A5A4F" w:rsidRPr="001A5A4F" w14:paraId="67A5C87D" w14:textId="77777777" w:rsidTr="000525D5">
        <w:trPr>
          <w:trHeight w:val="283"/>
        </w:trPr>
        <w:tc>
          <w:tcPr>
            <w:tcW w:w="4106" w:type="dxa"/>
            <w:vAlign w:val="center"/>
          </w:tcPr>
          <w:p w14:paraId="6ED852FC"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Total current liabilities</w:t>
            </w:r>
          </w:p>
        </w:tc>
        <w:tc>
          <w:tcPr>
            <w:tcW w:w="1559" w:type="dxa"/>
            <w:vAlign w:val="center"/>
          </w:tcPr>
          <w:p w14:paraId="7BF47578"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6C4B7A65"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299,451</w:t>
            </w:r>
          </w:p>
        </w:tc>
        <w:tc>
          <w:tcPr>
            <w:tcW w:w="2080" w:type="dxa"/>
            <w:vAlign w:val="center"/>
          </w:tcPr>
          <w:p w14:paraId="26A373FF"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215,777</w:t>
            </w:r>
          </w:p>
        </w:tc>
      </w:tr>
      <w:tr w:rsidR="001A5A4F" w:rsidRPr="001A5A4F" w14:paraId="7B29C3A9" w14:textId="77777777" w:rsidTr="000525D5">
        <w:trPr>
          <w:trHeight w:val="283"/>
        </w:trPr>
        <w:tc>
          <w:tcPr>
            <w:tcW w:w="4106" w:type="dxa"/>
            <w:vAlign w:val="center"/>
          </w:tcPr>
          <w:p w14:paraId="5E094EDB"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Net current assets</w:t>
            </w:r>
          </w:p>
        </w:tc>
        <w:tc>
          <w:tcPr>
            <w:tcW w:w="1559" w:type="dxa"/>
            <w:vAlign w:val="center"/>
          </w:tcPr>
          <w:p w14:paraId="26231388"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2AB1186E"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13,330</w:t>
            </w:r>
          </w:p>
        </w:tc>
        <w:tc>
          <w:tcPr>
            <w:tcW w:w="2080" w:type="dxa"/>
            <w:vAlign w:val="center"/>
          </w:tcPr>
          <w:p w14:paraId="67030D80"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13,124</w:t>
            </w:r>
          </w:p>
        </w:tc>
      </w:tr>
      <w:tr w:rsidR="001A5A4F" w:rsidRPr="001A5A4F" w14:paraId="54D040D9" w14:textId="77777777" w:rsidTr="000525D5">
        <w:trPr>
          <w:trHeight w:val="283"/>
        </w:trPr>
        <w:tc>
          <w:tcPr>
            <w:tcW w:w="4106" w:type="dxa"/>
            <w:vAlign w:val="center"/>
          </w:tcPr>
          <w:p w14:paraId="0C441446" w14:textId="77777777" w:rsidR="001A5A4F" w:rsidRPr="001A5A4F" w:rsidRDefault="001A5A4F" w:rsidP="000525D5">
            <w:pPr>
              <w:spacing w:line="240" w:lineRule="auto"/>
              <w:rPr>
                <w:rFonts w:cs="Arial"/>
                <w:b/>
                <w:bCs/>
                <w:color w:val="000000" w:themeColor="text1"/>
                <w:sz w:val="20"/>
                <w:szCs w:val="20"/>
              </w:rPr>
            </w:pPr>
            <w:r w:rsidRPr="001A5A4F">
              <w:rPr>
                <w:rFonts w:cs="Arial"/>
                <w:b/>
                <w:bCs/>
                <w:i/>
                <w:iCs/>
                <w:color w:val="000000" w:themeColor="text1"/>
                <w:sz w:val="20"/>
                <w:szCs w:val="20"/>
              </w:rPr>
              <w:t>Non-current liabilities</w:t>
            </w:r>
          </w:p>
        </w:tc>
        <w:tc>
          <w:tcPr>
            <w:tcW w:w="1559" w:type="dxa"/>
            <w:vAlign w:val="center"/>
          </w:tcPr>
          <w:p w14:paraId="2ACA67DF"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31FF9075"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3455A60E" w14:textId="77777777" w:rsidR="001A5A4F" w:rsidRPr="001A5A4F" w:rsidRDefault="001A5A4F" w:rsidP="000525D5">
            <w:pPr>
              <w:spacing w:line="240" w:lineRule="auto"/>
              <w:rPr>
                <w:rFonts w:cs="Arial"/>
                <w:color w:val="000000" w:themeColor="text1"/>
                <w:sz w:val="20"/>
                <w:szCs w:val="20"/>
              </w:rPr>
            </w:pPr>
          </w:p>
        </w:tc>
      </w:tr>
      <w:tr w:rsidR="001A5A4F" w:rsidRPr="001A5A4F" w14:paraId="5785D982" w14:textId="77777777" w:rsidTr="000525D5">
        <w:trPr>
          <w:trHeight w:val="283"/>
        </w:trPr>
        <w:tc>
          <w:tcPr>
            <w:tcW w:w="4106" w:type="dxa"/>
            <w:vAlign w:val="center"/>
          </w:tcPr>
          <w:p w14:paraId="5454B5E6"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Deferred tax liability</w:t>
            </w:r>
          </w:p>
        </w:tc>
        <w:tc>
          <w:tcPr>
            <w:tcW w:w="1559" w:type="dxa"/>
            <w:vAlign w:val="center"/>
          </w:tcPr>
          <w:p w14:paraId="50D31611"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9</w:t>
            </w:r>
          </w:p>
        </w:tc>
        <w:tc>
          <w:tcPr>
            <w:tcW w:w="2127" w:type="dxa"/>
            <w:vAlign w:val="center"/>
          </w:tcPr>
          <w:p w14:paraId="4D025807"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5,731</w:t>
            </w:r>
          </w:p>
        </w:tc>
        <w:tc>
          <w:tcPr>
            <w:tcW w:w="2080" w:type="dxa"/>
            <w:vAlign w:val="center"/>
          </w:tcPr>
          <w:p w14:paraId="6DF7D3D1"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5,038</w:t>
            </w:r>
          </w:p>
        </w:tc>
      </w:tr>
      <w:tr w:rsidR="001A5A4F" w:rsidRPr="001A5A4F" w14:paraId="2AD46168" w14:textId="77777777" w:rsidTr="000525D5">
        <w:trPr>
          <w:trHeight w:val="283"/>
        </w:trPr>
        <w:tc>
          <w:tcPr>
            <w:tcW w:w="4106" w:type="dxa"/>
            <w:vAlign w:val="center"/>
          </w:tcPr>
          <w:p w14:paraId="44F62F5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Deferred income</w:t>
            </w:r>
          </w:p>
        </w:tc>
        <w:tc>
          <w:tcPr>
            <w:tcW w:w="1559" w:type="dxa"/>
            <w:vAlign w:val="center"/>
          </w:tcPr>
          <w:p w14:paraId="3381D6CC"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18</w:t>
            </w:r>
          </w:p>
        </w:tc>
        <w:tc>
          <w:tcPr>
            <w:tcW w:w="2127" w:type="dxa"/>
            <w:vAlign w:val="center"/>
          </w:tcPr>
          <w:p w14:paraId="171A1592"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37,605</w:t>
            </w:r>
          </w:p>
        </w:tc>
        <w:tc>
          <w:tcPr>
            <w:tcW w:w="2080" w:type="dxa"/>
            <w:vAlign w:val="center"/>
          </w:tcPr>
          <w:p w14:paraId="5EBA4420"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201,587</w:t>
            </w:r>
          </w:p>
        </w:tc>
      </w:tr>
      <w:tr w:rsidR="001A5A4F" w:rsidRPr="001A5A4F" w14:paraId="75DFE041" w14:textId="77777777" w:rsidTr="000525D5">
        <w:trPr>
          <w:trHeight w:val="283"/>
        </w:trPr>
        <w:tc>
          <w:tcPr>
            <w:tcW w:w="4106" w:type="dxa"/>
            <w:vAlign w:val="center"/>
          </w:tcPr>
          <w:p w14:paraId="30A9AE32"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Total non-current liabilities</w:t>
            </w:r>
          </w:p>
        </w:tc>
        <w:tc>
          <w:tcPr>
            <w:tcW w:w="1559" w:type="dxa"/>
            <w:vAlign w:val="center"/>
          </w:tcPr>
          <w:p w14:paraId="788C7EB7"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40E6286B"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43,336</w:t>
            </w:r>
          </w:p>
        </w:tc>
        <w:tc>
          <w:tcPr>
            <w:tcW w:w="2080" w:type="dxa"/>
            <w:vAlign w:val="center"/>
          </w:tcPr>
          <w:p w14:paraId="58A966F6"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206,625</w:t>
            </w:r>
          </w:p>
        </w:tc>
      </w:tr>
      <w:tr w:rsidR="001A5A4F" w:rsidRPr="001A5A4F" w14:paraId="6CDF1C7F" w14:textId="77777777" w:rsidTr="000525D5">
        <w:trPr>
          <w:trHeight w:val="283"/>
        </w:trPr>
        <w:tc>
          <w:tcPr>
            <w:tcW w:w="4106" w:type="dxa"/>
            <w:vAlign w:val="center"/>
          </w:tcPr>
          <w:p w14:paraId="28AB053E"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Net assets</w:t>
            </w:r>
          </w:p>
        </w:tc>
        <w:tc>
          <w:tcPr>
            <w:tcW w:w="1559" w:type="dxa"/>
            <w:vAlign w:val="center"/>
          </w:tcPr>
          <w:p w14:paraId="43F4D717"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22EC76B5"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38,993</w:t>
            </w:r>
          </w:p>
        </w:tc>
        <w:tc>
          <w:tcPr>
            <w:tcW w:w="2080" w:type="dxa"/>
            <w:vAlign w:val="center"/>
          </w:tcPr>
          <w:p w14:paraId="6492C010"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37,158</w:t>
            </w:r>
          </w:p>
        </w:tc>
      </w:tr>
      <w:tr w:rsidR="001A5A4F" w:rsidRPr="001A5A4F" w14:paraId="7B2635CA" w14:textId="77777777" w:rsidTr="000525D5">
        <w:trPr>
          <w:trHeight w:val="283"/>
        </w:trPr>
        <w:tc>
          <w:tcPr>
            <w:tcW w:w="4106" w:type="dxa"/>
            <w:vAlign w:val="center"/>
          </w:tcPr>
          <w:p w14:paraId="4655298D" w14:textId="77777777" w:rsidR="001A5A4F" w:rsidRPr="001A5A4F" w:rsidRDefault="001A5A4F" w:rsidP="000525D5">
            <w:pPr>
              <w:spacing w:line="240" w:lineRule="auto"/>
              <w:rPr>
                <w:rFonts w:cs="Arial"/>
                <w:b/>
                <w:bCs/>
                <w:color w:val="000000" w:themeColor="text1"/>
                <w:sz w:val="20"/>
                <w:szCs w:val="20"/>
              </w:rPr>
            </w:pPr>
            <w:r w:rsidRPr="001A5A4F">
              <w:rPr>
                <w:rFonts w:cs="Arial"/>
                <w:b/>
                <w:bCs/>
                <w:color w:val="000000" w:themeColor="text1"/>
                <w:sz w:val="20"/>
                <w:szCs w:val="20"/>
              </w:rPr>
              <w:t>Reserves</w:t>
            </w:r>
          </w:p>
        </w:tc>
        <w:tc>
          <w:tcPr>
            <w:tcW w:w="1559" w:type="dxa"/>
            <w:vAlign w:val="center"/>
          </w:tcPr>
          <w:p w14:paraId="4C27D1FA"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2EAF2FCD" w14:textId="77777777" w:rsidR="001A5A4F" w:rsidRPr="001A5A4F" w:rsidRDefault="001A5A4F" w:rsidP="000525D5">
            <w:pPr>
              <w:spacing w:line="240" w:lineRule="auto"/>
              <w:rPr>
                <w:rFonts w:cs="Arial"/>
                <w:color w:val="000000" w:themeColor="text1"/>
                <w:sz w:val="20"/>
                <w:szCs w:val="20"/>
              </w:rPr>
            </w:pPr>
          </w:p>
        </w:tc>
        <w:tc>
          <w:tcPr>
            <w:tcW w:w="2080" w:type="dxa"/>
            <w:vAlign w:val="center"/>
          </w:tcPr>
          <w:p w14:paraId="11C985FF" w14:textId="77777777" w:rsidR="001A5A4F" w:rsidRPr="001A5A4F" w:rsidRDefault="001A5A4F" w:rsidP="000525D5">
            <w:pPr>
              <w:spacing w:line="240" w:lineRule="auto"/>
              <w:rPr>
                <w:rFonts w:cs="Arial"/>
                <w:color w:val="000000" w:themeColor="text1"/>
                <w:sz w:val="20"/>
                <w:szCs w:val="20"/>
              </w:rPr>
            </w:pPr>
          </w:p>
        </w:tc>
      </w:tr>
      <w:tr w:rsidR="001A5A4F" w:rsidRPr="001A5A4F" w14:paraId="6CCFBCB2" w14:textId="77777777" w:rsidTr="000525D5">
        <w:trPr>
          <w:trHeight w:val="283"/>
        </w:trPr>
        <w:tc>
          <w:tcPr>
            <w:tcW w:w="4106" w:type="dxa"/>
            <w:vAlign w:val="center"/>
          </w:tcPr>
          <w:p w14:paraId="03EA8265"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Fixed asset revaluation reserve</w:t>
            </w:r>
          </w:p>
        </w:tc>
        <w:tc>
          <w:tcPr>
            <w:tcW w:w="1559" w:type="dxa"/>
            <w:vAlign w:val="center"/>
          </w:tcPr>
          <w:p w14:paraId="5699017B"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46DAACA4"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4,079</w:t>
            </w:r>
          </w:p>
        </w:tc>
        <w:tc>
          <w:tcPr>
            <w:tcW w:w="2080" w:type="dxa"/>
            <w:vAlign w:val="center"/>
          </w:tcPr>
          <w:p w14:paraId="4E1DEB11"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4,079</w:t>
            </w:r>
          </w:p>
        </w:tc>
      </w:tr>
      <w:tr w:rsidR="001A5A4F" w:rsidRPr="001A5A4F" w14:paraId="285AE122" w14:textId="77777777" w:rsidTr="000525D5">
        <w:trPr>
          <w:trHeight w:val="283"/>
        </w:trPr>
        <w:tc>
          <w:tcPr>
            <w:tcW w:w="4106" w:type="dxa"/>
            <w:vAlign w:val="center"/>
          </w:tcPr>
          <w:p w14:paraId="7886EA7A"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Other reserves</w:t>
            </w:r>
          </w:p>
        </w:tc>
        <w:tc>
          <w:tcPr>
            <w:tcW w:w="1559" w:type="dxa"/>
            <w:vAlign w:val="center"/>
          </w:tcPr>
          <w:p w14:paraId="6ADE4739"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6C5F4E1D"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39,844</w:t>
            </w:r>
          </w:p>
        </w:tc>
        <w:tc>
          <w:tcPr>
            <w:tcW w:w="2080" w:type="dxa"/>
            <w:vAlign w:val="center"/>
          </w:tcPr>
          <w:p w14:paraId="1F44AAD8"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39,844</w:t>
            </w:r>
          </w:p>
        </w:tc>
      </w:tr>
      <w:tr w:rsidR="001A5A4F" w:rsidRPr="001A5A4F" w14:paraId="33E1E394" w14:textId="77777777" w:rsidTr="000525D5">
        <w:trPr>
          <w:trHeight w:val="283"/>
        </w:trPr>
        <w:tc>
          <w:tcPr>
            <w:tcW w:w="4106" w:type="dxa"/>
            <w:vAlign w:val="center"/>
          </w:tcPr>
          <w:p w14:paraId="417BA5D3"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Retained earnings</w:t>
            </w:r>
          </w:p>
        </w:tc>
        <w:tc>
          <w:tcPr>
            <w:tcW w:w="1559" w:type="dxa"/>
            <w:vAlign w:val="center"/>
          </w:tcPr>
          <w:p w14:paraId="3F956CA4"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62759303"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(4,930)</w:t>
            </w:r>
          </w:p>
        </w:tc>
        <w:tc>
          <w:tcPr>
            <w:tcW w:w="2080" w:type="dxa"/>
            <w:vAlign w:val="center"/>
          </w:tcPr>
          <w:p w14:paraId="5395C636" w14:textId="77777777" w:rsidR="001A5A4F" w:rsidRPr="001A5A4F" w:rsidRDefault="001A5A4F" w:rsidP="000525D5">
            <w:pPr>
              <w:spacing w:line="240" w:lineRule="auto"/>
              <w:rPr>
                <w:rFonts w:cs="Arial"/>
                <w:b/>
                <w:bCs/>
                <w:color w:val="000000" w:themeColor="text1"/>
                <w:sz w:val="20"/>
                <w:szCs w:val="20"/>
              </w:rPr>
            </w:pPr>
            <w:r w:rsidRPr="001A5A4F">
              <w:rPr>
                <w:rFonts w:cs="Arial"/>
                <w:color w:val="000000" w:themeColor="text1"/>
                <w:sz w:val="20"/>
                <w:szCs w:val="20"/>
              </w:rPr>
              <w:t>(6,765)</w:t>
            </w:r>
          </w:p>
        </w:tc>
      </w:tr>
      <w:tr w:rsidR="001A5A4F" w:rsidRPr="001A5A4F" w14:paraId="6A10202C" w14:textId="77777777" w:rsidTr="000525D5">
        <w:trPr>
          <w:trHeight w:val="283"/>
        </w:trPr>
        <w:tc>
          <w:tcPr>
            <w:tcW w:w="4106" w:type="dxa"/>
            <w:vAlign w:val="center"/>
          </w:tcPr>
          <w:p w14:paraId="7BE4760F" w14:textId="77777777" w:rsidR="001A5A4F" w:rsidRPr="001A5A4F" w:rsidRDefault="001A5A4F" w:rsidP="000525D5">
            <w:pPr>
              <w:spacing w:line="240" w:lineRule="auto"/>
              <w:rPr>
                <w:rFonts w:cs="Arial"/>
                <w:color w:val="000000" w:themeColor="text1"/>
                <w:sz w:val="20"/>
                <w:szCs w:val="20"/>
              </w:rPr>
            </w:pPr>
            <w:r w:rsidRPr="001A5A4F">
              <w:rPr>
                <w:rFonts w:cs="Arial"/>
                <w:b/>
                <w:bCs/>
                <w:color w:val="000000" w:themeColor="text1"/>
                <w:sz w:val="20"/>
                <w:szCs w:val="20"/>
              </w:rPr>
              <w:t xml:space="preserve">Total reserves </w:t>
            </w:r>
          </w:p>
        </w:tc>
        <w:tc>
          <w:tcPr>
            <w:tcW w:w="1559" w:type="dxa"/>
            <w:vAlign w:val="center"/>
          </w:tcPr>
          <w:p w14:paraId="069220BA" w14:textId="77777777" w:rsidR="001A5A4F" w:rsidRPr="001A5A4F" w:rsidRDefault="001A5A4F" w:rsidP="000525D5">
            <w:pPr>
              <w:spacing w:line="240" w:lineRule="auto"/>
              <w:rPr>
                <w:rFonts w:cs="Arial"/>
                <w:color w:val="000000" w:themeColor="text1"/>
                <w:sz w:val="20"/>
                <w:szCs w:val="20"/>
              </w:rPr>
            </w:pPr>
          </w:p>
        </w:tc>
        <w:tc>
          <w:tcPr>
            <w:tcW w:w="2127" w:type="dxa"/>
            <w:vAlign w:val="center"/>
          </w:tcPr>
          <w:p w14:paraId="2EFE3C0A" w14:textId="77777777" w:rsidR="001A5A4F" w:rsidRPr="001A5A4F" w:rsidRDefault="001A5A4F" w:rsidP="000525D5">
            <w:pPr>
              <w:spacing w:line="240" w:lineRule="auto"/>
              <w:rPr>
                <w:rFonts w:cs="Arial"/>
                <w:color w:val="000000" w:themeColor="text1"/>
                <w:sz w:val="20"/>
                <w:szCs w:val="20"/>
              </w:rPr>
            </w:pPr>
            <w:r w:rsidRPr="001A5A4F">
              <w:rPr>
                <w:rFonts w:cs="Arial"/>
                <w:b/>
                <w:bCs/>
                <w:color w:val="000000" w:themeColor="text1"/>
                <w:sz w:val="20"/>
                <w:szCs w:val="20"/>
              </w:rPr>
              <w:t>38,993</w:t>
            </w:r>
          </w:p>
        </w:tc>
        <w:tc>
          <w:tcPr>
            <w:tcW w:w="2080" w:type="dxa"/>
            <w:vAlign w:val="center"/>
          </w:tcPr>
          <w:p w14:paraId="6A521583" w14:textId="77777777" w:rsidR="001A5A4F" w:rsidRPr="001A5A4F" w:rsidRDefault="001A5A4F" w:rsidP="000525D5">
            <w:pPr>
              <w:spacing w:line="240" w:lineRule="auto"/>
              <w:rPr>
                <w:rFonts w:cs="Arial"/>
                <w:color w:val="000000" w:themeColor="text1"/>
                <w:sz w:val="20"/>
                <w:szCs w:val="20"/>
              </w:rPr>
            </w:pPr>
            <w:r w:rsidRPr="001A5A4F">
              <w:rPr>
                <w:rFonts w:cs="Arial"/>
                <w:b/>
                <w:bCs/>
                <w:color w:val="000000" w:themeColor="text1"/>
                <w:sz w:val="20"/>
                <w:szCs w:val="20"/>
              </w:rPr>
              <w:t>37,158</w:t>
            </w:r>
          </w:p>
        </w:tc>
      </w:tr>
    </w:tbl>
    <w:p w14:paraId="07AF332C" w14:textId="77777777" w:rsidR="001A5A4F" w:rsidRPr="001A5A4F" w:rsidRDefault="001A5A4F" w:rsidP="001A5A4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180" w:lineRule="atLeast"/>
        <w:textAlignment w:val="center"/>
        <w:rPr>
          <w:rFonts w:ascii="Axiforma Book" w:hAnsi="Axiforma Book" w:cs="Axiforma Book"/>
          <w:b/>
          <w:bCs/>
          <w:color w:val="000000"/>
          <w:sz w:val="14"/>
          <w:szCs w:val="14"/>
        </w:rPr>
      </w:pPr>
    </w:p>
    <w:p w14:paraId="674AC3C6" w14:textId="77777777" w:rsidR="001A5A4F" w:rsidRPr="001A5A4F" w:rsidRDefault="001A5A4F" w:rsidP="001A5A4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180" w:lineRule="atLeast"/>
        <w:textAlignment w:val="center"/>
        <w:rPr>
          <w:rFonts w:ascii="Axiforma Book" w:hAnsi="Axiforma Book" w:cs="Axiforma Book"/>
          <w:b/>
          <w:bCs/>
          <w:color w:val="000000"/>
          <w:sz w:val="14"/>
          <w:szCs w:val="14"/>
        </w:rPr>
      </w:pPr>
    </w:p>
    <w:p w14:paraId="1315D6F5" w14:textId="77777777" w:rsidR="001A5A4F" w:rsidRPr="001A5A4F" w:rsidRDefault="001A5A4F" w:rsidP="001A5A4F">
      <w:pPr>
        <w:rPr>
          <w:rFonts w:cs="Arial"/>
        </w:rPr>
      </w:pPr>
      <w:r w:rsidRPr="001A5A4F">
        <w:rPr>
          <w:rFonts w:cs="Arial"/>
        </w:rPr>
        <w:t>As permitted by s408 of the Companies Act 2006, the profit and loss account of the parent Company is not presented as part of these financial statements.  The parent Company’s loss for the financial period amounted to £122,000 (2024: Loss of £1,490,000).</w:t>
      </w:r>
    </w:p>
    <w:p w14:paraId="47E4202A" w14:textId="77777777" w:rsidR="001A5A4F" w:rsidRPr="001A5A4F" w:rsidRDefault="001A5A4F" w:rsidP="001A5A4F">
      <w:pPr>
        <w:rPr>
          <w:rFonts w:cs="Arial"/>
        </w:rPr>
      </w:pPr>
    </w:p>
    <w:p w14:paraId="15B2B6B7" w14:textId="77777777" w:rsidR="001A5A4F" w:rsidRPr="001A5A4F" w:rsidRDefault="001A5A4F" w:rsidP="001A5A4F">
      <w:pPr>
        <w:rPr>
          <w:rFonts w:cs="Arial"/>
        </w:rPr>
      </w:pPr>
      <w:r w:rsidRPr="001A5A4F">
        <w:rPr>
          <w:rFonts w:cs="Arial"/>
        </w:rPr>
        <w:t>The financial statements were approved by the board of Directors and authorised for issue on 18 June 2025. They were signed on its behalf by:</w:t>
      </w:r>
    </w:p>
    <w:p w14:paraId="13057629" w14:textId="77777777" w:rsidR="001A5A4F" w:rsidRPr="001A5A4F" w:rsidRDefault="001A5A4F" w:rsidP="001A5A4F">
      <w:pPr>
        <w:rPr>
          <w:rFonts w:cs="Arial"/>
        </w:rPr>
      </w:pPr>
      <w:r w:rsidRPr="001A5A4F">
        <w:rPr>
          <w:rFonts w:cs="Arial"/>
        </w:rPr>
        <w:tab/>
      </w:r>
    </w:p>
    <w:p w14:paraId="5392C043" w14:textId="77777777" w:rsidR="001A5A4F" w:rsidRPr="001A5A4F" w:rsidRDefault="001A5A4F" w:rsidP="001A5A4F">
      <w:pPr>
        <w:rPr>
          <w:rFonts w:cs="Arial"/>
        </w:rPr>
      </w:pPr>
      <w:r w:rsidRPr="001A5A4F">
        <w:rPr>
          <w:rFonts w:cs="Arial"/>
          <w:b/>
          <w:bCs/>
        </w:rPr>
        <w:t>C Conway (Group Chief Executive)</w:t>
      </w:r>
    </w:p>
    <w:p w14:paraId="40B800D8" w14:textId="0CD97A09" w:rsidR="001A5A4F" w:rsidRPr="001A5A4F" w:rsidRDefault="001A5A4F" w:rsidP="001A5A4F">
      <w:pPr>
        <w:rPr>
          <w:rFonts w:cs="Arial"/>
        </w:rPr>
      </w:pPr>
      <w:r w:rsidRPr="001A5A4F">
        <w:rPr>
          <w:rFonts w:cs="Arial"/>
        </w:rPr>
        <w:t>The notes on pages 46 to 76 form part of these consolidated financial statements.</w:t>
      </w:r>
    </w:p>
    <w:p w14:paraId="42C5EE94" w14:textId="77777777" w:rsidR="00570A08" w:rsidRDefault="00570A08" w:rsidP="003F4D72">
      <w:pPr>
        <w:pStyle w:val="Heading1"/>
      </w:pPr>
      <w:bookmarkStart w:id="241" w:name="_Toc213058673"/>
      <w:r w:rsidRPr="00570A08">
        <w:lastRenderedPageBreak/>
        <w:t xml:space="preserve">Statement of Changes </w:t>
      </w:r>
      <w:r w:rsidRPr="00570A08">
        <w:br/>
        <w:t>in Reserves</w:t>
      </w:r>
      <w:bookmarkEnd w:id="241"/>
    </w:p>
    <w:p w14:paraId="4F326A33" w14:textId="77777777" w:rsidR="00570A08" w:rsidRDefault="00570A08" w:rsidP="00570A08">
      <w:pPr>
        <w:spacing w:line="276" w:lineRule="auto"/>
        <w:rPr>
          <w:b/>
          <w:bCs/>
          <w:sz w:val="44"/>
          <w:szCs w:val="44"/>
        </w:rPr>
      </w:pPr>
    </w:p>
    <w:tbl>
      <w:tblPr>
        <w:tblStyle w:val="TableGrid"/>
        <w:tblW w:w="0" w:type="auto"/>
        <w:tblLayout w:type="fixed"/>
        <w:tblLook w:val="0000" w:firstRow="0" w:lastRow="0" w:firstColumn="0" w:lastColumn="0" w:noHBand="0" w:noVBand="0"/>
      </w:tblPr>
      <w:tblGrid>
        <w:gridCol w:w="4531"/>
        <w:gridCol w:w="1677"/>
        <w:gridCol w:w="1247"/>
        <w:gridCol w:w="1247"/>
        <w:gridCol w:w="1159"/>
      </w:tblGrid>
      <w:tr w:rsidR="00570A08" w:rsidRPr="00570A08" w14:paraId="42D83BA8" w14:textId="77777777" w:rsidTr="00570A08">
        <w:trPr>
          <w:trHeight w:val="283"/>
        </w:trPr>
        <w:tc>
          <w:tcPr>
            <w:tcW w:w="4531" w:type="dxa"/>
          </w:tcPr>
          <w:p w14:paraId="71B26D73" w14:textId="77777777" w:rsidR="00570A08" w:rsidRPr="00570A08" w:rsidRDefault="00570A08" w:rsidP="00570A08">
            <w:pPr>
              <w:tabs>
                <w:tab w:val="left" w:pos="198"/>
              </w:tabs>
              <w:suppressAutoHyphens/>
              <w:autoSpaceDE w:val="0"/>
              <w:autoSpaceDN w:val="0"/>
              <w:adjustRightInd w:val="0"/>
              <w:spacing w:line="160" w:lineRule="atLeast"/>
              <w:textAlignment w:val="center"/>
              <w:rPr>
                <w:rFonts w:cs="Arial"/>
                <w:b/>
                <w:bCs/>
                <w:color w:val="000000" w:themeColor="text1"/>
                <w:sz w:val="20"/>
                <w:szCs w:val="20"/>
              </w:rPr>
            </w:pPr>
            <w:r w:rsidRPr="00570A08">
              <w:rPr>
                <w:rFonts w:cs="Arial"/>
                <w:b/>
                <w:bCs/>
                <w:color w:val="000000" w:themeColor="text1"/>
                <w:sz w:val="20"/>
                <w:szCs w:val="20"/>
              </w:rPr>
              <w:t>Group</w:t>
            </w:r>
          </w:p>
        </w:tc>
        <w:tc>
          <w:tcPr>
            <w:tcW w:w="1677" w:type="dxa"/>
          </w:tcPr>
          <w:p w14:paraId="651DBE59"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 xml:space="preserve">Fixed asset </w:t>
            </w:r>
          </w:p>
          <w:p w14:paraId="411C59FD"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revaluation</w:t>
            </w:r>
          </w:p>
          <w:p w14:paraId="77B509D6"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 xml:space="preserve"> reserve</w:t>
            </w:r>
          </w:p>
          <w:p w14:paraId="77474928"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247" w:type="dxa"/>
          </w:tcPr>
          <w:p w14:paraId="04CE6B76"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 xml:space="preserve">Other </w:t>
            </w:r>
          </w:p>
          <w:p w14:paraId="7DFD3EF1"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reserves</w:t>
            </w:r>
          </w:p>
          <w:p w14:paraId="7764A2C7"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247" w:type="dxa"/>
          </w:tcPr>
          <w:p w14:paraId="6AC59677"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 xml:space="preserve">Retained </w:t>
            </w:r>
          </w:p>
          <w:p w14:paraId="392A3BE8"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Earnings</w:t>
            </w:r>
          </w:p>
          <w:p w14:paraId="244903AE"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159" w:type="dxa"/>
          </w:tcPr>
          <w:p w14:paraId="201F003B" w14:textId="77777777" w:rsidR="00570A08" w:rsidRPr="00570A08" w:rsidRDefault="00570A08" w:rsidP="00570A08">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570A08">
              <w:rPr>
                <w:rFonts w:cs="Arial"/>
                <w:b/>
                <w:bCs/>
                <w:color w:val="000000" w:themeColor="text1"/>
                <w:sz w:val="20"/>
                <w:szCs w:val="20"/>
              </w:rPr>
              <w:t>Total</w:t>
            </w:r>
          </w:p>
          <w:p w14:paraId="60589EFD"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£’000</w:t>
            </w:r>
          </w:p>
        </w:tc>
      </w:tr>
      <w:tr w:rsidR="00570A08" w:rsidRPr="00570A08" w14:paraId="6DFA97E9" w14:textId="77777777" w:rsidTr="00570A08">
        <w:trPr>
          <w:trHeight w:val="283"/>
        </w:trPr>
        <w:tc>
          <w:tcPr>
            <w:tcW w:w="4531" w:type="dxa"/>
          </w:tcPr>
          <w:p w14:paraId="7C757D82"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26 March 2023</w:t>
            </w:r>
          </w:p>
        </w:tc>
        <w:tc>
          <w:tcPr>
            <w:tcW w:w="1677" w:type="dxa"/>
          </w:tcPr>
          <w:p w14:paraId="425CF07E"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4,077</w:t>
            </w:r>
          </w:p>
        </w:tc>
        <w:tc>
          <w:tcPr>
            <w:tcW w:w="1247" w:type="dxa"/>
          </w:tcPr>
          <w:p w14:paraId="0282ECD1"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50,086</w:t>
            </w:r>
          </w:p>
        </w:tc>
        <w:tc>
          <w:tcPr>
            <w:tcW w:w="1247" w:type="dxa"/>
          </w:tcPr>
          <w:p w14:paraId="73C3B5A3"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91,264</w:t>
            </w:r>
          </w:p>
        </w:tc>
        <w:tc>
          <w:tcPr>
            <w:tcW w:w="1159" w:type="dxa"/>
          </w:tcPr>
          <w:p w14:paraId="361C1266"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145,427</w:t>
            </w:r>
          </w:p>
        </w:tc>
      </w:tr>
      <w:tr w:rsidR="00570A08" w:rsidRPr="00570A08" w14:paraId="4611AF3B" w14:textId="77777777" w:rsidTr="00570A08">
        <w:trPr>
          <w:trHeight w:val="283"/>
        </w:trPr>
        <w:tc>
          <w:tcPr>
            <w:tcW w:w="4531" w:type="dxa"/>
          </w:tcPr>
          <w:p w14:paraId="41A2C313"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color w:val="000000" w:themeColor="text1"/>
                <w:sz w:val="20"/>
                <w:szCs w:val="20"/>
              </w:rPr>
              <w:t>Profit for the period</w:t>
            </w:r>
          </w:p>
        </w:tc>
        <w:tc>
          <w:tcPr>
            <w:tcW w:w="1677" w:type="dxa"/>
          </w:tcPr>
          <w:p w14:paraId="1C228C4B"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746CCB4C"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0CC00957"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2,857</w:t>
            </w:r>
          </w:p>
        </w:tc>
        <w:tc>
          <w:tcPr>
            <w:tcW w:w="1159" w:type="dxa"/>
          </w:tcPr>
          <w:p w14:paraId="3E330348"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2,857</w:t>
            </w:r>
          </w:p>
        </w:tc>
      </w:tr>
      <w:tr w:rsidR="00570A08" w:rsidRPr="00570A08" w14:paraId="4A3EA2E6" w14:textId="77777777" w:rsidTr="00570A08">
        <w:trPr>
          <w:trHeight w:val="283"/>
        </w:trPr>
        <w:tc>
          <w:tcPr>
            <w:tcW w:w="4531" w:type="dxa"/>
          </w:tcPr>
          <w:p w14:paraId="2F7C4E9D"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color w:val="000000" w:themeColor="text1"/>
                <w:sz w:val="20"/>
                <w:szCs w:val="20"/>
              </w:rPr>
              <w:t>Other comprehensive income for the period</w:t>
            </w:r>
          </w:p>
        </w:tc>
        <w:tc>
          <w:tcPr>
            <w:tcW w:w="1677" w:type="dxa"/>
          </w:tcPr>
          <w:p w14:paraId="4EE0B141"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1CFCEAC0"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2DC67CF3"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41,774</w:t>
            </w:r>
          </w:p>
        </w:tc>
        <w:tc>
          <w:tcPr>
            <w:tcW w:w="1159" w:type="dxa"/>
          </w:tcPr>
          <w:p w14:paraId="32B44EC5"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41,774</w:t>
            </w:r>
          </w:p>
        </w:tc>
      </w:tr>
      <w:tr w:rsidR="00570A08" w:rsidRPr="00570A08" w14:paraId="3D59D940" w14:textId="77777777" w:rsidTr="00570A08">
        <w:trPr>
          <w:trHeight w:val="283"/>
        </w:trPr>
        <w:tc>
          <w:tcPr>
            <w:tcW w:w="4531" w:type="dxa"/>
          </w:tcPr>
          <w:p w14:paraId="5FFC2865"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b/>
                <w:bCs/>
                <w:color w:val="000000" w:themeColor="text1"/>
                <w:sz w:val="20"/>
                <w:szCs w:val="20"/>
              </w:rPr>
              <w:t>Total comprehensive income for the period</w:t>
            </w:r>
          </w:p>
        </w:tc>
        <w:tc>
          <w:tcPr>
            <w:tcW w:w="1677" w:type="dxa"/>
          </w:tcPr>
          <w:p w14:paraId="67A69889"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7D36A48B" w14:textId="77777777" w:rsidR="00570A08" w:rsidRPr="00570A08" w:rsidRDefault="00570A08" w:rsidP="00570A08">
            <w:pPr>
              <w:autoSpaceDE w:val="0"/>
              <w:autoSpaceDN w:val="0"/>
              <w:adjustRightInd w:val="0"/>
              <w:spacing w:line="288" w:lineRule="auto"/>
              <w:jc w:val="right"/>
              <w:textAlignment w:val="center"/>
              <w:rPr>
                <w:rFonts w:cs="Arial"/>
                <w:color w:val="000000" w:themeColor="text1"/>
                <w:sz w:val="20"/>
                <w:szCs w:val="20"/>
              </w:rPr>
            </w:pPr>
            <w:r w:rsidRPr="00570A08">
              <w:rPr>
                <w:rFonts w:cs="Arial"/>
                <w:color w:val="000000" w:themeColor="text1"/>
                <w:sz w:val="20"/>
                <w:szCs w:val="20"/>
              </w:rPr>
              <w:t>-</w:t>
            </w:r>
          </w:p>
        </w:tc>
        <w:tc>
          <w:tcPr>
            <w:tcW w:w="1247" w:type="dxa"/>
          </w:tcPr>
          <w:p w14:paraId="34537477"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44,631</w:t>
            </w:r>
          </w:p>
        </w:tc>
        <w:tc>
          <w:tcPr>
            <w:tcW w:w="1159" w:type="dxa"/>
          </w:tcPr>
          <w:p w14:paraId="00A7B866"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44,631</w:t>
            </w:r>
          </w:p>
        </w:tc>
      </w:tr>
      <w:tr w:rsidR="00570A08" w:rsidRPr="00570A08" w14:paraId="312B4AB7" w14:textId="77777777" w:rsidTr="00570A08">
        <w:trPr>
          <w:trHeight w:val="283"/>
        </w:trPr>
        <w:tc>
          <w:tcPr>
            <w:tcW w:w="4531" w:type="dxa"/>
          </w:tcPr>
          <w:p w14:paraId="3AF04EEF"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31 March 2024</w:t>
            </w:r>
          </w:p>
        </w:tc>
        <w:tc>
          <w:tcPr>
            <w:tcW w:w="1677" w:type="dxa"/>
          </w:tcPr>
          <w:p w14:paraId="3010EE3B"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4,077</w:t>
            </w:r>
          </w:p>
        </w:tc>
        <w:tc>
          <w:tcPr>
            <w:tcW w:w="1247" w:type="dxa"/>
          </w:tcPr>
          <w:p w14:paraId="14902B3F"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50,086</w:t>
            </w:r>
          </w:p>
        </w:tc>
        <w:tc>
          <w:tcPr>
            <w:tcW w:w="1247" w:type="dxa"/>
          </w:tcPr>
          <w:p w14:paraId="79D7D33E"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135,895</w:t>
            </w:r>
          </w:p>
        </w:tc>
        <w:tc>
          <w:tcPr>
            <w:tcW w:w="1159" w:type="dxa"/>
          </w:tcPr>
          <w:p w14:paraId="67CFFD0A"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190,058</w:t>
            </w:r>
          </w:p>
        </w:tc>
      </w:tr>
      <w:tr w:rsidR="00570A08" w:rsidRPr="00570A08" w14:paraId="76D946EB" w14:textId="77777777" w:rsidTr="00570A08">
        <w:trPr>
          <w:trHeight w:val="283"/>
        </w:trPr>
        <w:tc>
          <w:tcPr>
            <w:tcW w:w="4531" w:type="dxa"/>
          </w:tcPr>
          <w:p w14:paraId="64DE1F67"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color w:val="000000" w:themeColor="text1"/>
                <w:sz w:val="20"/>
                <w:szCs w:val="20"/>
              </w:rPr>
              <w:t>Loss for the period</w:t>
            </w:r>
          </w:p>
        </w:tc>
        <w:tc>
          <w:tcPr>
            <w:tcW w:w="1677" w:type="dxa"/>
          </w:tcPr>
          <w:p w14:paraId="386792DA"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78798644"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6920CD12"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(18,504)</w:t>
            </w:r>
          </w:p>
        </w:tc>
        <w:tc>
          <w:tcPr>
            <w:tcW w:w="1159" w:type="dxa"/>
          </w:tcPr>
          <w:p w14:paraId="2A681ACF"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(18,504)</w:t>
            </w:r>
          </w:p>
        </w:tc>
      </w:tr>
      <w:tr w:rsidR="00570A08" w:rsidRPr="00570A08" w14:paraId="09C8749D" w14:textId="77777777" w:rsidTr="00570A08">
        <w:trPr>
          <w:trHeight w:val="283"/>
        </w:trPr>
        <w:tc>
          <w:tcPr>
            <w:tcW w:w="4531" w:type="dxa"/>
          </w:tcPr>
          <w:p w14:paraId="0882AFC4"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color w:val="000000" w:themeColor="text1"/>
                <w:sz w:val="20"/>
                <w:szCs w:val="20"/>
              </w:rPr>
              <w:t>Other comprehensive income for the period</w:t>
            </w:r>
          </w:p>
        </w:tc>
        <w:tc>
          <w:tcPr>
            <w:tcW w:w="1677" w:type="dxa"/>
          </w:tcPr>
          <w:p w14:paraId="189DB890"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75BE354A"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1D0F54F1"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124,119</w:t>
            </w:r>
          </w:p>
        </w:tc>
        <w:tc>
          <w:tcPr>
            <w:tcW w:w="1159" w:type="dxa"/>
          </w:tcPr>
          <w:p w14:paraId="703A5B2B"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124,119</w:t>
            </w:r>
          </w:p>
        </w:tc>
      </w:tr>
      <w:tr w:rsidR="00570A08" w:rsidRPr="00570A08" w14:paraId="3C7BB3AD" w14:textId="77777777" w:rsidTr="00570A08">
        <w:trPr>
          <w:trHeight w:val="283"/>
        </w:trPr>
        <w:tc>
          <w:tcPr>
            <w:tcW w:w="4531" w:type="dxa"/>
          </w:tcPr>
          <w:p w14:paraId="6A2E6567"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b/>
                <w:bCs/>
                <w:color w:val="000000" w:themeColor="text1"/>
                <w:sz w:val="20"/>
                <w:szCs w:val="20"/>
              </w:rPr>
              <w:t>Total comprehensive income for the period</w:t>
            </w:r>
          </w:p>
        </w:tc>
        <w:tc>
          <w:tcPr>
            <w:tcW w:w="1677" w:type="dxa"/>
          </w:tcPr>
          <w:p w14:paraId="10F50D5E"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240E86AC"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5C513ED0"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105,615</w:t>
            </w:r>
          </w:p>
        </w:tc>
        <w:tc>
          <w:tcPr>
            <w:tcW w:w="1159" w:type="dxa"/>
          </w:tcPr>
          <w:p w14:paraId="33E39298"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color w:val="000000" w:themeColor="text1"/>
                <w:sz w:val="20"/>
                <w:szCs w:val="20"/>
              </w:rPr>
              <w:t>105,615</w:t>
            </w:r>
          </w:p>
        </w:tc>
      </w:tr>
      <w:tr w:rsidR="00570A08" w:rsidRPr="00570A08" w14:paraId="2C003E79" w14:textId="77777777" w:rsidTr="00570A08">
        <w:trPr>
          <w:trHeight w:val="283"/>
        </w:trPr>
        <w:tc>
          <w:tcPr>
            <w:tcW w:w="4531" w:type="dxa"/>
          </w:tcPr>
          <w:p w14:paraId="70A8C13F" w14:textId="77777777" w:rsidR="00570A08" w:rsidRPr="00570A08" w:rsidRDefault="00570A08" w:rsidP="00570A08">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30 March 2025</w:t>
            </w:r>
          </w:p>
        </w:tc>
        <w:tc>
          <w:tcPr>
            <w:tcW w:w="1677" w:type="dxa"/>
          </w:tcPr>
          <w:p w14:paraId="150A8015"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4,077</w:t>
            </w:r>
          </w:p>
        </w:tc>
        <w:tc>
          <w:tcPr>
            <w:tcW w:w="1247" w:type="dxa"/>
          </w:tcPr>
          <w:p w14:paraId="4EE05236"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50,086</w:t>
            </w:r>
          </w:p>
        </w:tc>
        <w:tc>
          <w:tcPr>
            <w:tcW w:w="1247" w:type="dxa"/>
          </w:tcPr>
          <w:p w14:paraId="0EBEBE62"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241,510</w:t>
            </w:r>
          </w:p>
        </w:tc>
        <w:tc>
          <w:tcPr>
            <w:tcW w:w="1159" w:type="dxa"/>
          </w:tcPr>
          <w:p w14:paraId="469A6422" w14:textId="77777777" w:rsidR="00570A08" w:rsidRPr="00570A08" w:rsidRDefault="00570A08" w:rsidP="00570A08">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570A08">
              <w:rPr>
                <w:rFonts w:cs="Arial"/>
                <w:b/>
                <w:bCs/>
                <w:color w:val="000000" w:themeColor="text1"/>
                <w:sz w:val="20"/>
                <w:szCs w:val="20"/>
              </w:rPr>
              <w:t>295,673</w:t>
            </w:r>
          </w:p>
        </w:tc>
      </w:tr>
    </w:tbl>
    <w:p w14:paraId="789C4D61" w14:textId="77777777" w:rsidR="00570A08" w:rsidRDefault="00570A08" w:rsidP="00570A08">
      <w:pPr>
        <w:spacing w:line="276" w:lineRule="auto"/>
        <w:rPr>
          <w:b/>
          <w:bCs/>
          <w:sz w:val="44"/>
          <w:szCs w:val="44"/>
        </w:rPr>
      </w:pPr>
    </w:p>
    <w:tbl>
      <w:tblPr>
        <w:tblStyle w:val="TableGrid"/>
        <w:tblW w:w="0" w:type="auto"/>
        <w:tblLayout w:type="fixed"/>
        <w:tblLook w:val="0000" w:firstRow="0" w:lastRow="0" w:firstColumn="0" w:lastColumn="0" w:noHBand="0" w:noVBand="0"/>
      </w:tblPr>
      <w:tblGrid>
        <w:gridCol w:w="4531"/>
        <w:gridCol w:w="1593"/>
        <w:gridCol w:w="1248"/>
        <w:gridCol w:w="1247"/>
        <w:gridCol w:w="1247"/>
      </w:tblGrid>
      <w:tr w:rsidR="00570A08" w:rsidRPr="00570A08" w14:paraId="0D367A23" w14:textId="77777777" w:rsidTr="00570A08">
        <w:trPr>
          <w:trHeight w:val="283"/>
        </w:trPr>
        <w:tc>
          <w:tcPr>
            <w:tcW w:w="4531" w:type="dxa"/>
          </w:tcPr>
          <w:p w14:paraId="5AD79F4E" w14:textId="77777777" w:rsidR="00570A08" w:rsidRPr="00570A08" w:rsidRDefault="00570A08" w:rsidP="00570A08">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Company</w:t>
            </w:r>
          </w:p>
        </w:tc>
        <w:tc>
          <w:tcPr>
            <w:tcW w:w="1593" w:type="dxa"/>
          </w:tcPr>
          <w:p w14:paraId="1D076B99"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 xml:space="preserve">Fixed asset </w:t>
            </w:r>
          </w:p>
          <w:p w14:paraId="40B79483"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revaluation</w:t>
            </w:r>
          </w:p>
          <w:p w14:paraId="5DC94DD0"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 xml:space="preserve"> reserve</w:t>
            </w:r>
          </w:p>
          <w:p w14:paraId="0EBB17CE"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248" w:type="dxa"/>
          </w:tcPr>
          <w:p w14:paraId="3A8CFB40"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 xml:space="preserve">Other </w:t>
            </w:r>
          </w:p>
          <w:p w14:paraId="4D8F8FAE"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reserves</w:t>
            </w:r>
          </w:p>
          <w:p w14:paraId="1787E05A"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247" w:type="dxa"/>
          </w:tcPr>
          <w:p w14:paraId="52B6A3E0"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 xml:space="preserve">Retained </w:t>
            </w:r>
          </w:p>
          <w:p w14:paraId="43B9B7A5"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Earnings</w:t>
            </w:r>
          </w:p>
          <w:p w14:paraId="46C704AA"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£’000</w:t>
            </w:r>
          </w:p>
        </w:tc>
        <w:tc>
          <w:tcPr>
            <w:tcW w:w="1247" w:type="dxa"/>
          </w:tcPr>
          <w:p w14:paraId="5C0AD1C9"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Total</w:t>
            </w:r>
          </w:p>
          <w:p w14:paraId="261EF8AB" w14:textId="77777777" w:rsidR="00570A08" w:rsidRPr="00570A08" w:rsidRDefault="00570A08" w:rsidP="00570A0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£’000</w:t>
            </w:r>
          </w:p>
        </w:tc>
      </w:tr>
      <w:tr w:rsidR="00570A08" w:rsidRPr="00570A08" w14:paraId="4912C86E" w14:textId="77777777" w:rsidTr="00570A08">
        <w:trPr>
          <w:trHeight w:val="283"/>
        </w:trPr>
        <w:tc>
          <w:tcPr>
            <w:tcW w:w="4531" w:type="dxa"/>
          </w:tcPr>
          <w:p w14:paraId="7DF84529" w14:textId="77777777" w:rsidR="00570A08" w:rsidRPr="00570A08" w:rsidRDefault="00570A08" w:rsidP="00570A08">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26 March 2023</w:t>
            </w:r>
          </w:p>
        </w:tc>
        <w:tc>
          <w:tcPr>
            <w:tcW w:w="1593" w:type="dxa"/>
          </w:tcPr>
          <w:p w14:paraId="38823BCB"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4,079</w:t>
            </w:r>
          </w:p>
        </w:tc>
        <w:tc>
          <w:tcPr>
            <w:tcW w:w="1248" w:type="dxa"/>
          </w:tcPr>
          <w:p w14:paraId="773CA4FF"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39,844</w:t>
            </w:r>
          </w:p>
        </w:tc>
        <w:tc>
          <w:tcPr>
            <w:tcW w:w="1247" w:type="dxa"/>
          </w:tcPr>
          <w:p w14:paraId="6C92CB10"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(6,001)</w:t>
            </w:r>
          </w:p>
        </w:tc>
        <w:tc>
          <w:tcPr>
            <w:tcW w:w="1247" w:type="dxa"/>
          </w:tcPr>
          <w:p w14:paraId="56850B6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37,922</w:t>
            </w:r>
          </w:p>
        </w:tc>
      </w:tr>
      <w:tr w:rsidR="00570A08" w:rsidRPr="00570A08" w14:paraId="66B87F63" w14:textId="77777777" w:rsidTr="00570A08">
        <w:trPr>
          <w:trHeight w:val="283"/>
        </w:trPr>
        <w:tc>
          <w:tcPr>
            <w:tcW w:w="4531" w:type="dxa"/>
          </w:tcPr>
          <w:p w14:paraId="709FFA47"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color w:val="000000" w:themeColor="text1"/>
                <w:sz w:val="20"/>
                <w:szCs w:val="20"/>
              </w:rPr>
              <w:t>Loss for the period</w:t>
            </w:r>
          </w:p>
        </w:tc>
        <w:tc>
          <w:tcPr>
            <w:tcW w:w="1593" w:type="dxa"/>
          </w:tcPr>
          <w:p w14:paraId="44515939"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7FD8BB0B"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388C7EF2"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(1,490)</w:t>
            </w:r>
          </w:p>
        </w:tc>
        <w:tc>
          <w:tcPr>
            <w:tcW w:w="1247" w:type="dxa"/>
          </w:tcPr>
          <w:p w14:paraId="00EEDD9D"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(1,490)</w:t>
            </w:r>
          </w:p>
        </w:tc>
      </w:tr>
      <w:tr w:rsidR="00570A08" w:rsidRPr="00570A08" w14:paraId="5A6CBF00" w14:textId="77777777" w:rsidTr="00570A08">
        <w:trPr>
          <w:trHeight w:val="283"/>
        </w:trPr>
        <w:tc>
          <w:tcPr>
            <w:tcW w:w="4531" w:type="dxa"/>
          </w:tcPr>
          <w:p w14:paraId="4EFBF160"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color w:val="000000" w:themeColor="text1"/>
                <w:sz w:val="20"/>
                <w:szCs w:val="20"/>
              </w:rPr>
              <w:t>Other comprehensive income for the period</w:t>
            </w:r>
          </w:p>
        </w:tc>
        <w:tc>
          <w:tcPr>
            <w:tcW w:w="1593" w:type="dxa"/>
          </w:tcPr>
          <w:p w14:paraId="3267D135"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53D1B638"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2F4865A0"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726</w:t>
            </w:r>
          </w:p>
        </w:tc>
        <w:tc>
          <w:tcPr>
            <w:tcW w:w="1247" w:type="dxa"/>
          </w:tcPr>
          <w:p w14:paraId="076F7874"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726</w:t>
            </w:r>
          </w:p>
        </w:tc>
      </w:tr>
      <w:tr w:rsidR="00570A08" w:rsidRPr="00570A08" w14:paraId="73648EE1" w14:textId="77777777" w:rsidTr="00570A08">
        <w:trPr>
          <w:trHeight w:val="283"/>
        </w:trPr>
        <w:tc>
          <w:tcPr>
            <w:tcW w:w="4531" w:type="dxa"/>
          </w:tcPr>
          <w:p w14:paraId="18E83A12" w14:textId="77777777" w:rsidR="00570A08" w:rsidRPr="00570A08" w:rsidRDefault="00570A08" w:rsidP="00570A08">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Total comprehensive expense for the period</w:t>
            </w:r>
          </w:p>
        </w:tc>
        <w:tc>
          <w:tcPr>
            <w:tcW w:w="1593" w:type="dxa"/>
          </w:tcPr>
          <w:p w14:paraId="20087A91"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0052BEBB"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016BCC4D"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(764)</w:t>
            </w:r>
          </w:p>
        </w:tc>
        <w:tc>
          <w:tcPr>
            <w:tcW w:w="1247" w:type="dxa"/>
          </w:tcPr>
          <w:p w14:paraId="1F895A9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(764)</w:t>
            </w:r>
          </w:p>
        </w:tc>
      </w:tr>
      <w:tr w:rsidR="00570A08" w:rsidRPr="00570A08" w14:paraId="4DCD6679" w14:textId="77777777" w:rsidTr="00570A08">
        <w:trPr>
          <w:trHeight w:val="283"/>
        </w:trPr>
        <w:tc>
          <w:tcPr>
            <w:tcW w:w="4531" w:type="dxa"/>
          </w:tcPr>
          <w:p w14:paraId="73CA4C37"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31 March 2024</w:t>
            </w:r>
          </w:p>
        </w:tc>
        <w:tc>
          <w:tcPr>
            <w:tcW w:w="1593" w:type="dxa"/>
          </w:tcPr>
          <w:p w14:paraId="32DACB3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4,079</w:t>
            </w:r>
          </w:p>
        </w:tc>
        <w:tc>
          <w:tcPr>
            <w:tcW w:w="1248" w:type="dxa"/>
          </w:tcPr>
          <w:p w14:paraId="0EB228B1"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39,844</w:t>
            </w:r>
          </w:p>
        </w:tc>
        <w:tc>
          <w:tcPr>
            <w:tcW w:w="1247" w:type="dxa"/>
          </w:tcPr>
          <w:p w14:paraId="63CFB48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(6,765)</w:t>
            </w:r>
          </w:p>
        </w:tc>
        <w:tc>
          <w:tcPr>
            <w:tcW w:w="1247" w:type="dxa"/>
          </w:tcPr>
          <w:p w14:paraId="324CF7DB"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37,158</w:t>
            </w:r>
          </w:p>
        </w:tc>
      </w:tr>
      <w:tr w:rsidR="00570A08" w:rsidRPr="00570A08" w14:paraId="1E27A85D" w14:textId="77777777" w:rsidTr="00570A08">
        <w:trPr>
          <w:trHeight w:val="283"/>
        </w:trPr>
        <w:tc>
          <w:tcPr>
            <w:tcW w:w="4531" w:type="dxa"/>
          </w:tcPr>
          <w:p w14:paraId="5BE10899"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color w:val="000000" w:themeColor="text1"/>
                <w:sz w:val="20"/>
                <w:szCs w:val="20"/>
              </w:rPr>
              <w:t>Loss for the period</w:t>
            </w:r>
          </w:p>
        </w:tc>
        <w:tc>
          <w:tcPr>
            <w:tcW w:w="1593" w:type="dxa"/>
          </w:tcPr>
          <w:p w14:paraId="6313AAD9"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048E3BCD"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5F98C957"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(122)</w:t>
            </w:r>
          </w:p>
        </w:tc>
        <w:tc>
          <w:tcPr>
            <w:tcW w:w="1247" w:type="dxa"/>
          </w:tcPr>
          <w:p w14:paraId="0370EC58"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(122)</w:t>
            </w:r>
          </w:p>
        </w:tc>
      </w:tr>
      <w:tr w:rsidR="00570A08" w:rsidRPr="00570A08" w14:paraId="341D8CC3" w14:textId="77777777" w:rsidTr="00570A08">
        <w:trPr>
          <w:trHeight w:val="283"/>
        </w:trPr>
        <w:tc>
          <w:tcPr>
            <w:tcW w:w="4531" w:type="dxa"/>
          </w:tcPr>
          <w:p w14:paraId="7272BAB2"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color w:val="000000" w:themeColor="text1"/>
                <w:sz w:val="20"/>
                <w:szCs w:val="20"/>
              </w:rPr>
              <w:t>Other comprehensive income for the period</w:t>
            </w:r>
          </w:p>
        </w:tc>
        <w:tc>
          <w:tcPr>
            <w:tcW w:w="1593" w:type="dxa"/>
          </w:tcPr>
          <w:p w14:paraId="3671205F"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2CF3B0F5"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1BD875AE"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1,957</w:t>
            </w:r>
          </w:p>
        </w:tc>
        <w:tc>
          <w:tcPr>
            <w:tcW w:w="1247" w:type="dxa"/>
          </w:tcPr>
          <w:p w14:paraId="5A276369"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1,957</w:t>
            </w:r>
          </w:p>
        </w:tc>
      </w:tr>
      <w:tr w:rsidR="00570A08" w:rsidRPr="00570A08" w14:paraId="62F04C64" w14:textId="77777777" w:rsidTr="00570A08">
        <w:trPr>
          <w:trHeight w:val="283"/>
        </w:trPr>
        <w:tc>
          <w:tcPr>
            <w:tcW w:w="4531" w:type="dxa"/>
          </w:tcPr>
          <w:p w14:paraId="6CADD19B" w14:textId="77777777" w:rsidR="00570A08" w:rsidRPr="00570A08" w:rsidRDefault="00570A08" w:rsidP="00570A08">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Total comprehensive expense for the period</w:t>
            </w:r>
          </w:p>
        </w:tc>
        <w:tc>
          <w:tcPr>
            <w:tcW w:w="1593" w:type="dxa"/>
          </w:tcPr>
          <w:p w14:paraId="634F0D0F"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8" w:type="dxa"/>
          </w:tcPr>
          <w:p w14:paraId="6AB4EBE9"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w:t>
            </w:r>
          </w:p>
        </w:tc>
        <w:tc>
          <w:tcPr>
            <w:tcW w:w="1247" w:type="dxa"/>
          </w:tcPr>
          <w:p w14:paraId="39CB465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1,835</w:t>
            </w:r>
          </w:p>
        </w:tc>
        <w:tc>
          <w:tcPr>
            <w:tcW w:w="1247" w:type="dxa"/>
          </w:tcPr>
          <w:p w14:paraId="4655C195"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1,835</w:t>
            </w:r>
          </w:p>
        </w:tc>
      </w:tr>
      <w:tr w:rsidR="00570A08" w:rsidRPr="00570A08" w14:paraId="47961D66" w14:textId="77777777" w:rsidTr="00570A08">
        <w:trPr>
          <w:trHeight w:val="283"/>
        </w:trPr>
        <w:tc>
          <w:tcPr>
            <w:tcW w:w="4531" w:type="dxa"/>
          </w:tcPr>
          <w:p w14:paraId="37AF7B4F"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textAlignment w:val="center"/>
              <w:rPr>
                <w:rFonts w:cs="Arial"/>
                <w:b/>
                <w:bCs/>
                <w:color w:val="000000" w:themeColor="text1"/>
                <w:sz w:val="20"/>
                <w:szCs w:val="20"/>
              </w:rPr>
            </w:pPr>
            <w:r w:rsidRPr="00570A08">
              <w:rPr>
                <w:rFonts w:cs="Arial"/>
                <w:b/>
                <w:bCs/>
                <w:color w:val="000000" w:themeColor="text1"/>
                <w:sz w:val="20"/>
                <w:szCs w:val="20"/>
              </w:rPr>
              <w:t xml:space="preserve">Balance </w:t>
            </w:r>
            <w:proofErr w:type="gramStart"/>
            <w:r w:rsidRPr="00570A08">
              <w:rPr>
                <w:rFonts w:cs="Arial"/>
                <w:b/>
                <w:bCs/>
                <w:color w:val="000000" w:themeColor="text1"/>
                <w:sz w:val="20"/>
                <w:szCs w:val="20"/>
              </w:rPr>
              <w:t>at</w:t>
            </w:r>
            <w:proofErr w:type="gramEnd"/>
            <w:r w:rsidRPr="00570A08">
              <w:rPr>
                <w:rFonts w:cs="Arial"/>
                <w:b/>
                <w:bCs/>
                <w:color w:val="000000" w:themeColor="text1"/>
                <w:sz w:val="20"/>
                <w:szCs w:val="20"/>
              </w:rPr>
              <w:t xml:space="preserve"> 30 March 2025</w:t>
            </w:r>
          </w:p>
        </w:tc>
        <w:tc>
          <w:tcPr>
            <w:tcW w:w="1593" w:type="dxa"/>
          </w:tcPr>
          <w:p w14:paraId="621A5D83"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4,079</w:t>
            </w:r>
          </w:p>
        </w:tc>
        <w:tc>
          <w:tcPr>
            <w:tcW w:w="1248" w:type="dxa"/>
          </w:tcPr>
          <w:p w14:paraId="2882664C"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39,844</w:t>
            </w:r>
          </w:p>
        </w:tc>
        <w:tc>
          <w:tcPr>
            <w:tcW w:w="1247" w:type="dxa"/>
          </w:tcPr>
          <w:p w14:paraId="2D9B472E"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(4,930)</w:t>
            </w:r>
          </w:p>
        </w:tc>
        <w:tc>
          <w:tcPr>
            <w:tcW w:w="1247" w:type="dxa"/>
          </w:tcPr>
          <w:p w14:paraId="390673D2" w14:textId="77777777" w:rsidR="00570A08" w:rsidRPr="00570A08" w:rsidRDefault="00570A08" w:rsidP="00570A08">
            <w:pPr>
              <w:tabs>
                <w:tab w:val="left" w:pos="198"/>
                <w:tab w:val="right" w:pos="3960"/>
                <w:tab w:val="right" w:pos="4940"/>
                <w:tab w:val="right" w:pos="6060"/>
                <w:tab w:val="right" w:pos="7500"/>
                <w:tab w:val="right" w:pos="8940"/>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b/>
                <w:bCs/>
                <w:color w:val="000000" w:themeColor="text1"/>
                <w:sz w:val="20"/>
                <w:szCs w:val="20"/>
              </w:rPr>
              <w:t>38,993</w:t>
            </w:r>
          </w:p>
        </w:tc>
      </w:tr>
    </w:tbl>
    <w:p w14:paraId="3254DC7A" w14:textId="77777777" w:rsidR="00570A08" w:rsidRDefault="00570A08" w:rsidP="00570A08">
      <w:pPr>
        <w:spacing w:line="276" w:lineRule="auto"/>
        <w:rPr>
          <w:b/>
          <w:bCs/>
          <w:sz w:val="44"/>
          <w:szCs w:val="44"/>
        </w:rPr>
      </w:pPr>
    </w:p>
    <w:p w14:paraId="5C73EDDD" w14:textId="667916E4" w:rsidR="00570A08" w:rsidRDefault="00570A08">
      <w:pPr>
        <w:spacing w:line="240" w:lineRule="auto"/>
        <w:rPr>
          <w:b/>
          <w:bCs/>
          <w:sz w:val="44"/>
          <w:szCs w:val="44"/>
        </w:rPr>
      </w:pPr>
      <w:r>
        <w:rPr>
          <w:b/>
          <w:bCs/>
          <w:sz w:val="44"/>
          <w:szCs w:val="44"/>
        </w:rPr>
        <w:br w:type="page"/>
      </w:r>
    </w:p>
    <w:p w14:paraId="4DDD3998" w14:textId="77777777" w:rsidR="00570A08" w:rsidRPr="00570A08" w:rsidRDefault="00570A08" w:rsidP="003F4D72">
      <w:pPr>
        <w:pStyle w:val="Heading1"/>
      </w:pPr>
      <w:bookmarkStart w:id="242" w:name="_Toc213058674"/>
      <w:r w:rsidRPr="00570A08">
        <w:lastRenderedPageBreak/>
        <w:t>Consolidated Cash Flow Statement</w:t>
      </w:r>
      <w:bookmarkEnd w:id="242"/>
    </w:p>
    <w:p w14:paraId="3AF761D2" w14:textId="77777777" w:rsidR="00570A08" w:rsidRDefault="00570A08" w:rsidP="00570A08">
      <w:pPr>
        <w:spacing w:line="276" w:lineRule="auto"/>
        <w:rPr>
          <w:b/>
          <w:bCs/>
        </w:rPr>
      </w:pPr>
      <w:r w:rsidRPr="00570A08">
        <w:rPr>
          <w:b/>
          <w:bCs/>
        </w:rPr>
        <w:t>for the 52 weeks ended 30 March 2025</w:t>
      </w:r>
    </w:p>
    <w:p w14:paraId="599E0CC3" w14:textId="77777777" w:rsidR="00570A08" w:rsidRDefault="00570A08" w:rsidP="00570A08">
      <w:pPr>
        <w:spacing w:line="276" w:lineRule="auto"/>
        <w:rPr>
          <w:b/>
          <w:bCs/>
        </w:rPr>
      </w:pPr>
    </w:p>
    <w:tbl>
      <w:tblPr>
        <w:tblStyle w:val="TableGrid"/>
        <w:tblW w:w="0" w:type="auto"/>
        <w:tblLayout w:type="fixed"/>
        <w:tblLook w:val="0000" w:firstRow="0" w:lastRow="0" w:firstColumn="0" w:lastColumn="0" w:noHBand="0" w:noVBand="0"/>
      </w:tblPr>
      <w:tblGrid>
        <w:gridCol w:w="5301"/>
        <w:gridCol w:w="1516"/>
        <w:gridCol w:w="1517"/>
        <w:gridCol w:w="1521"/>
      </w:tblGrid>
      <w:tr w:rsidR="00A26E77" w:rsidRPr="00A26E77" w14:paraId="1252F95E" w14:textId="77777777" w:rsidTr="00A26E77">
        <w:trPr>
          <w:trHeight w:val="60"/>
        </w:trPr>
        <w:tc>
          <w:tcPr>
            <w:tcW w:w="5301" w:type="dxa"/>
          </w:tcPr>
          <w:p w14:paraId="75CC94FB" w14:textId="77777777" w:rsidR="00570A08" w:rsidRPr="00570A08" w:rsidRDefault="00570A08" w:rsidP="00A26E77">
            <w:pPr>
              <w:autoSpaceDE w:val="0"/>
              <w:autoSpaceDN w:val="0"/>
              <w:adjustRightInd w:val="0"/>
              <w:spacing w:line="240" w:lineRule="auto"/>
              <w:rPr>
                <w:rFonts w:cs="Arial"/>
                <w:color w:val="000000" w:themeColor="text1"/>
                <w:sz w:val="20"/>
                <w:szCs w:val="20"/>
              </w:rPr>
            </w:pPr>
          </w:p>
        </w:tc>
        <w:tc>
          <w:tcPr>
            <w:tcW w:w="1516" w:type="dxa"/>
          </w:tcPr>
          <w:p w14:paraId="447C473C" w14:textId="77777777" w:rsidR="00570A08" w:rsidRPr="00570A08" w:rsidRDefault="00570A08" w:rsidP="00A26E77">
            <w:pPr>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Notes</w:t>
            </w:r>
          </w:p>
        </w:tc>
        <w:tc>
          <w:tcPr>
            <w:tcW w:w="1517" w:type="dxa"/>
          </w:tcPr>
          <w:p w14:paraId="6EC5B1C5" w14:textId="77777777" w:rsidR="00570A08" w:rsidRPr="00570A08" w:rsidRDefault="00570A08" w:rsidP="00A26E77">
            <w:pPr>
              <w:tabs>
                <w:tab w:val="decimal" w:pos="1021"/>
              </w:tabs>
              <w:autoSpaceDE w:val="0"/>
              <w:autoSpaceDN w:val="0"/>
              <w:adjustRightInd w:val="0"/>
              <w:spacing w:line="240" w:lineRule="auto"/>
              <w:ind w:right="14"/>
              <w:jc w:val="right"/>
              <w:textAlignment w:val="center"/>
              <w:rPr>
                <w:rFonts w:cs="Arial"/>
                <w:b/>
                <w:bCs/>
                <w:color w:val="000000" w:themeColor="text1"/>
                <w:sz w:val="20"/>
                <w:szCs w:val="20"/>
                <w:rtl/>
                <w:lang w:bidi="ar-YE"/>
              </w:rPr>
            </w:pPr>
            <w:r w:rsidRPr="00570A08">
              <w:rPr>
                <w:rFonts w:cs="Arial"/>
                <w:b/>
                <w:bCs/>
                <w:color w:val="000000" w:themeColor="text1"/>
                <w:sz w:val="20"/>
                <w:szCs w:val="20"/>
                <w:rtl/>
                <w:lang w:bidi="ar-YE"/>
              </w:rPr>
              <w:t xml:space="preserve">52 </w:t>
            </w:r>
            <w:r w:rsidRPr="00570A08">
              <w:rPr>
                <w:rFonts w:cs="Arial"/>
                <w:b/>
                <w:bCs/>
                <w:color w:val="000000" w:themeColor="text1"/>
                <w:sz w:val="20"/>
                <w:szCs w:val="20"/>
                <w:lang w:bidi="ar-YE"/>
              </w:rPr>
              <w:t>weeks ended</w:t>
            </w:r>
          </w:p>
          <w:p w14:paraId="3141BEC4" w14:textId="77777777" w:rsidR="00570A08" w:rsidRPr="00570A08" w:rsidRDefault="00570A08" w:rsidP="00A26E77">
            <w:pPr>
              <w:tabs>
                <w:tab w:val="decimal" w:pos="1021"/>
              </w:tabs>
              <w:autoSpaceDE w:val="0"/>
              <w:autoSpaceDN w:val="0"/>
              <w:adjustRightInd w:val="0"/>
              <w:spacing w:line="240" w:lineRule="auto"/>
              <w:ind w:right="14"/>
              <w:jc w:val="right"/>
              <w:textAlignment w:val="center"/>
              <w:rPr>
                <w:rFonts w:cs="Arial"/>
                <w:b/>
                <w:bCs/>
                <w:color w:val="000000" w:themeColor="text1"/>
                <w:sz w:val="20"/>
                <w:szCs w:val="20"/>
                <w:rtl/>
                <w:lang w:bidi="ar-YE"/>
              </w:rPr>
            </w:pPr>
            <w:r w:rsidRPr="00570A08">
              <w:rPr>
                <w:rFonts w:cs="Arial"/>
                <w:b/>
                <w:bCs/>
                <w:color w:val="000000" w:themeColor="text1"/>
                <w:sz w:val="20"/>
                <w:szCs w:val="20"/>
                <w:rtl/>
                <w:lang w:bidi="ar-YE"/>
              </w:rPr>
              <w:t xml:space="preserve">30 </w:t>
            </w:r>
            <w:r w:rsidRPr="00570A08">
              <w:rPr>
                <w:rFonts w:cs="Arial"/>
                <w:b/>
                <w:bCs/>
                <w:color w:val="000000" w:themeColor="text1"/>
                <w:sz w:val="20"/>
                <w:szCs w:val="20"/>
                <w:lang w:bidi="ar-YE"/>
              </w:rPr>
              <w:t>March 2025</w:t>
            </w:r>
          </w:p>
          <w:p w14:paraId="424023C5" w14:textId="77777777" w:rsidR="00570A08" w:rsidRPr="00570A08" w:rsidRDefault="00570A08" w:rsidP="00A26E77">
            <w:pPr>
              <w:tabs>
                <w:tab w:val="decimal" w:pos="1021"/>
              </w:tabs>
              <w:autoSpaceDE w:val="0"/>
              <w:autoSpaceDN w:val="0"/>
              <w:adjustRightInd w:val="0"/>
              <w:spacing w:line="240" w:lineRule="auto"/>
              <w:ind w:right="14"/>
              <w:jc w:val="right"/>
              <w:textAlignment w:val="center"/>
              <w:rPr>
                <w:rFonts w:cs="Arial"/>
                <w:color w:val="000000" w:themeColor="text1"/>
                <w:sz w:val="20"/>
                <w:szCs w:val="20"/>
              </w:rPr>
            </w:pPr>
            <w:r w:rsidRPr="00570A08">
              <w:rPr>
                <w:rFonts w:cs="Arial"/>
                <w:b/>
                <w:bCs/>
                <w:color w:val="000000" w:themeColor="text1"/>
                <w:sz w:val="20"/>
                <w:szCs w:val="20"/>
                <w:rtl/>
                <w:lang w:bidi="ar-YE"/>
              </w:rPr>
              <w:t>£</w:t>
            </w:r>
            <w:r w:rsidRPr="00570A08">
              <w:rPr>
                <w:rFonts w:cs="Arial"/>
                <w:b/>
                <w:bCs/>
                <w:color w:val="000000" w:themeColor="text1"/>
                <w:sz w:val="20"/>
                <w:szCs w:val="20"/>
                <w:lang w:val="fr-FR"/>
              </w:rPr>
              <w:t>’000</w:t>
            </w:r>
          </w:p>
        </w:tc>
        <w:tc>
          <w:tcPr>
            <w:tcW w:w="1521" w:type="dxa"/>
          </w:tcPr>
          <w:p w14:paraId="31A909BE" w14:textId="77777777" w:rsidR="00570A08" w:rsidRPr="00570A08" w:rsidRDefault="00570A08" w:rsidP="00A26E77">
            <w:pPr>
              <w:autoSpaceDE w:val="0"/>
              <w:autoSpaceDN w:val="0"/>
              <w:adjustRightInd w:val="0"/>
              <w:spacing w:line="240" w:lineRule="auto"/>
              <w:ind w:right="14"/>
              <w:jc w:val="right"/>
              <w:textAlignment w:val="center"/>
              <w:rPr>
                <w:rFonts w:cs="Arial"/>
                <w:b/>
                <w:bCs/>
                <w:color w:val="000000" w:themeColor="text1"/>
                <w:sz w:val="20"/>
                <w:szCs w:val="20"/>
              </w:rPr>
            </w:pPr>
            <w:r w:rsidRPr="00570A08">
              <w:rPr>
                <w:rFonts w:cs="Arial"/>
                <w:b/>
                <w:bCs/>
                <w:color w:val="000000" w:themeColor="text1"/>
                <w:sz w:val="20"/>
                <w:szCs w:val="20"/>
              </w:rPr>
              <w:t>53 weeks ended</w:t>
            </w:r>
          </w:p>
          <w:p w14:paraId="3CE79B4F" w14:textId="77777777" w:rsidR="00570A08" w:rsidRPr="00570A08" w:rsidRDefault="00570A08" w:rsidP="00A26E77">
            <w:pPr>
              <w:autoSpaceDE w:val="0"/>
              <w:autoSpaceDN w:val="0"/>
              <w:adjustRightInd w:val="0"/>
              <w:spacing w:line="240" w:lineRule="auto"/>
              <w:ind w:right="14"/>
              <w:jc w:val="right"/>
              <w:textAlignment w:val="center"/>
              <w:rPr>
                <w:rFonts w:cs="Arial"/>
                <w:b/>
                <w:bCs/>
                <w:color w:val="000000" w:themeColor="text1"/>
                <w:sz w:val="20"/>
                <w:szCs w:val="20"/>
              </w:rPr>
            </w:pPr>
            <w:r w:rsidRPr="00570A08">
              <w:rPr>
                <w:rFonts w:cs="Arial"/>
                <w:b/>
                <w:bCs/>
                <w:color w:val="000000" w:themeColor="text1"/>
                <w:sz w:val="20"/>
                <w:szCs w:val="20"/>
              </w:rPr>
              <w:t>31 March 2024</w:t>
            </w:r>
          </w:p>
          <w:p w14:paraId="1C3E0503" w14:textId="77777777" w:rsidR="00570A08" w:rsidRPr="00570A08" w:rsidRDefault="00570A08" w:rsidP="00A26E77">
            <w:pPr>
              <w:autoSpaceDE w:val="0"/>
              <w:autoSpaceDN w:val="0"/>
              <w:adjustRightInd w:val="0"/>
              <w:spacing w:line="240" w:lineRule="auto"/>
              <w:ind w:right="14"/>
              <w:jc w:val="right"/>
              <w:textAlignment w:val="center"/>
              <w:rPr>
                <w:rFonts w:cs="Arial"/>
                <w:color w:val="000000" w:themeColor="text1"/>
                <w:sz w:val="20"/>
                <w:szCs w:val="20"/>
              </w:rPr>
            </w:pPr>
            <w:r w:rsidRPr="00570A08">
              <w:rPr>
                <w:rFonts w:cs="Arial"/>
                <w:b/>
                <w:bCs/>
                <w:color w:val="000000" w:themeColor="text1"/>
                <w:sz w:val="20"/>
                <w:szCs w:val="20"/>
                <w:rtl/>
                <w:lang w:bidi="ar-YE"/>
              </w:rPr>
              <w:t>£</w:t>
            </w:r>
            <w:r w:rsidRPr="00570A08">
              <w:rPr>
                <w:rFonts w:cs="Arial"/>
                <w:b/>
                <w:bCs/>
                <w:color w:val="000000" w:themeColor="text1"/>
                <w:sz w:val="20"/>
                <w:szCs w:val="20"/>
                <w:lang w:val="fr-FR"/>
              </w:rPr>
              <w:t>’000</w:t>
            </w:r>
          </w:p>
        </w:tc>
      </w:tr>
      <w:tr w:rsidR="00A26E77" w:rsidRPr="00A26E77" w14:paraId="211DE800" w14:textId="77777777" w:rsidTr="000A1D01">
        <w:trPr>
          <w:trHeight w:hRule="exact" w:val="255"/>
        </w:trPr>
        <w:tc>
          <w:tcPr>
            <w:tcW w:w="5301" w:type="dxa"/>
            <w:vAlign w:val="center"/>
          </w:tcPr>
          <w:p w14:paraId="1435443F"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(Loss)/profit for the period</w:t>
            </w:r>
          </w:p>
        </w:tc>
        <w:tc>
          <w:tcPr>
            <w:tcW w:w="1516" w:type="dxa"/>
            <w:vAlign w:val="center"/>
          </w:tcPr>
          <w:p w14:paraId="5A87E819"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2ADFDE4D"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(18,504)</w:t>
            </w:r>
          </w:p>
        </w:tc>
        <w:tc>
          <w:tcPr>
            <w:tcW w:w="1521" w:type="dxa"/>
            <w:vAlign w:val="center"/>
          </w:tcPr>
          <w:p w14:paraId="695FF3E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2,857</w:t>
            </w:r>
          </w:p>
        </w:tc>
      </w:tr>
      <w:tr w:rsidR="00A26E77" w:rsidRPr="00A26E77" w14:paraId="7391DED7" w14:textId="77777777" w:rsidTr="000A1D01">
        <w:trPr>
          <w:trHeight w:hRule="exact" w:val="255"/>
        </w:trPr>
        <w:tc>
          <w:tcPr>
            <w:tcW w:w="5301" w:type="dxa"/>
            <w:vAlign w:val="center"/>
          </w:tcPr>
          <w:p w14:paraId="135A091E"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Adjustments for:</w:t>
            </w:r>
          </w:p>
        </w:tc>
        <w:tc>
          <w:tcPr>
            <w:tcW w:w="1516" w:type="dxa"/>
            <w:vAlign w:val="center"/>
          </w:tcPr>
          <w:p w14:paraId="001C7176"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5E3959C3"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21" w:type="dxa"/>
            <w:vAlign w:val="center"/>
          </w:tcPr>
          <w:p w14:paraId="593579E3"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r>
      <w:tr w:rsidR="00A26E77" w:rsidRPr="00A26E77" w14:paraId="6D121BCE" w14:textId="77777777" w:rsidTr="000A1D01">
        <w:trPr>
          <w:trHeight w:hRule="exact" w:val="255"/>
        </w:trPr>
        <w:tc>
          <w:tcPr>
            <w:tcW w:w="5301" w:type="dxa"/>
            <w:vAlign w:val="center"/>
          </w:tcPr>
          <w:p w14:paraId="3E1ED518"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Interest received</w:t>
            </w:r>
          </w:p>
        </w:tc>
        <w:tc>
          <w:tcPr>
            <w:tcW w:w="1516" w:type="dxa"/>
            <w:vAlign w:val="center"/>
          </w:tcPr>
          <w:p w14:paraId="3FE1BE47"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7</w:t>
            </w:r>
          </w:p>
        </w:tc>
        <w:tc>
          <w:tcPr>
            <w:tcW w:w="1517" w:type="dxa"/>
            <w:vAlign w:val="center"/>
          </w:tcPr>
          <w:p w14:paraId="524D8B59"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(1,369)</w:t>
            </w:r>
          </w:p>
        </w:tc>
        <w:tc>
          <w:tcPr>
            <w:tcW w:w="1521" w:type="dxa"/>
            <w:vAlign w:val="center"/>
          </w:tcPr>
          <w:p w14:paraId="03E7C235"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(1,597)</w:t>
            </w:r>
          </w:p>
        </w:tc>
      </w:tr>
      <w:tr w:rsidR="00A26E77" w:rsidRPr="00A26E77" w14:paraId="7F85DAF9" w14:textId="77777777" w:rsidTr="000A1D01">
        <w:trPr>
          <w:trHeight w:hRule="exact" w:val="255"/>
        </w:trPr>
        <w:tc>
          <w:tcPr>
            <w:tcW w:w="5301" w:type="dxa"/>
            <w:vAlign w:val="center"/>
          </w:tcPr>
          <w:p w14:paraId="6AC1A2A6"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Finance income</w:t>
            </w:r>
          </w:p>
        </w:tc>
        <w:tc>
          <w:tcPr>
            <w:tcW w:w="1516" w:type="dxa"/>
            <w:vAlign w:val="center"/>
          </w:tcPr>
          <w:p w14:paraId="21899B0A"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7</w:t>
            </w:r>
          </w:p>
        </w:tc>
        <w:tc>
          <w:tcPr>
            <w:tcW w:w="1517" w:type="dxa"/>
            <w:vAlign w:val="center"/>
          </w:tcPr>
          <w:p w14:paraId="370D9537"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(8,042)</w:t>
            </w:r>
          </w:p>
        </w:tc>
        <w:tc>
          <w:tcPr>
            <w:tcW w:w="1521" w:type="dxa"/>
            <w:vAlign w:val="center"/>
          </w:tcPr>
          <w:p w14:paraId="1F223CD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(4,830)</w:t>
            </w:r>
          </w:p>
        </w:tc>
      </w:tr>
      <w:tr w:rsidR="00A26E77" w:rsidRPr="00A26E77" w14:paraId="5B1C0D4C" w14:textId="77777777" w:rsidTr="000A1D01">
        <w:trPr>
          <w:trHeight w:hRule="exact" w:val="255"/>
        </w:trPr>
        <w:tc>
          <w:tcPr>
            <w:tcW w:w="5301" w:type="dxa"/>
            <w:vAlign w:val="center"/>
          </w:tcPr>
          <w:p w14:paraId="4D2E89DA"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Taxation</w:t>
            </w:r>
          </w:p>
        </w:tc>
        <w:tc>
          <w:tcPr>
            <w:tcW w:w="1516" w:type="dxa"/>
            <w:vAlign w:val="center"/>
          </w:tcPr>
          <w:p w14:paraId="0D6B52BB"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9</w:t>
            </w:r>
          </w:p>
        </w:tc>
        <w:tc>
          <w:tcPr>
            <w:tcW w:w="1517" w:type="dxa"/>
            <w:vAlign w:val="center"/>
          </w:tcPr>
          <w:p w14:paraId="69517DF0"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12,889</w:t>
            </w:r>
          </w:p>
        </w:tc>
        <w:tc>
          <w:tcPr>
            <w:tcW w:w="1521" w:type="dxa"/>
            <w:vAlign w:val="center"/>
          </w:tcPr>
          <w:p w14:paraId="76594E41"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4,774</w:t>
            </w:r>
          </w:p>
        </w:tc>
      </w:tr>
      <w:tr w:rsidR="00A26E77" w:rsidRPr="00A26E77" w14:paraId="4337EC81" w14:textId="77777777" w:rsidTr="000A1D01">
        <w:trPr>
          <w:trHeight w:hRule="exact" w:val="255"/>
        </w:trPr>
        <w:tc>
          <w:tcPr>
            <w:tcW w:w="5301" w:type="dxa"/>
            <w:vAlign w:val="center"/>
          </w:tcPr>
          <w:p w14:paraId="5E36F5D9"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Fair value adjustment on fuel derivative</w:t>
            </w:r>
          </w:p>
        </w:tc>
        <w:tc>
          <w:tcPr>
            <w:tcW w:w="1516" w:type="dxa"/>
            <w:vAlign w:val="center"/>
          </w:tcPr>
          <w:p w14:paraId="7D826C7B"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22(d)</w:t>
            </w:r>
          </w:p>
        </w:tc>
        <w:tc>
          <w:tcPr>
            <w:tcW w:w="1517" w:type="dxa"/>
            <w:vAlign w:val="center"/>
          </w:tcPr>
          <w:p w14:paraId="0F88A50B"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4,466</w:t>
            </w:r>
          </w:p>
        </w:tc>
        <w:tc>
          <w:tcPr>
            <w:tcW w:w="1521" w:type="dxa"/>
            <w:vAlign w:val="center"/>
          </w:tcPr>
          <w:p w14:paraId="0830624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(979)</w:t>
            </w:r>
          </w:p>
        </w:tc>
      </w:tr>
      <w:tr w:rsidR="00A26E77" w:rsidRPr="00A26E77" w14:paraId="35B04F2E" w14:textId="77777777" w:rsidTr="000A1D01">
        <w:trPr>
          <w:trHeight w:hRule="exact" w:val="255"/>
        </w:trPr>
        <w:tc>
          <w:tcPr>
            <w:tcW w:w="5301" w:type="dxa"/>
            <w:vAlign w:val="center"/>
          </w:tcPr>
          <w:p w14:paraId="5378E41C"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Depreciation of tangible assets (net of grant release)</w:t>
            </w:r>
          </w:p>
        </w:tc>
        <w:tc>
          <w:tcPr>
            <w:tcW w:w="1516" w:type="dxa"/>
            <w:vAlign w:val="center"/>
          </w:tcPr>
          <w:p w14:paraId="5FD3D871"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6</w:t>
            </w:r>
          </w:p>
        </w:tc>
        <w:tc>
          <w:tcPr>
            <w:tcW w:w="1517" w:type="dxa"/>
            <w:vAlign w:val="center"/>
          </w:tcPr>
          <w:p w14:paraId="5D2351D2"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882</w:t>
            </w:r>
          </w:p>
        </w:tc>
        <w:tc>
          <w:tcPr>
            <w:tcW w:w="1521" w:type="dxa"/>
            <w:vAlign w:val="center"/>
          </w:tcPr>
          <w:p w14:paraId="2F06DF46"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1,448</w:t>
            </w:r>
          </w:p>
        </w:tc>
      </w:tr>
      <w:tr w:rsidR="00A26E77" w:rsidRPr="00A26E77" w14:paraId="18B184BC" w14:textId="77777777" w:rsidTr="000A1D01">
        <w:trPr>
          <w:trHeight w:hRule="exact" w:val="255"/>
        </w:trPr>
        <w:tc>
          <w:tcPr>
            <w:tcW w:w="5301" w:type="dxa"/>
            <w:vAlign w:val="center"/>
          </w:tcPr>
          <w:p w14:paraId="47DA6DE1"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Impairment of property, plant and equipment</w:t>
            </w:r>
          </w:p>
        </w:tc>
        <w:tc>
          <w:tcPr>
            <w:tcW w:w="1516" w:type="dxa"/>
            <w:vAlign w:val="center"/>
          </w:tcPr>
          <w:p w14:paraId="21B6263C"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11</w:t>
            </w:r>
          </w:p>
        </w:tc>
        <w:tc>
          <w:tcPr>
            <w:tcW w:w="1517" w:type="dxa"/>
            <w:vAlign w:val="center"/>
          </w:tcPr>
          <w:p w14:paraId="63E588F0"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624</w:t>
            </w:r>
          </w:p>
        </w:tc>
        <w:tc>
          <w:tcPr>
            <w:tcW w:w="1521" w:type="dxa"/>
            <w:vAlign w:val="center"/>
          </w:tcPr>
          <w:p w14:paraId="77C3416A"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218</w:t>
            </w:r>
          </w:p>
        </w:tc>
      </w:tr>
      <w:tr w:rsidR="00A26E77" w:rsidRPr="00A26E77" w14:paraId="09F33B1A" w14:textId="77777777" w:rsidTr="000A1D01">
        <w:trPr>
          <w:trHeight w:hRule="exact" w:val="340"/>
        </w:trPr>
        <w:tc>
          <w:tcPr>
            <w:tcW w:w="5301" w:type="dxa"/>
            <w:vAlign w:val="center"/>
          </w:tcPr>
          <w:p w14:paraId="6D3DD21F"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Profit on disposal of assets</w:t>
            </w:r>
          </w:p>
        </w:tc>
        <w:tc>
          <w:tcPr>
            <w:tcW w:w="1516" w:type="dxa"/>
            <w:vAlign w:val="center"/>
          </w:tcPr>
          <w:p w14:paraId="77B2E772"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2565E7B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(34)</w:t>
            </w:r>
          </w:p>
        </w:tc>
        <w:tc>
          <w:tcPr>
            <w:tcW w:w="1521" w:type="dxa"/>
            <w:vAlign w:val="center"/>
          </w:tcPr>
          <w:p w14:paraId="51782A15"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(62)</w:t>
            </w:r>
          </w:p>
        </w:tc>
      </w:tr>
      <w:tr w:rsidR="00A26E77" w:rsidRPr="00A26E77" w14:paraId="253F7A0E" w14:textId="77777777" w:rsidTr="000A1D01">
        <w:trPr>
          <w:trHeight w:hRule="exact" w:val="340"/>
        </w:trPr>
        <w:tc>
          <w:tcPr>
            <w:tcW w:w="5301" w:type="dxa"/>
            <w:vAlign w:val="center"/>
          </w:tcPr>
          <w:p w14:paraId="532F1542"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Operating cash flows before movements in working capital</w:t>
            </w:r>
          </w:p>
        </w:tc>
        <w:tc>
          <w:tcPr>
            <w:tcW w:w="1516" w:type="dxa"/>
            <w:vAlign w:val="center"/>
          </w:tcPr>
          <w:p w14:paraId="504F6363"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10A4A1B6"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(9,088)</w:t>
            </w:r>
          </w:p>
        </w:tc>
        <w:tc>
          <w:tcPr>
            <w:tcW w:w="1521" w:type="dxa"/>
            <w:vAlign w:val="center"/>
          </w:tcPr>
          <w:p w14:paraId="16DC874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1,829</w:t>
            </w:r>
          </w:p>
        </w:tc>
      </w:tr>
      <w:tr w:rsidR="00A26E77" w:rsidRPr="00A26E77" w14:paraId="7BC17F88" w14:textId="77777777" w:rsidTr="000A1D01">
        <w:trPr>
          <w:trHeight w:hRule="exact" w:val="340"/>
        </w:trPr>
        <w:tc>
          <w:tcPr>
            <w:tcW w:w="5301" w:type="dxa"/>
            <w:vAlign w:val="center"/>
          </w:tcPr>
          <w:p w14:paraId="0F3A1FD7"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Decrease/(increase) in stocks</w:t>
            </w:r>
          </w:p>
        </w:tc>
        <w:tc>
          <w:tcPr>
            <w:tcW w:w="1516" w:type="dxa"/>
            <w:vAlign w:val="center"/>
          </w:tcPr>
          <w:p w14:paraId="43E429C9"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2323E414"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25</w:t>
            </w:r>
          </w:p>
        </w:tc>
        <w:tc>
          <w:tcPr>
            <w:tcW w:w="1521" w:type="dxa"/>
            <w:vAlign w:val="center"/>
          </w:tcPr>
          <w:p w14:paraId="32F1A7DC"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(3,206)</w:t>
            </w:r>
          </w:p>
        </w:tc>
      </w:tr>
      <w:tr w:rsidR="00A26E77" w:rsidRPr="00A26E77" w14:paraId="50B9A546" w14:textId="77777777" w:rsidTr="000A1D01">
        <w:trPr>
          <w:trHeight w:hRule="exact" w:val="255"/>
        </w:trPr>
        <w:tc>
          <w:tcPr>
            <w:tcW w:w="5301" w:type="dxa"/>
            <w:vAlign w:val="center"/>
          </w:tcPr>
          <w:p w14:paraId="494671BA"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Decrease/(increase) in debtors</w:t>
            </w:r>
          </w:p>
        </w:tc>
        <w:tc>
          <w:tcPr>
            <w:tcW w:w="1516" w:type="dxa"/>
            <w:vAlign w:val="center"/>
          </w:tcPr>
          <w:p w14:paraId="2E85C703"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5D307AC8"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13,263</w:t>
            </w:r>
          </w:p>
        </w:tc>
        <w:tc>
          <w:tcPr>
            <w:tcW w:w="1521" w:type="dxa"/>
            <w:vAlign w:val="center"/>
          </w:tcPr>
          <w:p w14:paraId="27E32971"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(9,514)</w:t>
            </w:r>
          </w:p>
        </w:tc>
      </w:tr>
      <w:tr w:rsidR="00A26E77" w:rsidRPr="00A26E77" w14:paraId="040032B8" w14:textId="77777777" w:rsidTr="000A1D01">
        <w:trPr>
          <w:trHeight w:hRule="exact" w:val="255"/>
        </w:trPr>
        <w:tc>
          <w:tcPr>
            <w:tcW w:w="5301" w:type="dxa"/>
            <w:vAlign w:val="center"/>
          </w:tcPr>
          <w:p w14:paraId="7D06445E"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(Decrease)/increase in creditors</w:t>
            </w:r>
          </w:p>
        </w:tc>
        <w:tc>
          <w:tcPr>
            <w:tcW w:w="1516" w:type="dxa"/>
            <w:vAlign w:val="center"/>
          </w:tcPr>
          <w:p w14:paraId="7479D776"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014BB9BD"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(9,858)</w:t>
            </w:r>
          </w:p>
        </w:tc>
        <w:tc>
          <w:tcPr>
            <w:tcW w:w="1521" w:type="dxa"/>
            <w:vAlign w:val="center"/>
          </w:tcPr>
          <w:p w14:paraId="5121427A"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7,524</w:t>
            </w:r>
          </w:p>
        </w:tc>
      </w:tr>
      <w:tr w:rsidR="00A26E77" w:rsidRPr="00A26E77" w14:paraId="495F8555" w14:textId="77777777" w:rsidTr="000A1D01">
        <w:trPr>
          <w:trHeight w:hRule="exact" w:val="340"/>
        </w:trPr>
        <w:tc>
          <w:tcPr>
            <w:tcW w:w="5301" w:type="dxa"/>
            <w:vAlign w:val="center"/>
          </w:tcPr>
          <w:p w14:paraId="16A6671B"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Excess of pension charge over contributions</w:t>
            </w:r>
          </w:p>
        </w:tc>
        <w:tc>
          <w:tcPr>
            <w:tcW w:w="1516" w:type="dxa"/>
            <w:vAlign w:val="center"/>
          </w:tcPr>
          <w:p w14:paraId="08CE3B5F"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6AC866B4"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(2,689)</w:t>
            </w:r>
          </w:p>
        </w:tc>
        <w:tc>
          <w:tcPr>
            <w:tcW w:w="1521" w:type="dxa"/>
            <w:vAlign w:val="center"/>
          </w:tcPr>
          <w:p w14:paraId="2518F443"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(2,639)</w:t>
            </w:r>
          </w:p>
        </w:tc>
      </w:tr>
      <w:tr w:rsidR="00A26E77" w:rsidRPr="00A26E77" w14:paraId="5F2B4B09" w14:textId="77777777" w:rsidTr="000A1D01">
        <w:trPr>
          <w:trHeight w:hRule="exact" w:val="340"/>
        </w:trPr>
        <w:tc>
          <w:tcPr>
            <w:tcW w:w="5301" w:type="dxa"/>
            <w:vAlign w:val="center"/>
          </w:tcPr>
          <w:p w14:paraId="708AE34B"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Cash absorbed by operations</w:t>
            </w:r>
          </w:p>
        </w:tc>
        <w:tc>
          <w:tcPr>
            <w:tcW w:w="1516" w:type="dxa"/>
            <w:vAlign w:val="center"/>
          </w:tcPr>
          <w:p w14:paraId="1B3EB726"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5004ECD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(8,347)</w:t>
            </w:r>
          </w:p>
        </w:tc>
        <w:tc>
          <w:tcPr>
            <w:tcW w:w="1521" w:type="dxa"/>
            <w:vAlign w:val="center"/>
          </w:tcPr>
          <w:p w14:paraId="67FFE619"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(6,006)</w:t>
            </w:r>
          </w:p>
        </w:tc>
      </w:tr>
      <w:tr w:rsidR="00A26E77" w:rsidRPr="00A26E77" w14:paraId="59D64664" w14:textId="77777777" w:rsidTr="000A1D01">
        <w:trPr>
          <w:trHeight w:hRule="exact" w:val="340"/>
        </w:trPr>
        <w:tc>
          <w:tcPr>
            <w:tcW w:w="5301" w:type="dxa"/>
            <w:vAlign w:val="center"/>
          </w:tcPr>
          <w:p w14:paraId="1AEA7F13"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Corporation tax receipt</w:t>
            </w:r>
          </w:p>
        </w:tc>
        <w:tc>
          <w:tcPr>
            <w:tcW w:w="1516" w:type="dxa"/>
            <w:vAlign w:val="center"/>
          </w:tcPr>
          <w:p w14:paraId="3119B779"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42A05FF1"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w:t>
            </w:r>
          </w:p>
        </w:tc>
        <w:tc>
          <w:tcPr>
            <w:tcW w:w="1521" w:type="dxa"/>
            <w:vAlign w:val="center"/>
          </w:tcPr>
          <w:p w14:paraId="1D8D893A"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500</w:t>
            </w:r>
          </w:p>
        </w:tc>
      </w:tr>
      <w:tr w:rsidR="00A26E77" w:rsidRPr="00A26E77" w14:paraId="7A15DA97" w14:textId="77777777" w:rsidTr="000A1D01">
        <w:trPr>
          <w:trHeight w:hRule="exact" w:val="340"/>
        </w:trPr>
        <w:tc>
          <w:tcPr>
            <w:tcW w:w="5301" w:type="dxa"/>
            <w:vAlign w:val="center"/>
          </w:tcPr>
          <w:p w14:paraId="0C575FBF"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Net cash used in operating activities</w:t>
            </w:r>
          </w:p>
        </w:tc>
        <w:tc>
          <w:tcPr>
            <w:tcW w:w="1516" w:type="dxa"/>
            <w:vAlign w:val="center"/>
          </w:tcPr>
          <w:p w14:paraId="0F00C7B4"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2BFA0967"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(8,347)</w:t>
            </w:r>
          </w:p>
        </w:tc>
        <w:tc>
          <w:tcPr>
            <w:tcW w:w="1521" w:type="dxa"/>
            <w:vAlign w:val="center"/>
          </w:tcPr>
          <w:p w14:paraId="3247730F"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(5,506)</w:t>
            </w:r>
          </w:p>
        </w:tc>
      </w:tr>
      <w:tr w:rsidR="00A26E77" w:rsidRPr="00A26E77" w14:paraId="324314A0" w14:textId="77777777" w:rsidTr="000A1D01">
        <w:trPr>
          <w:trHeight w:hRule="exact" w:val="340"/>
        </w:trPr>
        <w:tc>
          <w:tcPr>
            <w:tcW w:w="5301" w:type="dxa"/>
            <w:vAlign w:val="center"/>
          </w:tcPr>
          <w:p w14:paraId="336FD262"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Investing activities</w:t>
            </w:r>
          </w:p>
        </w:tc>
        <w:tc>
          <w:tcPr>
            <w:tcW w:w="1516" w:type="dxa"/>
            <w:vAlign w:val="center"/>
          </w:tcPr>
          <w:p w14:paraId="63E6D948"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2A2A9DA3"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21" w:type="dxa"/>
            <w:vAlign w:val="center"/>
          </w:tcPr>
          <w:p w14:paraId="3FEE4112"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r>
      <w:tr w:rsidR="00A26E77" w:rsidRPr="00A26E77" w14:paraId="22341AB9" w14:textId="77777777" w:rsidTr="000A1D01">
        <w:trPr>
          <w:trHeight w:hRule="exact" w:val="255"/>
        </w:trPr>
        <w:tc>
          <w:tcPr>
            <w:tcW w:w="5301" w:type="dxa"/>
            <w:vAlign w:val="center"/>
          </w:tcPr>
          <w:p w14:paraId="527B03BC"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Interest received</w:t>
            </w:r>
          </w:p>
        </w:tc>
        <w:tc>
          <w:tcPr>
            <w:tcW w:w="1516" w:type="dxa"/>
            <w:vAlign w:val="center"/>
          </w:tcPr>
          <w:p w14:paraId="544B1352" w14:textId="77777777" w:rsidR="00570A08" w:rsidRPr="00570A08" w:rsidRDefault="00570A08" w:rsidP="000A1D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570A08">
              <w:rPr>
                <w:rFonts w:cs="Arial"/>
                <w:color w:val="000000" w:themeColor="text1"/>
                <w:sz w:val="20"/>
                <w:szCs w:val="20"/>
              </w:rPr>
              <w:t>7</w:t>
            </w:r>
          </w:p>
        </w:tc>
        <w:tc>
          <w:tcPr>
            <w:tcW w:w="1517" w:type="dxa"/>
            <w:vAlign w:val="center"/>
          </w:tcPr>
          <w:p w14:paraId="5F310A54"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1,369</w:t>
            </w:r>
          </w:p>
        </w:tc>
        <w:tc>
          <w:tcPr>
            <w:tcW w:w="1521" w:type="dxa"/>
            <w:vAlign w:val="center"/>
          </w:tcPr>
          <w:p w14:paraId="776614AD"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1,597</w:t>
            </w:r>
          </w:p>
        </w:tc>
      </w:tr>
      <w:tr w:rsidR="00A26E77" w:rsidRPr="00A26E77" w14:paraId="3F1FDF4A" w14:textId="77777777" w:rsidTr="000A1D01">
        <w:trPr>
          <w:trHeight w:hRule="exact" w:val="255"/>
        </w:trPr>
        <w:tc>
          <w:tcPr>
            <w:tcW w:w="5301" w:type="dxa"/>
            <w:vAlign w:val="center"/>
          </w:tcPr>
          <w:p w14:paraId="43F1F802"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Purchases of property, plant and equipment</w:t>
            </w:r>
          </w:p>
        </w:tc>
        <w:tc>
          <w:tcPr>
            <w:tcW w:w="1516" w:type="dxa"/>
            <w:vAlign w:val="center"/>
          </w:tcPr>
          <w:p w14:paraId="34C44589"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68AC6651"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(261,550)</w:t>
            </w:r>
          </w:p>
        </w:tc>
        <w:tc>
          <w:tcPr>
            <w:tcW w:w="1521" w:type="dxa"/>
            <w:vAlign w:val="center"/>
          </w:tcPr>
          <w:p w14:paraId="38DE318E"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(271,433)</w:t>
            </w:r>
          </w:p>
        </w:tc>
      </w:tr>
      <w:tr w:rsidR="00A26E77" w:rsidRPr="00A26E77" w14:paraId="5B68F0D0" w14:textId="77777777" w:rsidTr="000A1D01">
        <w:trPr>
          <w:trHeight w:hRule="exact" w:val="340"/>
        </w:trPr>
        <w:tc>
          <w:tcPr>
            <w:tcW w:w="5301" w:type="dxa"/>
            <w:vAlign w:val="center"/>
          </w:tcPr>
          <w:p w14:paraId="44C5F765"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Proceeds on disposal of property, plant and equipment</w:t>
            </w:r>
          </w:p>
        </w:tc>
        <w:tc>
          <w:tcPr>
            <w:tcW w:w="1516" w:type="dxa"/>
            <w:vAlign w:val="center"/>
          </w:tcPr>
          <w:p w14:paraId="79B0AB8A"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09B1C2C6"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488</w:t>
            </w:r>
          </w:p>
        </w:tc>
        <w:tc>
          <w:tcPr>
            <w:tcW w:w="1521" w:type="dxa"/>
            <w:vAlign w:val="center"/>
          </w:tcPr>
          <w:p w14:paraId="0389E027"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450</w:t>
            </w:r>
          </w:p>
        </w:tc>
      </w:tr>
      <w:tr w:rsidR="00A26E77" w:rsidRPr="00A26E77" w14:paraId="1D41514E" w14:textId="77777777" w:rsidTr="000A1D01">
        <w:trPr>
          <w:trHeight w:hRule="exact" w:val="340"/>
        </w:trPr>
        <w:tc>
          <w:tcPr>
            <w:tcW w:w="5301" w:type="dxa"/>
            <w:vAlign w:val="center"/>
          </w:tcPr>
          <w:p w14:paraId="63EB41B0"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Net cash used in investing activities</w:t>
            </w:r>
          </w:p>
        </w:tc>
        <w:tc>
          <w:tcPr>
            <w:tcW w:w="1516" w:type="dxa"/>
            <w:vAlign w:val="center"/>
          </w:tcPr>
          <w:p w14:paraId="5343ECE1"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6FE35BD0"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(259,693)</w:t>
            </w:r>
          </w:p>
        </w:tc>
        <w:tc>
          <w:tcPr>
            <w:tcW w:w="1521" w:type="dxa"/>
            <w:vAlign w:val="center"/>
          </w:tcPr>
          <w:p w14:paraId="00461FDF"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(269,386)</w:t>
            </w:r>
          </w:p>
        </w:tc>
      </w:tr>
      <w:tr w:rsidR="00A26E77" w:rsidRPr="00A26E77" w14:paraId="47AB1EC2" w14:textId="77777777" w:rsidTr="000A1D01">
        <w:trPr>
          <w:trHeight w:hRule="exact" w:val="340"/>
        </w:trPr>
        <w:tc>
          <w:tcPr>
            <w:tcW w:w="5301" w:type="dxa"/>
            <w:vAlign w:val="center"/>
          </w:tcPr>
          <w:p w14:paraId="6DD8E604"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Financing activities</w:t>
            </w:r>
          </w:p>
        </w:tc>
        <w:tc>
          <w:tcPr>
            <w:tcW w:w="1516" w:type="dxa"/>
            <w:vAlign w:val="center"/>
          </w:tcPr>
          <w:p w14:paraId="34FD1706"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6C69067C"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21" w:type="dxa"/>
            <w:vAlign w:val="center"/>
          </w:tcPr>
          <w:p w14:paraId="142AC3ED"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r>
      <w:tr w:rsidR="00A26E77" w:rsidRPr="00A26E77" w14:paraId="269EDAE3" w14:textId="77777777" w:rsidTr="000A1D01">
        <w:trPr>
          <w:trHeight w:hRule="exact" w:val="340"/>
        </w:trPr>
        <w:tc>
          <w:tcPr>
            <w:tcW w:w="5301" w:type="dxa"/>
            <w:vAlign w:val="center"/>
          </w:tcPr>
          <w:p w14:paraId="0AC7D325"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 xml:space="preserve">Grants received </w:t>
            </w:r>
          </w:p>
        </w:tc>
        <w:tc>
          <w:tcPr>
            <w:tcW w:w="1516" w:type="dxa"/>
            <w:vAlign w:val="center"/>
          </w:tcPr>
          <w:p w14:paraId="2EFBDDAD"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0F740846"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267,505</w:t>
            </w:r>
          </w:p>
        </w:tc>
        <w:tc>
          <w:tcPr>
            <w:tcW w:w="1521" w:type="dxa"/>
            <w:vAlign w:val="center"/>
          </w:tcPr>
          <w:p w14:paraId="716E1169"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272,856</w:t>
            </w:r>
          </w:p>
        </w:tc>
      </w:tr>
      <w:tr w:rsidR="00A26E77" w:rsidRPr="00A26E77" w14:paraId="703CE774" w14:textId="77777777" w:rsidTr="000A1D01">
        <w:trPr>
          <w:trHeight w:hRule="exact" w:val="340"/>
        </w:trPr>
        <w:tc>
          <w:tcPr>
            <w:tcW w:w="5301" w:type="dxa"/>
            <w:vAlign w:val="center"/>
          </w:tcPr>
          <w:p w14:paraId="374005F7"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Net cash generated from financing activities</w:t>
            </w:r>
          </w:p>
        </w:tc>
        <w:tc>
          <w:tcPr>
            <w:tcW w:w="1516" w:type="dxa"/>
            <w:vAlign w:val="center"/>
          </w:tcPr>
          <w:p w14:paraId="2E31A3DB"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4167DB34"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267,505</w:t>
            </w:r>
          </w:p>
        </w:tc>
        <w:tc>
          <w:tcPr>
            <w:tcW w:w="1521" w:type="dxa"/>
            <w:vAlign w:val="center"/>
          </w:tcPr>
          <w:p w14:paraId="48514124"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272,856</w:t>
            </w:r>
          </w:p>
        </w:tc>
      </w:tr>
      <w:tr w:rsidR="00A26E77" w:rsidRPr="00A26E77" w14:paraId="17B8CB0C" w14:textId="77777777" w:rsidTr="000A1D01">
        <w:trPr>
          <w:trHeight w:hRule="exact" w:val="340"/>
        </w:trPr>
        <w:tc>
          <w:tcPr>
            <w:tcW w:w="5301" w:type="dxa"/>
            <w:vAlign w:val="center"/>
          </w:tcPr>
          <w:p w14:paraId="6B884420"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Net decrease in cash and cash equivalents</w:t>
            </w:r>
          </w:p>
        </w:tc>
        <w:tc>
          <w:tcPr>
            <w:tcW w:w="1516" w:type="dxa"/>
            <w:vAlign w:val="center"/>
          </w:tcPr>
          <w:p w14:paraId="65AA6A8C" w14:textId="77777777" w:rsidR="00570A08" w:rsidRPr="00570A08" w:rsidRDefault="00570A08" w:rsidP="000A1D01">
            <w:pPr>
              <w:autoSpaceDE w:val="0"/>
              <w:autoSpaceDN w:val="0"/>
              <w:adjustRightInd w:val="0"/>
              <w:spacing w:line="240" w:lineRule="auto"/>
              <w:jc w:val="right"/>
              <w:rPr>
                <w:rFonts w:cs="Arial"/>
                <w:color w:val="000000" w:themeColor="text1"/>
                <w:sz w:val="20"/>
                <w:szCs w:val="20"/>
              </w:rPr>
            </w:pPr>
          </w:p>
        </w:tc>
        <w:tc>
          <w:tcPr>
            <w:tcW w:w="1517" w:type="dxa"/>
            <w:vAlign w:val="center"/>
          </w:tcPr>
          <w:p w14:paraId="55C65E7D"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(535)</w:t>
            </w:r>
          </w:p>
        </w:tc>
        <w:tc>
          <w:tcPr>
            <w:tcW w:w="1521" w:type="dxa"/>
            <w:vAlign w:val="center"/>
          </w:tcPr>
          <w:p w14:paraId="3623D540"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(2,036)</w:t>
            </w:r>
          </w:p>
        </w:tc>
      </w:tr>
      <w:tr w:rsidR="00A26E77" w:rsidRPr="00A26E77" w14:paraId="1AD4C718" w14:textId="77777777" w:rsidTr="000A1D01">
        <w:trPr>
          <w:trHeight w:hRule="exact" w:val="340"/>
        </w:trPr>
        <w:tc>
          <w:tcPr>
            <w:tcW w:w="5301" w:type="dxa"/>
            <w:vAlign w:val="center"/>
          </w:tcPr>
          <w:p w14:paraId="27525A30"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color w:val="000000" w:themeColor="text1"/>
                <w:sz w:val="20"/>
                <w:szCs w:val="20"/>
              </w:rPr>
              <w:t>Cash and cash equivalents at beginning of period</w:t>
            </w:r>
          </w:p>
        </w:tc>
        <w:tc>
          <w:tcPr>
            <w:tcW w:w="1516" w:type="dxa"/>
            <w:vAlign w:val="center"/>
          </w:tcPr>
          <w:p w14:paraId="1D5A9A36"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19</w:t>
            </w:r>
          </w:p>
        </w:tc>
        <w:tc>
          <w:tcPr>
            <w:tcW w:w="1517" w:type="dxa"/>
            <w:vAlign w:val="center"/>
          </w:tcPr>
          <w:p w14:paraId="37DADAFD"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24,266</w:t>
            </w:r>
          </w:p>
        </w:tc>
        <w:tc>
          <w:tcPr>
            <w:tcW w:w="1521" w:type="dxa"/>
            <w:vAlign w:val="center"/>
          </w:tcPr>
          <w:p w14:paraId="620FFFCA" w14:textId="77777777" w:rsidR="00570A08" w:rsidRPr="00570A08" w:rsidRDefault="00570A08" w:rsidP="000A1D01">
            <w:pPr>
              <w:tabs>
                <w:tab w:val="decimal" w:pos="1021"/>
              </w:tabs>
              <w:autoSpaceDE w:val="0"/>
              <w:autoSpaceDN w:val="0"/>
              <w:adjustRightInd w:val="0"/>
              <w:spacing w:line="240" w:lineRule="auto"/>
              <w:jc w:val="right"/>
              <w:textAlignment w:val="center"/>
              <w:rPr>
                <w:rFonts w:cs="Arial"/>
                <w:color w:val="000000" w:themeColor="text1"/>
                <w:sz w:val="20"/>
                <w:szCs w:val="20"/>
              </w:rPr>
            </w:pPr>
            <w:r w:rsidRPr="00570A08">
              <w:rPr>
                <w:rFonts w:cs="Arial"/>
                <w:color w:val="000000" w:themeColor="text1"/>
                <w:sz w:val="20"/>
                <w:szCs w:val="20"/>
              </w:rPr>
              <w:t>26,302</w:t>
            </w:r>
          </w:p>
        </w:tc>
      </w:tr>
      <w:tr w:rsidR="00A26E77" w:rsidRPr="00A26E77" w14:paraId="523968C5" w14:textId="77777777" w:rsidTr="000A1D01">
        <w:trPr>
          <w:trHeight w:hRule="exact" w:val="340"/>
        </w:trPr>
        <w:tc>
          <w:tcPr>
            <w:tcW w:w="5301" w:type="dxa"/>
            <w:vAlign w:val="center"/>
          </w:tcPr>
          <w:p w14:paraId="2A9083BE" w14:textId="77777777" w:rsidR="00570A08" w:rsidRPr="00570A08" w:rsidRDefault="00570A08" w:rsidP="000A1D01">
            <w:pPr>
              <w:autoSpaceDE w:val="0"/>
              <w:autoSpaceDN w:val="0"/>
              <w:adjustRightInd w:val="0"/>
              <w:spacing w:line="240" w:lineRule="auto"/>
              <w:textAlignment w:val="center"/>
              <w:rPr>
                <w:rFonts w:cs="Arial"/>
                <w:color w:val="000000" w:themeColor="text1"/>
                <w:sz w:val="20"/>
                <w:szCs w:val="20"/>
              </w:rPr>
            </w:pPr>
            <w:r w:rsidRPr="00570A08">
              <w:rPr>
                <w:rFonts w:cs="Arial"/>
                <w:b/>
                <w:bCs/>
                <w:color w:val="000000" w:themeColor="text1"/>
                <w:sz w:val="20"/>
                <w:szCs w:val="20"/>
              </w:rPr>
              <w:t>Cash and cash equivalents at the end of period</w:t>
            </w:r>
          </w:p>
        </w:tc>
        <w:tc>
          <w:tcPr>
            <w:tcW w:w="1516" w:type="dxa"/>
            <w:vAlign w:val="center"/>
          </w:tcPr>
          <w:p w14:paraId="051AEB4A" w14:textId="77777777" w:rsidR="00570A08" w:rsidRPr="00570A08" w:rsidRDefault="00570A08" w:rsidP="000A1D01">
            <w:pPr>
              <w:autoSpaceDE w:val="0"/>
              <w:autoSpaceDN w:val="0"/>
              <w:adjustRightInd w:val="0"/>
              <w:spacing w:line="240" w:lineRule="auto"/>
              <w:jc w:val="right"/>
              <w:textAlignment w:val="center"/>
              <w:rPr>
                <w:rFonts w:cs="Arial"/>
                <w:color w:val="000000" w:themeColor="text1"/>
                <w:sz w:val="20"/>
                <w:szCs w:val="20"/>
              </w:rPr>
            </w:pPr>
            <w:r w:rsidRPr="00570A08">
              <w:rPr>
                <w:rFonts w:cs="Arial"/>
                <w:b/>
                <w:bCs/>
                <w:color w:val="000000" w:themeColor="text1"/>
                <w:sz w:val="20"/>
                <w:szCs w:val="20"/>
              </w:rPr>
              <w:t>19</w:t>
            </w:r>
          </w:p>
        </w:tc>
        <w:tc>
          <w:tcPr>
            <w:tcW w:w="1517" w:type="dxa"/>
            <w:vAlign w:val="center"/>
          </w:tcPr>
          <w:p w14:paraId="74C1327F" w14:textId="77777777" w:rsidR="00570A08" w:rsidRPr="00570A08" w:rsidRDefault="00570A08" w:rsidP="000A1D01">
            <w:pPr>
              <w:tabs>
                <w:tab w:val="decimal" w:pos="1021"/>
              </w:tabs>
              <w:autoSpaceDE w:val="0"/>
              <w:autoSpaceDN w:val="0"/>
              <w:adjustRightInd w:val="0"/>
              <w:spacing w:after="100" w:line="240" w:lineRule="auto"/>
              <w:ind w:left="420"/>
              <w:jc w:val="right"/>
              <w:textAlignment w:val="center"/>
              <w:rPr>
                <w:rFonts w:cs="Arial"/>
                <w:color w:val="000000" w:themeColor="text1"/>
                <w:sz w:val="20"/>
                <w:szCs w:val="20"/>
              </w:rPr>
            </w:pPr>
            <w:r w:rsidRPr="00570A08">
              <w:rPr>
                <w:rFonts w:cs="Arial"/>
                <w:b/>
                <w:bCs/>
                <w:color w:val="000000" w:themeColor="text1"/>
                <w:sz w:val="20"/>
                <w:szCs w:val="20"/>
              </w:rPr>
              <w:t>23,731</w:t>
            </w:r>
          </w:p>
        </w:tc>
        <w:tc>
          <w:tcPr>
            <w:tcW w:w="1521" w:type="dxa"/>
            <w:vAlign w:val="center"/>
          </w:tcPr>
          <w:p w14:paraId="32BB3051" w14:textId="77777777" w:rsidR="00570A08" w:rsidRPr="00570A08" w:rsidRDefault="00570A08" w:rsidP="000A1D01">
            <w:pPr>
              <w:tabs>
                <w:tab w:val="decimal" w:pos="1021"/>
              </w:tabs>
              <w:autoSpaceDE w:val="0"/>
              <w:autoSpaceDN w:val="0"/>
              <w:adjustRightInd w:val="0"/>
              <w:spacing w:after="100" w:line="240" w:lineRule="auto"/>
              <w:ind w:left="420"/>
              <w:jc w:val="right"/>
              <w:textAlignment w:val="center"/>
              <w:rPr>
                <w:rFonts w:cs="Arial"/>
                <w:color w:val="000000" w:themeColor="text1"/>
                <w:sz w:val="20"/>
                <w:szCs w:val="20"/>
              </w:rPr>
            </w:pPr>
            <w:r w:rsidRPr="00570A08">
              <w:rPr>
                <w:rFonts w:cs="Arial"/>
                <w:b/>
                <w:bCs/>
                <w:color w:val="000000" w:themeColor="text1"/>
                <w:sz w:val="20"/>
                <w:szCs w:val="20"/>
              </w:rPr>
              <w:t>24,266</w:t>
            </w:r>
          </w:p>
        </w:tc>
      </w:tr>
    </w:tbl>
    <w:p w14:paraId="3850F7E9" w14:textId="77777777" w:rsidR="00570A08" w:rsidRPr="00570A08" w:rsidRDefault="00570A08" w:rsidP="00570A08">
      <w:pPr>
        <w:spacing w:line="276" w:lineRule="auto"/>
        <w:rPr>
          <w:b/>
          <w:bCs/>
        </w:rPr>
      </w:pPr>
    </w:p>
    <w:p w14:paraId="4E702057" w14:textId="095973DE" w:rsidR="000A1D01" w:rsidRDefault="000A1D01">
      <w:pPr>
        <w:spacing w:line="240" w:lineRule="auto"/>
        <w:rPr>
          <w:b/>
          <w:bCs/>
          <w:sz w:val="44"/>
          <w:szCs w:val="44"/>
        </w:rPr>
      </w:pPr>
      <w:r>
        <w:rPr>
          <w:b/>
          <w:bCs/>
          <w:sz w:val="44"/>
          <w:szCs w:val="44"/>
        </w:rPr>
        <w:br w:type="page"/>
      </w:r>
    </w:p>
    <w:p w14:paraId="14D846E5" w14:textId="77777777" w:rsidR="000A1D01" w:rsidRPr="000A1D01" w:rsidRDefault="000A1D01" w:rsidP="003F4D72">
      <w:pPr>
        <w:pStyle w:val="Heading1"/>
      </w:pPr>
      <w:bookmarkStart w:id="243" w:name="_Toc213058675"/>
      <w:r w:rsidRPr="000A1D01">
        <w:lastRenderedPageBreak/>
        <w:t xml:space="preserve">Notes to the Consolidated </w:t>
      </w:r>
      <w:r w:rsidRPr="000A1D01">
        <w:br/>
        <w:t>Financial Statements</w:t>
      </w:r>
      <w:bookmarkEnd w:id="243"/>
      <w:r w:rsidRPr="000A1D01">
        <w:t xml:space="preserve">  </w:t>
      </w:r>
    </w:p>
    <w:p w14:paraId="48247716" w14:textId="77777777" w:rsidR="000A1D01" w:rsidRPr="000A1D01" w:rsidRDefault="000A1D01" w:rsidP="000A1D01">
      <w:pPr>
        <w:rPr>
          <w:rFonts w:cs="Arial"/>
          <w:color w:val="000000" w:themeColor="text1"/>
        </w:rPr>
      </w:pPr>
    </w:p>
    <w:p w14:paraId="39F9742A" w14:textId="77777777" w:rsidR="000A1D01" w:rsidRPr="000A1D01" w:rsidRDefault="000A1D01" w:rsidP="003F4D72">
      <w:pPr>
        <w:pStyle w:val="Heading2"/>
      </w:pPr>
      <w:bookmarkStart w:id="244" w:name="_Toc213058676"/>
      <w:r w:rsidRPr="000A1D01">
        <w:t>1. General Information</w:t>
      </w:r>
      <w:bookmarkEnd w:id="244"/>
    </w:p>
    <w:p w14:paraId="31EA3BB0" w14:textId="77777777" w:rsidR="000A1D01" w:rsidRPr="000A1D01" w:rsidRDefault="000A1D01" w:rsidP="000A1D01">
      <w:pPr>
        <w:rPr>
          <w:rFonts w:cs="Arial"/>
          <w:color w:val="000000" w:themeColor="text1"/>
        </w:rPr>
      </w:pPr>
      <w:r w:rsidRPr="000A1D01">
        <w:rPr>
          <w:rFonts w:cs="Arial"/>
          <w:color w:val="000000" w:themeColor="text1"/>
        </w:rPr>
        <w:t xml:space="preserve">The Northern Ireland Transport Holding Company (the Company) is a Public Corporation incorporated in Northern Ireland under the Transport Act (Northern Ireland) 1967, which requires compliance with Companies legislation </w:t>
      </w:r>
      <w:proofErr w:type="gramStart"/>
      <w:r w:rsidRPr="000A1D01">
        <w:rPr>
          <w:rFonts w:cs="Arial"/>
          <w:color w:val="000000" w:themeColor="text1"/>
        </w:rPr>
        <w:t>with regard to</w:t>
      </w:r>
      <w:proofErr w:type="gramEnd"/>
      <w:r w:rsidRPr="000A1D01">
        <w:rPr>
          <w:rFonts w:cs="Arial"/>
          <w:color w:val="000000" w:themeColor="text1"/>
        </w:rPr>
        <w:t xml:space="preserve"> accounts and audit. It follows that presentation requirements of IFRS and disclosure requirements of the Companies Act 2006 apply. The addresses of its registered office and principal place of business are disclosed on page 4. The principal activities of the Company and its subsidiaries (the Group) are described in the Strategic Report on page 8.</w:t>
      </w:r>
    </w:p>
    <w:p w14:paraId="02008CE8" w14:textId="77777777" w:rsidR="000A1D01" w:rsidRPr="000A1D01" w:rsidRDefault="000A1D01" w:rsidP="000A1D01">
      <w:pPr>
        <w:rPr>
          <w:rFonts w:cs="Arial"/>
          <w:color w:val="000000" w:themeColor="text1"/>
        </w:rPr>
      </w:pPr>
    </w:p>
    <w:p w14:paraId="6A2A5C12" w14:textId="77777777" w:rsidR="000A1D01" w:rsidRPr="000A1D01" w:rsidRDefault="000A1D01" w:rsidP="000A1D01">
      <w:pPr>
        <w:rPr>
          <w:rFonts w:cs="Arial"/>
          <w:color w:val="000000" w:themeColor="text1"/>
        </w:rPr>
      </w:pPr>
      <w:r w:rsidRPr="000A1D01">
        <w:rPr>
          <w:rFonts w:cs="Arial"/>
          <w:color w:val="000000" w:themeColor="text1"/>
        </w:rPr>
        <w:t>All references in the financial statements to “the Department” relate to the Department for Infrastructure.</w:t>
      </w:r>
    </w:p>
    <w:p w14:paraId="761B1CCB" w14:textId="77777777" w:rsidR="000A1D01" w:rsidRPr="000A1D01" w:rsidRDefault="000A1D01" w:rsidP="000A1D01">
      <w:pPr>
        <w:rPr>
          <w:rFonts w:cs="Arial"/>
          <w:color w:val="000000" w:themeColor="text1"/>
        </w:rPr>
      </w:pPr>
    </w:p>
    <w:p w14:paraId="092C8B10" w14:textId="77777777" w:rsidR="000A1D01" w:rsidRPr="000A1D01" w:rsidRDefault="000A1D01" w:rsidP="003F4D72">
      <w:pPr>
        <w:pStyle w:val="Heading2"/>
      </w:pPr>
      <w:bookmarkStart w:id="245" w:name="_Toc213058677"/>
      <w:r w:rsidRPr="000A1D01">
        <w:t>2. Significant Accounting Policies</w:t>
      </w:r>
      <w:bookmarkEnd w:id="245"/>
    </w:p>
    <w:p w14:paraId="2B24BEC6" w14:textId="77777777" w:rsidR="000A1D01" w:rsidRDefault="000A1D01" w:rsidP="000A1D01">
      <w:pPr>
        <w:rPr>
          <w:rFonts w:cs="Arial"/>
          <w:color w:val="000000" w:themeColor="text1"/>
        </w:rPr>
      </w:pPr>
    </w:p>
    <w:p w14:paraId="0CDFAD46" w14:textId="4E72F4C3" w:rsidR="000A1D01" w:rsidRPr="000A1D01" w:rsidRDefault="000A1D01" w:rsidP="003F4D72">
      <w:pPr>
        <w:pStyle w:val="Heading3"/>
      </w:pPr>
      <w:bookmarkStart w:id="246" w:name="_Toc213058678"/>
      <w:r w:rsidRPr="000A1D01">
        <w:t>Statement of Compliance</w:t>
      </w:r>
      <w:bookmarkEnd w:id="246"/>
    </w:p>
    <w:p w14:paraId="7C06FC57" w14:textId="77777777" w:rsidR="000A1D01" w:rsidRPr="000A1D01" w:rsidRDefault="000A1D01" w:rsidP="000A1D01">
      <w:pPr>
        <w:rPr>
          <w:rFonts w:cs="Arial"/>
          <w:color w:val="000000" w:themeColor="text1"/>
        </w:rPr>
      </w:pPr>
      <w:r w:rsidRPr="000A1D01">
        <w:rPr>
          <w:rFonts w:cs="Arial"/>
          <w:color w:val="000000" w:themeColor="text1"/>
        </w:rPr>
        <w:t>The Group financial statements have been prepared and approved by the Directors in accordance with Companies Act 2006 and UK-adopted international accounting standards in conformity with the requirements of the Companies Act 2006 (‘UK Adopted IFRSs’).</w:t>
      </w:r>
    </w:p>
    <w:p w14:paraId="330B925D" w14:textId="77777777" w:rsidR="000A1D01" w:rsidRPr="000A1D01" w:rsidRDefault="000A1D01" w:rsidP="000A1D01">
      <w:pPr>
        <w:rPr>
          <w:rFonts w:cs="Arial"/>
          <w:color w:val="000000" w:themeColor="text1"/>
        </w:rPr>
      </w:pPr>
    </w:p>
    <w:p w14:paraId="5DFABDE5" w14:textId="77777777" w:rsidR="000A1D01" w:rsidRPr="000A1D01" w:rsidRDefault="000A1D01" w:rsidP="003F4D72">
      <w:pPr>
        <w:pStyle w:val="Heading3"/>
      </w:pPr>
      <w:bookmarkStart w:id="247" w:name="_Toc213058679"/>
      <w:r w:rsidRPr="000A1D01">
        <w:t>Basis of Preparation</w:t>
      </w:r>
      <w:bookmarkEnd w:id="247"/>
      <w:r w:rsidRPr="000A1D01">
        <w:t xml:space="preserve"> </w:t>
      </w:r>
    </w:p>
    <w:p w14:paraId="7753D84C" w14:textId="77777777" w:rsidR="000A1D01" w:rsidRPr="000A1D01" w:rsidRDefault="000A1D01" w:rsidP="000A1D01">
      <w:pPr>
        <w:rPr>
          <w:rFonts w:cs="Arial"/>
          <w:color w:val="000000" w:themeColor="text1"/>
        </w:rPr>
      </w:pPr>
      <w:r w:rsidRPr="000A1D01">
        <w:rPr>
          <w:rFonts w:cs="Arial"/>
          <w:color w:val="000000" w:themeColor="text1"/>
        </w:rPr>
        <w:t>The principal accounting policies adopted in the preparation of these financial statements are set out below. These policies have been consistently applied to the Group and parent company unless otherwise indicated and to all years presented, unless otherwise stated.</w:t>
      </w:r>
    </w:p>
    <w:p w14:paraId="669DE134" w14:textId="77777777" w:rsidR="000A1D01" w:rsidRPr="000A1D01" w:rsidRDefault="000A1D01" w:rsidP="000A1D01">
      <w:pPr>
        <w:rPr>
          <w:rFonts w:cs="Arial"/>
          <w:color w:val="000000" w:themeColor="text1"/>
        </w:rPr>
      </w:pPr>
    </w:p>
    <w:p w14:paraId="51D582FF" w14:textId="77777777" w:rsidR="000A1D01" w:rsidRPr="000A1D01" w:rsidRDefault="000A1D01" w:rsidP="000A1D01">
      <w:pPr>
        <w:rPr>
          <w:rFonts w:cs="Arial"/>
          <w:color w:val="000000" w:themeColor="text1"/>
        </w:rPr>
      </w:pPr>
      <w:r w:rsidRPr="000A1D01">
        <w:rPr>
          <w:rFonts w:cs="Arial"/>
          <w:color w:val="000000" w:themeColor="text1"/>
        </w:rPr>
        <w:t xml:space="preserve">The financial statements are prepared in accordance with UK Adopted International Financial Reporting Standards (“UK Adopted IFRS”) and with those parts of the Companies Act applicable to companies reporting under IFRS. </w:t>
      </w:r>
    </w:p>
    <w:p w14:paraId="070F5B30" w14:textId="77777777" w:rsidR="000A1D01" w:rsidRPr="000A1D01" w:rsidRDefault="000A1D01" w:rsidP="000A1D01">
      <w:pPr>
        <w:rPr>
          <w:rFonts w:cs="Arial"/>
          <w:color w:val="000000" w:themeColor="text1"/>
        </w:rPr>
      </w:pPr>
    </w:p>
    <w:p w14:paraId="7329FF26" w14:textId="77777777" w:rsidR="000A1D01" w:rsidRPr="000A1D01" w:rsidRDefault="000A1D01" w:rsidP="000A1D01">
      <w:pPr>
        <w:rPr>
          <w:rFonts w:cs="Arial"/>
          <w:color w:val="000000" w:themeColor="text1"/>
        </w:rPr>
      </w:pPr>
      <w:r w:rsidRPr="000A1D01">
        <w:rPr>
          <w:rFonts w:cs="Arial"/>
          <w:color w:val="000000" w:themeColor="text1"/>
        </w:rPr>
        <w:t xml:space="preserve">The parent company meets the definition of a qualifying entity under FRS 100 (Financial Reporting Standard 100) issued by the Financial Reporting Council. The financial statements have therefore </w:t>
      </w:r>
      <w:r w:rsidRPr="000A1D01">
        <w:rPr>
          <w:rFonts w:cs="Arial"/>
          <w:color w:val="000000" w:themeColor="text1"/>
        </w:rPr>
        <w:lastRenderedPageBreak/>
        <w:t>been prepared in accordance with FRS 101 (Financial Reporting Standard 101) ‘Reduced Disclosure Framework’ as issued by the Financial Reporting Council. As permitted by FRS 101, the Company has taken advantage of the disclosure exemptions available under that standard in relation to business combinations, share-based payment, non-current assets held for sale, financial instruments, capital management, presentation of comparative information in respect of certain assets, presentation of a cash-flow statement, standards not yet effective, impairment of assets, transactions with wholly owned subsidiaries, compensation for key management personnel and certain disclosures required by IFRS 13 Fair Value Measurement and the disclosures required by IFRS 7.</w:t>
      </w:r>
    </w:p>
    <w:p w14:paraId="2D2E5648" w14:textId="77777777" w:rsidR="000A1D01" w:rsidRPr="000A1D01" w:rsidRDefault="000A1D01" w:rsidP="000A1D01">
      <w:pPr>
        <w:rPr>
          <w:rFonts w:cs="Arial"/>
          <w:color w:val="000000" w:themeColor="text1"/>
        </w:rPr>
      </w:pPr>
    </w:p>
    <w:p w14:paraId="65B0DD33" w14:textId="77777777" w:rsidR="000A1D01" w:rsidRPr="000A1D01" w:rsidRDefault="000A1D01" w:rsidP="000A1D01">
      <w:pPr>
        <w:rPr>
          <w:rFonts w:cs="Arial"/>
          <w:color w:val="000000" w:themeColor="text1"/>
        </w:rPr>
      </w:pPr>
      <w:r w:rsidRPr="000A1D01">
        <w:rPr>
          <w:rFonts w:cs="Arial"/>
          <w:color w:val="000000" w:themeColor="text1"/>
        </w:rPr>
        <w:t xml:space="preserve">On publishing the Group financial statements together with the Company financial statements, the Company is taking advantage of the exemption in Section 408 of the Companies Act 2006 not to present its individual income statement </w:t>
      </w:r>
      <w:r w:rsidRPr="000A1D01">
        <w:rPr>
          <w:rFonts w:cs="Arial"/>
          <w:color w:val="000000" w:themeColor="text1"/>
        </w:rPr>
        <w:br/>
        <w:t>and related notes that form a part of those approved financial statements.</w:t>
      </w:r>
    </w:p>
    <w:p w14:paraId="4D22CD96" w14:textId="77777777" w:rsidR="000A1D01" w:rsidRPr="000A1D01" w:rsidRDefault="000A1D01" w:rsidP="000A1D01">
      <w:pPr>
        <w:rPr>
          <w:rFonts w:cs="Arial"/>
          <w:color w:val="000000" w:themeColor="text1"/>
        </w:rPr>
      </w:pPr>
    </w:p>
    <w:p w14:paraId="4B35C816" w14:textId="77777777" w:rsidR="000A1D01" w:rsidRPr="000A1D01" w:rsidRDefault="000A1D01" w:rsidP="000A1D01">
      <w:pPr>
        <w:rPr>
          <w:rFonts w:cs="Arial"/>
          <w:color w:val="000000" w:themeColor="text1"/>
        </w:rPr>
      </w:pPr>
      <w:r w:rsidRPr="000A1D01">
        <w:rPr>
          <w:rFonts w:cs="Arial"/>
          <w:color w:val="000000" w:themeColor="text1"/>
        </w:rPr>
        <w:t>The financial statements have been prepared under the historical cost convention as modified by investment properties, financial assets and financial liabilities (including derivative instruments) at fair value.</w:t>
      </w:r>
    </w:p>
    <w:p w14:paraId="6949D09A" w14:textId="77777777" w:rsidR="000A1D01" w:rsidRPr="000A1D01" w:rsidRDefault="000A1D01" w:rsidP="000A1D01">
      <w:pPr>
        <w:rPr>
          <w:rFonts w:cs="Arial"/>
          <w:color w:val="000000" w:themeColor="text1"/>
        </w:rPr>
      </w:pPr>
    </w:p>
    <w:p w14:paraId="4FD49144" w14:textId="77777777" w:rsidR="000A1D01" w:rsidRPr="000A1D01" w:rsidRDefault="000A1D01" w:rsidP="000A1D01">
      <w:pPr>
        <w:rPr>
          <w:rFonts w:cs="Arial"/>
          <w:color w:val="000000" w:themeColor="text1"/>
        </w:rPr>
      </w:pPr>
      <w:r w:rsidRPr="000A1D01">
        <w:rPr>
          <w:rFonts w:cs="Arial"/>
          <w:color w:val="000000" w:themeColor="text1"/>
        </w:rPr>
        <w:t xml:space="preserve">The financial statements are presented in pounds sterling, the functional currency of the Company and each of its subsidiaries and all values are rounded to the nearest one thousand pounds except where otherwise noted. </w:t>
      </w:r>
    </w:p>
    <w:p w14:paraId="28D5B812" w14:textId="77777777" w:rsidR="000A1D01" w:rsidRPr="000A1D01" w:rsidRDefault="000A1D01" w:rsidP="000A1D01">
      <w:pPr>
        <w:rPr>
          <w:rFonts w:cs="Arial"/>
          <w:color w:val="000000" w:themeColor="text1"/>
        </w:rPr>
      </w:pPr>
    </w:p>
    <w:p w14:paraId="2A034044" w14:textId="77777777" w:rsidR="000A1D01" w:rsidRPr="000A1D01" w:rsidRDefault="000A1D01" w:rsidP="003F4D72">
      <w:pPr>
        <w:pStyle w:val="Heading3"/>
      </w:pPr>
      <w:bookmarkStart w:id="248" w:name="_Toc213058680"/>
      <w:r w:rsidRPr="000A1D01">
        <w:t>Basis of Consolidation</w:t>
      </w:r>
      <w:bookmarkEnd w:id="248"/>
    </w:p>
    <w:p w14:paraId="59C52D3E" w14:textId="77777777" w:rsidR="000A1D01" w:rsidRPr="000A1D01" w:rsidRDefault="000A1D01" w:rsidP="000A1D01">
      <w:pPr>
        <w:rPr>
          <w:rFonts w:cs="Arial"/>
          <w:color w:val="000000" w:themeColor="text1"/>
        </w:rPr>
      </w:pPr>
      <w:r w:rsidRPr="000A1D01">
        <w:rPr>
          <w:rFonts w:cs="Arial"/>
          <w:color w:val="000000" w:themeColor="text1"/>
        </w:rPr>
        <w:t xml:space="preserve">The consolidated financial statements incorporate the financial statements of the Company and entities controlled by the Company (its subsidiaries) for the 52 weeks to 30 March 2025 (53 weeks to 31 March 2024). Control is achieved where the Company, is expected to, or has rights to variable returns from its involvement with the entity and </w:t>
      </w:r>
      <w:proofErr w:type="gramStart"/>
      <w:r w:rsidRPr="000A1D01">
        <w:rPr>
          <w:rFonts w:cs="Arial"/>
          <w:color w:val="000000" w:themeColor="text1"/>
        </w:rPr>
        <w:t>has the ability to</w:t>
      </w:r>
      <w:proofErr w:type="gramEnd"/>
      <w:r w:rsidRPr="000A1D01">
        <w:rPr>
          <w:rFonts w:cs="Arial"/>
          <w:color w:val="000000" w:themeColor="text1"/>
        </w:rPr>
        <w:t xml:space="preserve"> affect those returns through its power over the entity.</w:t>
      </w:r>
    </w:p>
    <w:p w14:paraId="7C659ABB" w14:textId="77777777" w:rsidR="000A1D01" w:rsidRPr="000A1D01" w:rsidRDefault="000A1D01" w:rsidP="000A1D01">
      <w:pPr>
        <w:rPr>
          <w:rFonts w:cs="Arial"/>
          <w:color w:val="000000" w:themeColor="text1"/>
        </w:rPr>
      </w:pPr>
    </w:p>
    <w:p w14:paraId="60EDF7C2" w14:textId="77777777" w:rsidR="000A1D01" w:rsidRPr="000A1D01" w:rsidRDefault="000A1D01" w:rsidP="000A1D01">
      <w:pPr>
        <w:rPr>
          <w:rFonts w:cs="Arial"/>
          <w:color w:val="000000" w:themeColor="text1"/>
        </w:rPr>
      </w:pPr>
      <w:r w:rsidRPr="000A1D01">
        <w:rPr>
          <w:rFonts w:cs="Arial"/>
          <w:color w:val="000000" w:themeColor="text1"/>
        </w:rPr>
        <w:t>All intra-group transactions, balances, income and expenses are eliminated in full on consolidation.</w:t>
      </w:r>
    </w:p>
    <w:p w14:paraId="2446C909" w14:textId="77777777" w:rsidR="000A1D01" w:rsidRPr="000A1D01" w:rsidRDefault="000A1D01" w:rsidP="000A1D01">
      <w:pPr>
        <w:rPr>
          <w:rFonts w:cs="Arial"/>
          <w:color w:val="000000" w:themeColor="text1"/>
        </w:rPr>
      </w:pPr>
    </w:p>
    <w:p w14:paraId="4A9B25E7" w14:textId="77777777" w:rsidR="000A1D01" w:rsidRPr="000A1D01" w:rsidRDefault="000A1D01" w:rsidP="003F4D72">
      <w:pPr>
        <w:pStyle w:val="Heading3"/>
      </w:pPr>
      <w:bookmarkStart w:id="249" w:name="_Toc213058681"/>
      <w:r w:rsidRPr="000A1D01">
        <w:lastRenderedPageBreak/>
        <w:t>Going Concern</w:t>
      </w:r>
      <w:bookmarkEnd w:id="249"/>
    </w:p>
    <w:p w14:paraId="3D09DB45" w14:textId="3BB774EB" w:rsidR="000A1D01" w:rsidRPr="000A1D01" w:rsidRDefault="000A1D01" w:rsidP="000A1D01">
      <w:pPr>
        <w:rPr>
          <w:rFonts w:cs="Arial"/>
          <w:color w:val="000000" w:themeColor="text1"/>
        </w:rPr>
      </w:pPr>
      <w:r w:rsidRPr="000A1D01">
        <w:rPr>
          <w:rFonts w:cs="Arial"/>
          <w:color w:val="000000" w:themeColor="text1"/>
        </w:rPr>
        <w:t xml:space="preserve">The Company’s business activities together with factors likely to affect its future developments are set out in the Directors’ report.  </w:t>
      </w:r>
      <w:proofErr w:type="gramStart"/>
      <w:r w:rsidRPr="000A1D01">
        <w:rPr>
          <w:rFonts w:cs="Arial"/>
          <w:color w:val="000000" w:themeColor="text1"/>
        </w:rPr>
        <w:t>On the basis of</w:t>
      </w:r>
      <w:proofErr w:type="gramEnd"/>
      <w:r w:rsidRPr="000A1D01">
        <w:rPr>
          <w:rFonts w:cs="Arial"/>
          <w:color w:val="000000" w:themeColor="text1"/>
        </w:rPr>
        <w:t xml:space="preserve"> their assessment, the Directors believe that the Company is well placed to manage its risks successfully.</w:t>
      </w:r>
    </w:p>
    <w:p w14:paraId="3E2DC36D" w14:textId="77777777" w:rsidR="000A1D01" w:rsidRPr="000A1D01" w:rsidRDefault="000A1D01" w:rsidP="000A1D01">
      <w:pPr>
        <w:rPr>
          <w:rFonts w:cs="Arial"/>
          <w:color w:val="000000" w:themeColor="text1"/>
        </w:rPr>
      </w:pPr>
    </w:p>
    <w:p w14:paraId="7CAF12DF" w14:textId="77777777" w:rsidR="000A1D01" w:rsidRPr="000A1D01" w:rsidRDefault="000A1D01" w:rsidP="000A1D01">
      <w:pPr>
        <w:rPr>
          <w:rFonts w:cs="Arial"/>
          <w:color w:val="000000" w:themeColor="text1"/>
        </w:rPr>
      </w:pPr>
      <w:r w:rsidRPr="000A1D01">
        <w:rPr>
          <w:rFonts w:cs="Arial"/>
          <w:color w:val="000000" w:themeColor="text1"/>
        </w:rPr>
        <w:t xml:space="preserve">After making enquiries, the Directors have reasonable expectation that the Company has adequate resources to continue in operational existence for the foreseeable future.  Accordingly, they continue to adopt the going concern basis in preparing the annual report and financial statements. </w:t>
      </w:r>
    </w:p>
    <w:p w14:paraId="6373F2E4" w14:textId="77777777" w:rsidR="000A1D01" w:rsidRPr="000A1D01" w:rsidRDefault="000A1D01" w:rsidP="000A1D01">
      <w:pPr>
        <w:rPr>
          <w:rFonts w:cs="Arial"/>
          <w:color w:val="000000" w:themeColor="text1"/>
        </w:rPr>
      </w:pPr>
    </w:p>
    <w:p w14:paraId="7239F4A9" w14:textId="77777777" w:rsidR="000A1D01" w:rsidRPr="000A1D01" w:rsidRDefault="000A1D01" w:rsidP="003F4D72">
      <w:pPr>
        <w:pStyle w:val="Heading3"/>
      </w:pPr>
      <w:bookmarkStart w:id="250" w:name="_Toc213058682"/>
      <w:r w:rsidRPr="000A1D01">
        <w:t>Inherited Pension and Compensation Payments</w:t>
      </w:r>
      <w:bookmarkEnd w:id="250"/>
    </w:p>
    <w:p w14:paraId="346BDD73" w14:textId="77777777" w:rsidR="000A1D01" w:rsidRPr="000A1D01" w:rsidRDefault="000A1D01" w:rsidP="000A1D01">
      <w:pPr>
        <w:rPr>
          <w:rFonts w:cs="Arial"/>
          <w:color w:val="000000" w:themeColor="text1"/>
        </w:rPr>
      </w:pPr>
      <w:r w:rsidRPr="000A1D01">
        <w:rPr>
          <w:rFonts w:cs="Arial"/>
          <w:color w:val="000000" w:themeColor="text1"/>
        </w:rPr>
        <w:t>The Company has a statutory responsibility for the administration and payment of various pension and compensation liabilities inherited from the Ulster Transport Authority and the Belfast Corporation Transport Department. The Department reimburses the deficit of £57,000 (2024: £87,000) and have confirmed that it is the intention to fund this deficit going forward and in consequence, none of the inherited pension and compensation expenditure has been included in the financial statements.</w:t>
      </w:r>
    </w:p>
    <w:p w14:paraId="291B4764" w14:textId="77777777" w:rsidR="000A1D01" w:rsidRPr="000A1D01" w:rsidRDefault="000A1D01" w:rsidP="000A1D01">
      <w:pPr>
        <w:rPr>
          <w:rFonts w:cs="Arial"/>
          <w:color w:val="000000" w:themeColor="text1"/>
        </w:rPr>
      </w:pPr>
    </w:p>
    <w:p w14:paraId="75CA42D2" w14:textId="77777777" w:rsidR="000A1D01" w:rsidRPr="000A1D01" w:rsidRDefault="000A1D01" w:rsidP="003F4D72">
      <w:pPr>
        <w:pStyle w:val="Heading3"/>
      </w:pPr>
      <w:bookmarkStart w:id="251" w:name="_Toc213058683"/>
      <w:r w:rsidRPr="000A1D01">
        <w:t>Presentation of Income Statement and Exceptional Items</w:t>
      </w:r>
      <w:bookmarkEnd w:id="251"/>
    </w:p>
    <w:p w14:paraId="6B7265D3" w14:textId="77777777" w:rsidR="000A1D01" w:rsidRPr="000A1D01" w:rsidRDefault="000A1D01" w:rsidP="000A1D01">
      <w:pPr>
        <w:rPr>
          <w:rFonts w:cs="Arial"/>
          <w:color w:val="000000" w:themeColor="text1"/>
        </w:rPr>
      </w:pPr>
      <w:r w:rsidRPr="000A1D01">
        <w:rPr>
          <w:rFonts w:cs="Arial"/>
          <w:color w:val="000000" w:themeColor="text1"/>
        </w:rPr>
        <w:t xml:space="preserve">Where applicable, income statement information has been presented in a format which separately highlights exceptional items. Exceptional items include those which individually, or, if similar in nature, in aggregate, need to be disclosed by virtue of their nature, size or incidence </w:t>
      </w:r>
      <w:proofErr w:type="gramStart"/>
      <w:r w:rsidRPr="000A1D01">
        <w:rPr>
          <w:rFonts w:cs="Arial"/>
          <w:color w:val="000000" w:themeColor="text1"/>
        </w:rPr>
        <w:t>in order to</w:t>
      </w:r>
      <w:proofErr w:type="gramEnd"/>
      <w:r w:rsidRPr="000A1D01">
        <w:rPr>
          <w:rFonts w:cs="Arial"/>
          <w:color w:val="000000" w:themeColor="text1"/>
        </w:rPr>
        <w:t xml:space="preserve"> allow a proper understanding of the financial performance of the Group.</w:t>
      </w:r>
    </w:p>
    <w:p w14:paraId="1EB9534E" w14:textId="77777777" w:rsidR="000A1D01" w:rsidRPr="000A1D01" w:rsidRDefault="000A1D01" w:rsidP="000A1D01">
      <w:pPr>
        <w:rPr>
          <w:rFonts w:cs="Arial"/>
          <w:color w:val="000000" w:themeColor="text1"/>
        </w:rPr>
      </w:pPr>
    </w:p>
    <w:p w14:paraId="46BD905B" w14:textId="77777777" w:rsidR="000A1D01" w:rsidRPr="000A1D01" w:rsidRDefault="000A1D01" w:rsidP="003F4D72">
      <w:pPr>
        <w:pStyle w:val="Heading3"/>
      </w:pPr>
      <w:bookmarkStart w:id="252" w:name="_Toc213058684"/>
      <w:r w:rsidRPr="000A1D01">
        <w:t>Revenue Recognition</w:t>
      </w:r>
      <w:bookmarkEnd w:id="252"/>
    </w:p>
    <w:p w14:paraId="7157D5A9" w14:textId="77777777" w:rsidR="000A1D01" w:rsidRPr="000A1D01" w:rsidRDefault="000A1D01" w:rsidP="000A1D01">
      <w:pPr>
        <w:rPr>
          <w:rFonts w:cs="Arial"/>
          <w:color w:val="000000" w:themeColor="text1"/>
        </w:rPr>
      </w:pPr>
      <w:r w:rsidRPr="000A1D01">
        <w:rPr>
          <w:rFonts w:cs="Arial"/>
          <w:color w:val="000000" w:themeColor="text1"/>
        </w:rPr>
        <w:t xml:space="preserve">Revenue represents gross revenue earned from public transport services operated in accordance with the Public Service Agreement, including amounts receivable from concessionary fares schemes, for Public Service Obligation compensation and route subsidy, as well as rental income from investment properties and operational properties.  Where appropriate, amounts are shown net of rebates and VAT.  Revenue is measured at the fair value of the consideration received or receivable.  </w:t>
      </w:r>
    </w:p>
    <w:p w14:paraId="51ACB618" w14:textId="77777777" w:rsidR="000A1D01" w:rsidRPr="000A1D01" w:rsidRDefault="000A1D01" w:rsidP="000A1D01">
      <w:pPr>
        <w:rPr>
          <w:rFonts w:cs="Arial"/>
          <w:color w:val="000000" w:themeColor="text1"/>
        </w:rPr>
      </w:pPr>
      <w:r w:rsidRPr="000A1D01">
        <w:rPr>
          <w:rFonts w:cs="Arial"/>
          <w:color w:val="000000" w:themeColor="text1"/>
        </w:rPr>
        <w:tab/>
      </w:r>
    </w:p>
    <w:p w14:paraId="69D2A0BD" w14:textId="77777777" w:rsidR="000A1D01" w:rsidRPr="000A1D01" w:rsidRDefault="000A1D01" w:rsidP="000A1D01">
      <w:pPr>
        <w:rPr>
          <w:rFonts w:cs="Arial"/>
          <w:color w:val="000000" w:themeColor="text1"/>
        </w:rPr>
      </w:pPr>
      <w:r w:rsidRPr="000A1D01">
        <w:rPr>
          <w:rFonts w:cs="Arial"/>
          <w:color w:val="000000" w:themeColor="text1"/>
        </w:rPr>
        <w:lastRenderedPageBreak/>
        <w:t>Revenue is recognised by reference to the stage of completion of the customer’s travel.  Cash received for the sale of season tickets, travelcards and multi-journey smartcards is deferred within liabilities and recognised in the income statement over the period of the relevant ticket.</w:t>
      </w:r>
    </w:p>
    <w:p w14:paraId="506D73B0" w14:textId="77777777" w:rsidR="000A1D01" w:rsidRPr="000A1D01" w:rsidRDefault="000A1D01" w:rsidP="000A1D01">
      <w:pPr>
        <w:rPr>
          <w:rFonts w:cs="Arial"/>
          <w:color w:val="000000" w:themeColor="text1"/>
        </w:rPr>
      </w:pPr>
      <w:r w:rsidRPr="000A1D01">
        <w:rPr>
          <w:rFonts w:cs="Arial"/>
          <w:color w:val="000000" w:themeColor="text1"/>
        </w:rPr>
        <w:tab/>
      </w:r>
    </w:p>
    <w:p w14:paraId="11FBF88A" w14:textId="77777777" w:rsidR="000A1D01" w:rsidRPr="000A1D01" w:rsidRDefault="000A1D01" w:rsidP="000A1D01">
      <w:pPr>
        <w:rPr>
          <w:rFonts w:cs="Arial"/>
          <w:color w:val="000000" w:themeColor="text1"/>
        </w:rPr>
      </w:pPr>
      <w:r w:rsidRPr="000A1D01">
        <w:rPr>
          <w:rFonts w:cs="Arial"/>
          <w:color w:val="000000" w:themeColor="text1"/>
        </w:rPr>
        <w:t xml:space="preserve">Income from advertising and other activities is recognised </w:t>
      </w:r>
      <w:r w:rsidRPr="000A1D01">
        <w:rPr>
          <w:rFonts w:cs="Arial"/>
          <w:color w:val="000000" w:themeColor="text1"/>
        </w:rPr>
        <w:br/>
        <w:t>as income is earned.</w:t>
      </w:r>
    </w:p>
    <w:p w14:paraId="0A7A7232" w14:textId="77777777" w:rsidR="000A1D01" w:rsidRPr="000A1D01" w:rsidRDefault="000A1D01" w:rsidP="000A1D01">
      <w:pPr>
        <w:rPr>
          <w:rFonts w:cs="Arial"/>
          <w:color w:val="000000" w:themeColor="text1"/>
        </w:rPr>
      </w:pPr>
    </w:p>
    <w:p w14:paraId="167B9426" w14:textId="77777777" w:rsidR="000A1D01" w:rsidRPr="000A1D01" w:rsidRDefault="000A1D01" w:rsidP="000A1D01">
      <w:pPr>
        <w:rPr>
          <w:rFonts w:cs="Arial"/>
          <w:color w:val="000000" w:themeColor="text1"/>
        </w:rPr>
      </w:pPr>
      <w:r w:rsidRPr="000A1D01">
        <w:rPr>
          <w:rFonts w:cs="Arial"/>
          <w:color w:val="000000" w:themeColor="text1"/>
        </w:rPr>
        <w:t>Finance income is recognised using the effective interest method as interest accrues.</w:t>
      </w:r>
    </w:p>
    <w:p w14:paraId="1DEF412F" w14:textId="77777777" w:rsidR="000A1D01" w:rsidRPr="000A1D01" w:rsidRDefault="000A1D01" w:rsidP="000A1D01">
      <w:pPr>
        <w:rPr>
          <w:rFonts w:cs="Arial"/>
          <w:color w:val="000000" w:themeColor="text1"/>
        </w:rPr>
      </w:pPr>
    </w:p>
    <w:p w14:paraId="7EA47792" w14:textId="77777777" w:rsidR="000A1D01" w:rsidRPr="000A1D01" w:rsidRDefault="000A1D01" w:rsidP="003F4D72">
      <w:pPr>
        <w:pStyle w:val="Heading3"/>
      </w:pPr>
      <w:bookmarkStart w:id="253" w:name="_Toc213058685"/>
      <w:r w:rsidRPr="000A1D01">
        <w:t>Property, Plant and Equipment</w:t>
      </w:r>
      <w:bookmarkEnd w:id="253"/>
    </w:p>
    <w:p w14:paraId="068C1188" w14:textId="77777777" w:rsidR="000A1D01" w:rsidRPr="000A1D01" w:rsidRDefault="000A1D01" w:rsidP="000A1D01">
      <w:pPr>
        <w:rPr>
          <w:rFonts w:cs="Arial"/>
          <w:color w:val="000000" w:themeColor="text1"/>
        </w:rPr>
      </w:pPr>
      <w:r w:rsidRPr="000A1D01">
        <w:rPr>
          <w:rFonts w:cs="Arial"/>
          <w:color w:val="000000" w:themeColor="text1"/>
        </w:rPr>
        <w:t>Property, plant and equipment held for use in the supply of goods or services to customers or for administration purposes are stated at cost less accumulated depreciation and accumulated impairment losses.</w:t>
      </w:r>
    </w:p>
    <w:p w14:paraId="46893AB0" w14:textId="77777777" w:rsidR="000A1D01" w:rsidRPr="000A1D01" w:rsidRDefault="000A1D01" w:rsidP="000A1D01">
      <w:pPr>
        <w:rPr>
          <w:rFonts w:cs="Arial"/>
          <w:color w:val="000000" w:themeColor="text1"/>
        </w:rPr>
      </w:pPr>
    </w:p>
    <w:p w14:paraId="199D5931" w14:textId="77777777" w:rsidR="000A1D01" w:rsidRPr="000A1D01" w:rsidRDefault="000A1D01" w:rsidP="000A1D01">
      <w:pPr>
        <w:rPr>
          <w:rFonts w:cs="Arial"/>
          <w:color w:val="000000" w:themeColor="text1"/>
        </w:rPr>
      </w:pPr>
      <w:r w:rsidRPr="000A1D01">
        <w:rPr>
          <w:rFonts w:cs="Arial"/>
          <w:color w:val="000000" w:themeColor="text1"/>
        </w:rPr>
        <w:t>Depreciation is charged to the profit and loss account on a straight-line basis, over the useful lives of each tangible fixed asset.  The estimated useful lives are as follows:</w:t>
      </w:r>
    </w:p>
    <w:p w14:paraId="44736BD1" w14:textId="77777777" w:rsidR="000A1D01" w:rsidRPr="000A1D01" w:rsidRDefault="000A1D01" w:rsidP="000A1D01">
      <w:pPr>
        <w:rPr>
          <w:rFonts w:cs="Arial"/>
          <w:color w:val="000000" w:themeColor="text1"/>
        </w:rPr>
      </w:pPr>
    </w:p>
    <w:p w14:paraId="1AFC018D" w14:textId="27E91610" w:rsidR="000A1D01" w:rsidRPr="000A1D01" w:rsidRDefault="000A1D01" w:rsidP="000A1D01">
      <w:pPr>
        <w:rPr>
          <w:rFonts w:cs="Arial"/>
          <w:color w:val="000000" w:themeColor="text1"/>
        </w:rPr>
      </w:pPr>
      <w:r w:rsidRPr="000A1D01">
        <w:rPr>
          <w:rFonts w:cs="Arial"/>
          <w:color w:val="000000" w:themeColor="text1"/>
        </w:rPr>
        <w:t>Land</w:t>
      </w:r>
      <w:r>
        <w:rPr>
          <w:rFonts w:cs="Arial"/>
          <w:color w:val="000000" w:themeColor="text1"/>
        </w:rPr>
        <w:t xml:space="preserve">: </w:t>
      </w:r>
      <w:r w:rsidRPr="000A1D01">
        <w:rPr>
          <w:rFonts w:cs="Arial"/>
          <w:color w:val="000000" w:themeColor="text1"/>
        </w:rPr>
        <w:t>not depreciated</w:t>
      </w:r>
    </w:p>
    <w:p w14:paraId="50D442C8" w14:textId="06363945" w:rsidR="000A1D01" w:rsidRPr="000A1D01" w:rsidRDefault="000A1D01" w:rsidP="000A1D01">
      <w:pPr>
        <w:rPr>
          <w:rFonts w:cs="Arial"/>
          <w:color w:val="000000" w:themeColor="text1"/>
        </w:rPr>
      </w:pPr>
      <w:r w:rsidRPr="000A1D01">
        <w:rPr>
          <w:rFonts w:cs="Arial"/>
          <w:color w:val="000000" w:themeColor="text1"/>
        </w:rPr>
        <w:t>Building</w:t>
      </w:r>
      <w:r>
        <w:rPr>
          <w:rFonts w:cs="Arial"/>
          <w:color w:val="000000" w:themeColor="text1"/>
        </w:rPr>
        <w:t xml:space="preserve">: </w:t>
      </w:r>
      <w:r w:rsidRPr="000A1D01">
        <w:rPr>
          <w:rFonts w:cs="Arial"/>
          <w:color w:val="000000" w:themeColor="text1"/>
        </w:rPr>
        <w:t>6 - 50 years</w:t>
      </w:r>
    </w:p>
    <w:p w14:paraId="1BB4E0FB" w14:textId="77777777" w:rsidR="000A1D01" w:rsidRDefault="000A1D01" w:rsidP="000A1D01">
      <w:pPr>
        <w:rPr>
          <w:rFonts w:cs="Arial"/>
          <w:color w:val="000000" w:themeColor="text1"/>
        </w:rPr>
      </w:pPr>
      <w:r w:rsidRPr="000A1D01">
        <w:rPr>
          <w:rFonts w:cs="Arial"/>
          <w:color w:val="000000" w:themeColor="text1"/>
        </w:rPr>
        <w:t>Permanent way, signalling and bridges</w:t>
      </w:r>
      <w:r>
        <w:rPr>
          <w:rFonts w:cs="Arial"/>
          <w:color w:val="000000" w:themeColor="text1"/>
        </w:rPr>
        <w:t xml:space="preserve">: </w:t>
      </w:r>
      <w:r w:rsidRPr="000A1D01">
        <w:rPr>
          <w:rFonts w:cs="Arial"/>
          <w:color w:val="000000" w:themeColor="text1"/>
        </w:rPr>
        <w:t>20 - 50 years</w:t>
      </w:r>
      <w:r w:rsidRPr="000A1D01">
        <w:rPr>
          <w:rFonts w:cs="Arial"/>
          <w:color w:val="000000" w:themeColor="text1"/>
        </w:rPr>
        <w:tab/>
      </w:r>
    </w:p>
    <w:p w14:paraId="7A12D436" w14:textId="134EC733" w:rsidR="000A1D01" w:rsidRPr="000A1D01" w:rsidRDefault="000A1D01" w:rsidP="000A1D01">
      <w:pPr>
        <w:rPr>
          <w:rFonts w:cs="Arial"/>
          <w:color w:val="000000" w:themeColor="text1"/>
        </w:rPr>
      </w:pPr>
      <w:r w:rsidRPr="000A1D01">
        <w:rPr>
          <w:rFonts w:cs="Arial"/>
          <w:color w:val="000000" w:themeColor="text1"/>
        </w:rPr>
        <w:t>Vehicles, plant and equipment</w:t>
      </w:r>
      <w:r>
        <w:rPr>
          <w:rFonts w:cs="Arial"/>
          <w:color w:val="000000" w:themeColor="text1"/>
        </w:rPr>
        <w:t xml:space="preserve">: </w:t>
      </w:r>
      <w:r w:rsidRPr="000A1D01">
        <w:rPr>
          <w:rFonts w:cs="Arial"/>
          <w:color w:val="000000" w:themeColor="text1"/>
        </w:rPr>
        <w:t xml:space="preserve"> 2 - 20 years</w:t>
      </w:r>
    </w:p>
    <w:p w14:paraId="3F64087D" w14:textId="77777777" w:rsidR="000A1D01" w:rsidRPr="000A1D01" w:rsidRDefault="000A1D01" w:rsidP="000A1D01">
      <w:pPr>
        <w:rPr>
          <w:rFonts w:cs="Arial"/>
          <w:color w:val="000000" w:themeColor="text1"/>
        </w:rPr>
      </w:pPr>
    </w:p>
    <w:p w14:paraId="7BA67A66" w14:textId="77777777" w:rsidR="000A1D01" w:rsidRPr="000A1D01" w:rsidRDefault="000A1D01" w:rsidP="000A1D01">
      <w:pPr>
        <w:rPr>
          <w:rFonts w:cs="Arial"/>
          <w:color w:val="000000" w:themeColor="text1"/>
        </w:rPr>
      </w:pPr>
      <w:r w:rsidRPr="000A1D01">
        <w:rPr>
          <w:rFonts w:cs="Arial"/>
          <w:color w:val="000000" w:themeColor="text1"/>
        </w:rPr>
        <w:t xml:space="preserve">The carrying values of property, plant and equipment are reviewed for impairment at each balance sheet date, if events or changes in circumstances indicate the carrying value may not be recoverable. An impairment loss is recognised in profit or loss for the amounts by which the carrying value of the asset exceeds its recoverable amount, which is the higher of fair value less costs to sell and value in use. </w:t>
      </w:r>
    </w:p>
    <w:p w14:paraId="3CB296D6" w14:textId="77777777" w:rsidR="000A1D01" w:rsidRPr="000A1D01" w:rsidRDefault="000A1D01" w:rsidP="000A1D01">
      <w:pPr>
        <w:rPr>
          <w:rFonts w:cs="Arial"/>
          <w:color w:val="000000" w:themeColor="text1"/>
        </w:rPr>
      </w:pPr>
    </w:p>
    <w:p w14:paraId="2A516C48" w14:textId="77777777" w:rsidR="000A1D01" w:rsidRPr="000A1D01" w:rsidRDefault="000A1D01" w:rsidP="000A1D01">
      <w:pPr>
        <w:rPr>
          <w:rFonts w:cs="Arial"/>
          <w:color w:val="000000" w:themeColor="text1"/>
        </w:rPr>
      </w:pPr>
      <w:r w:rsidRPr="000A1D01">
        <w:rPr>
          <w:rFonts w:cs="Arial"/>
          <w:color w:val="000000" w:themeColor="text1"/>
        </w:rPr>
        <w:t>Where an impairment loss subsequently reverses, the carrying amount of the assets is increased to the revised estimate of its recoverable amount, but so that the increased carrying amount does not exceed the carrying amount that would have been determined had no impairment loss been recognised in prior years. A reversal of an impairment loss is recognised immediately in the income statement unless the relevant asset is carried at a revalued amount, in which case the reversal is treated as a revaluation increase.</w:t>
      </w:r>
    </w:p>
    <w:p w14:paraId="10B3C626" w14:textId="77777777" w:rsidR="000A1D01" w:rsidRPr="000A1D01" w:rsidRDefault="000A1D01" w:rsidP="000A1D01">
      <w:pPr>
        <w:rPr>
          <w:rFonts w:cs="Arial"/>
          <w:color w:val="000000" w:themeColor="text1"/>
        </w:rPr>
      </w:pPr>
    </w:p>
    <w:p w14:paraId="5BC557ED" w14:textId="77777777" w:rsidR="000A1D01" w:rsidRPr="000A1D01" w:rsidRDefault="000A1D01" w:rsidP="000A1D01">
      <w:pPr>
        <w:rPr>
          <w:rFonts w:cs="Arial"/>
          <w:color w:val="000000" w:themeColor="text1"/>
        </w:rPr>
      </w:pPr>
      <w:r w:rsidRPr="000A1D01">
        <w:rPr>
          <w:rFonts w:cs="Arial"/>
          <w:color w:val="000000" w:themeColor="text1"/>
        </w:rPr>
        <w:lastRenderedPageBreak/>
        <w:t xml:space="preserve">Depreciation commences when assets are ready for their intended use. Assets Under Construction are not depreciated until they are brought into use. Depreciation methods, useful lives and residual values are reviewed at each balance sheet date. Subsequent expenditure is capitalised only if it is probable that the future economic benefits associated with the expenditure will flow to the Group. </w:t>
      </w:r>
    </w:p>
    <w:p w14:paraId="3CCAFACF" w14:textId="77777777" w:rsidR="000A1D01" w:rsidRPr="000A1D01" w:rsidRDefault="000A1D01" w:rsidP="000A1D01">
      <w:pPr>
        <w:rPr>
          <w:rFonts w:cs="Arial"/>
          <w:color w:val="000000" w:themeColor="text1"/>
        </w:rPr>
      </w:pPr>
    </w:p>
    <w:p w14:paraId="5204BDA0" w14:textId="77777777" w:rsidR="000A1D01" w:rsidRPr="000A1D01" w:rsidRDefault="000A1D01" w:rsidP="000A1D01">
      <w:pPr>
        <w:rPr>
          <w:rFonts w:cs="Arial"/>
          <w:color w:val="000000" w:themeColor="text1"/>
        </w:rPr>
      </w:pPr>
      <w:r w:rsidRPr="000A1D01">
        <w:rPr>
          <w:rFonts w:cs="Arial"/>
          <w:color w:val="000000" w:themeColor="text1"/>
        </w:rPr>
        <w:t>Prior to March 2000 the Group obtained valuations of certain properties (other than investment properties).  The valuations have not been updated since this date and due to the age of the properties and the fact that a substantial portion were inherited, it is not practicable to state the difference between such valuations and historic cost.  The March 2000 carrying values have therefore been adopted as deemed cost as the directors are of the view that the fair value of such assets cannot be reliably measured.</w:t>
      </w:r>
    </w:p>
    <w:p w14:paraId="1AEB8895" w14:textId="77777777" w:rsidR="000A1D01" w:rsidRPr="000A1D01" w:rsidRDefault="000A1D01" w:rsidP="000A1D01">
      <w:pPr>
        <w:rPr>
          <w:rFonts w:cs="Arial"/>
          <w:color w:val="000000" w:themeColor="text1"/>
        </w:rPr>
      </w:pPr>
    </w:p>
    <w:p w14:paraId="58E36D5B" w14:textId="77777777" w:rsidR="000A1D01" w:rsidRPr="000A1D01" w:rsidRDefault="000A1D01" w:rsidP="003F4D72">
      <w:pPr>
        <w:pStyle w:val="Heading3"/>
      </w:pPr>
      <w:bookmarkStart w:id="254" w:name="_Toc213058686"/>
      <w:r w:rsidRPr="000A1D01">
        <w:t>Investment in Subsidiaries</w:t>
      </w:r>
      <w:bookmarkEnd w:id="254"/>
      <w:r w:rsidRPr="000A1D01">
        <w:t xml:space="preserve"> </w:t>
      </w:r>
    </w:p>
    <w:p w14:paraId="27E722DD" w14:textId="77777777" w:rsidR="000A1D01" w:rsidRPr="000A1D01" w:rsidRDefault="000A1D01" w:rsidP="000A1D01">
      <w:pPr>
        <w:rPr>
          <w:rFonts w:cs="Arial"/>
          <w:color w:val="000000" w:themeColor="text1"/>
        </w:rPr>
      </w:pPr>
      <w:r w:rsidRPr="000A1D01">
        <w:rPr>
          <w:rFonts w:cs="Arial"/>
          <w:color w:val="000000" w:themeColor="text1"/>
        </w:rPr>
        <w:t>In the parent company financial statements, investments in subsidiaries are shown at cost less provision for impairment.</w:t>
      </w:r>
    </w:p>
    <w:p w14:paraId="693133DA" w14:textId="77777777" w:rsidR="000A1D01" w:rsidRPr="000A1D01" w:rsidRDefault="000A1D01" w:rsidP="000A1D01">
      <w:pPr>
        <w:rPr>
          <w:rFonts w:cs="Arial"/>
          <w:color w:val="000000" w:themeColor="text1"/>
        </w:rPr>
      </w:pPr>
    </w:p>
    <w:p w14:paraId="1F9F1B8C" w14:textId="77777777" w:rsidR="000A1D01" w:rsidRPr="000A1D01" w:rsidRDefault="000A1D01" w:rsidP="003F4D72">
      <w:pPr>
        <w:pStyle w:val="Heading3"/>
      </w:pPr>
      <w:bookmarkStart w:id="255" w:name="_Toc213058687"/>
      <w:r w:rsidRPr="000A1D01">
        <w:t>Investment Property</w:t>
      </w:r>
      <w:bookmarkEnd w:id="255"/>
    </w:p>
    <w:p w14:paraId="35F08C2C" w14:textId="77777777" w:rsidR="000A1D01" w:rsidRPr="000A1D01" w:rsidRDefault="000A1D01" w:rsidP="000A1D01">
      <w:pPr>
        <w:rPr>
          <w:rFonts w:cs="Arial"/>
          <w:color w:val="000000" w:themeColor="text1"/>
        </w:rPr>
      </w:pPr>
      <w:r w:rsidRPr="000A1D01">
        <w:rPr>
          <w:rFonts w:cs="Arial"/>
          <w:color w:val="000000" w:themeColor="text1"/>
        </w:rPr>
        <w:t xml:space="preserve">Investment properties are properties held to earn rentals and/or for capital appreciation (including property under construction for such purposes). Investment properties are measured initially at cost, including transaction costs.  </w:t>
      </w:r>
      <w:proofErr w:type="gramStart"/>
      <w:r w:rsidRPr="000A1D01">
        <w:rPr>
          <w:rFonts w:cs="Arial"/>
          <w:color w:val="000000" w:themeColor="text1"/>
        </w:rPr>
        <w:t>Subsequent to</w:t>
      </w:r>
      <w:proofErr w:type="gramEnd"/>
      <w:r w:rsidRPr="000A1D01">
        <w:rPr>
          <w:rFonts w:cs="Arial"/>
          <w:color w:val="000000" w:themeColor="text1"/>
        </w:rPr>
        <w:t xml:space="preserve"> initial recognition, investment properties are measured at fair value at the balance sheet date.  Gains and losses arising from changes in the fair value of investment properties are included through revenues in profit or loss in </w:t>
      </w:r>
      <w:r w:rsidRPr="000A1D01">
        <w:rPr>
          <w:rFonts w:cs="Arial"/>
          <w:color w:val="000000" w:themeColor="text1"/>
        </w:rPr>
        <w:br/>
        <w:t xml:space="preserve">the period in which they arise. </w:t>
      </w:r>
    </w:p>
    <w:p w14:paraId="683E444E" w14:textId="77777777" w:rsidR="000A1D01" w:rsidRPr="000A1D01" w:rsidRDefault="000A1D01" w:rsidP="000A1D01">
      <w:pPr>
        <w:rPr>
          <w:rFonts w:cs="Arial"/>
          <w:color w:val="000000" w:themeColor="text1"/>
        </w:rPr>
      </w:pPr>
    </w:p>
    <w:p w14:paraId="37CF59C0" w14:textId="42E41C6A" w:rsidR="000A1D01" w:rsidRPr="000A1D01" w:rsidRDefault="000A1D01" w:rsidP="000A1D01">
      <w:pPr>
        <w:rPr>
          <w:rFonts w:cs="Arial"/>
          <w:color w:val="000000" w:themeColor="text1"/>
        </w:rPr>
      </w:pPr>
      <w:r w:rsidRPr="000A1D01">
        <w:rPr>
          <w:rFonts w:cs="Arial"/>
          <w:color w:val="000000" w:themeColor="text1"/>
        </w:rPr>
        <w:t>An investment property is derecognised upon disposal or when the investment property is permanently withdrawn from use and no future economic benefits are expected from it. Any gain or loss arising on derecognition of the property (calculated as the difference between the net disposal proceeds and the carrying amount of the asset) is included in profit or loss in the period in which the property is derecognised.</w:t>
      </w:r>
    </w:p>
    <w:p w14:paraId="47BEB921" w14:textId="77777777" w:rsidR="00570A08" w:rsidRPr="00570A08" w:rsidRDefault="00570A08" w:rsidP="00570A08">
      <w:pPr>
        <w:spacing w:line="276" w:lineRule="auto"/>
        <w:rPr>
          <w:b/>
          <w:bCs/>
          <w:sz w:val="44"/>
          <w:szCs w:val="44"/>
        </w:rPr>
      </w:pPr>
    </w:p>
    <w:p w14:paraId="5B6734A5" w14:textId="77777777" w:rsidR="00F06DE8" w:rsidRPr="00A92B87" w:rsidRDefault="00F06DE8" w:rsidP="00A92B87">
      <w:pPr>
        <w:tabs>
          <w:tab w:val="left" w:pos="198"/>
        </w:tabs>
        <w:suppressAutoHyphens/>
        <w:autoSpaceDE w:val="0"/>
        <w:autoSpaceDN w:val="0"/>
        <w:adjustRightInd w:val="0"/>
        <w:spacing w:line="240" w:lineRule="atLeast"/>
        <w:textAlignment w:val="center"/>
        <w:rPr>
          <w:rFonts w:cs="Arial"/>
          <w:color w:val="000000" w:themeColor="text1"/>
        </w:rPr>
      </w:pPr>
    </w:p>
    <w:p w14:paraId="232278ED" w14:textId="77777777" w:rsidR="00A92B87" w:rsidRPr="00A92B87" w:rsidRDefault="00A92B87" w:rsidP="00A92B87">
      <w:pPr>
        <w:tabs>
          <w:tab w:val="left" w:pos="198"/>
        </w:tabs>
        <w:suppressAutoHyphens/>
        <w:autoSpaceDE w:val="0"/>
        <w:autoSpaceDN w:val="0"/>
        <w:adjustRightInd w:val="0"/>
        <w:spacing w:line="620" w:lineRule="atLeast"/>
        <w:textAlignment w:val="center"/>
        <w:rPr>
          <w:rFonts w:cs="Arial"/>
          <w:b/>
          <w:bCs/>
          <w:color w:val="000000" w:themeColor="text1"/>
          <w:sz w:val="44"/>
          <w:szCs w:val="44"/>
          <w14:textOutline w14:w="9525" w14:cap="flat" w14:cmpd="sng" w14:algn="ctr">
            <w14:noFill/>
            <w14:prstDash w14:val="solid"/>
            <w14:round/>
          </w14:textOutline>
        </w:rPr>
      </w:pPr>
    </w:p>
    <w:p w14:paraId="026AFB27" w14:textId="77777777" w:rsidR="003A6F5C" w:rsidRPr="003A6F5C" w:rsidRDefault="003A6F5C" w:rsidP="003A6F5C">
      <w:pPr>
        <w:rPr>
          <w:rFonts w:cs="Arial"/>
          <w:color w:val="000000" w:themeColor="text1"/>
        </w:rPr>
      </w:pPr>
    </w:p>
    <w:p w14:paraId="7486D778" w14:textId="77777777" w:rsidR="003A6F5C" w:rsidRPr="003A6F5C" w:rsidRDefault="003A6F5C" w:rsidP="003A6F5C">
      <w:pPr>
        <w:spacing w:line="240" w:lineRule="auto"/>
        <w:rPr>
          <w:rFonts w:cs="Arial"/>
          <w:b/>
          <w:bCs/>
          <w:color w:val="000000" w:themeColor="text1"/>
          <w:sz w:val="18"/>
          <w:szCs w:val="18"/>
        </w:rPr>
      </w:pPr>
    </w:p>
    <w:p w14:paraId="05C6F628" w14:textId="77777777" w:rsidR="009653EC" w:rsidRPr="009653EC" w:rsidRDefault="009653EC" w:rsidP="009653EC">
      <w:pPr>
        <w:rPr>
          <w:color w:val="000000"/>
        </w:rPr>
      </w:pPr>
    </w:p>
    <w:p w14:paraId="300860BB" w14:textId="77777777" w:rsidR="009653EC" w:rsidRPr="006675EF" w:rsidRDefault="009653EC" w:rsidP="009653EC">
      <w:pPr>
        <w:rPr>
          <w:rFonts w:cs="Arial"/>
          <w:color w:val="000000" w:themeColor="text1"/>
        </w:rPr>
      </w:pPr>
    </w:p>
    <w:p w14:paraId="42EA758E" w14:textId="77777777" w:rsidR="006675EF" w:rsidRPr="006675EF" w:rsidRDefault="006675EF" w:rsidP="006675EF">
      <w:pPr>
        <w:rPr>
          <w:rFonts w:cs="Arial"/>
          <w:color w:val="000000" w:themeColor="text1"/>
        </w:rPr>
      </w:pPr>
    </w:p>
    <w:p w14:paraId="2A55796C" w14:textId="77777777" w:rsidR="000A1D01" w:rsidRPr="00432B48" w:rsidRDefault="000A1D01" w:rsidP="003F4D72">
      <w:pPr>
        <w:pStyle w:val="Heading3"/>
      </w:pPr>
      <w:bookmarkStart w:id="256" w:name="_Toc213058688"/>
      <w:r w:rsidRPr="00432B48">
        <w:t>Government Grants</w:t>
      </w:r>
      <w:bookmarkEnd w:id="256"/>
    </w:p>
    <w:p w14:paraId="2C20009F" w14:textId="1CB89A68" w:rsidR="000A1D01" w:rsidRPr="00432B48" w:rsidRDefault="000A1D01" w:rsidP="00432B48">
      <w:pPr>
        <w:rPr>
          <w:rFonts w:cs="Arial"/>
          <w:color w:val="000000" w:themeColor="text1"/>
        </w:rPr>
      </w:pPr>
      <w:r w:rsidRPr="00432B48">
        <w:rPr>
          <w:rFonts w:cs="Arial"/>
          <w:color w:val="000000" w:themeColor="text1"/>
        </w:rPr>
        <w:t xml:space="preserve">Government grants are not recognised until there is reasonable assurance that the Group will comply with the conditions attaching to them and that the grants will </w:t>
      </w:r>
      <w:r w:rsidRPr="00432B48">
        <w:rPr>
          <w:rFonts w:cs="Arial"/>
          <w:color w:val="000000" w:themeColor="text1"/>
        </w:rPr>
        <w:br/>
        <w:t xml:space="preserve">be received. </w:t>
      </w:r>
    </w:p>
    <w:p w14:paraId="62C4AC2D" w14:textId="77777777" w:rsidR="000A1D01" w:rsidRPr="00432B48" w:rsidRDefault="000A1D01" w:rsidP="00432B48">
      <w:pPr>
        <w:rPr>
          <w:rFonts w:cs="Arial"/>
          <w:color w:val="000000"/>
        </w:rPr>
      </w:pPr>
    </w:p>
    <w:p w14:paraId="2E0E2113" w14:textId="77777777" w:rsidR="000A1D01" w:rsidRPr="00432B48" w:rsidRDefault="000A1D01" w:rsidP="00432B48">
      <w:pPr>
        <w:rPr>
          <w:rFonts w:cs="Arial"/>
          <w:color w:val="000000"/>
        </w:rPr>
      </w:pPr>
      <w:r w:rsidRPr="00432B48">
        <w:rPr>
          <w:rFonts w:cs="Arial"/>
          <w:color w:val="000000"/>
        </w:rPr>
        <w:t>Government grants are recognised in the consolidated income statement on a systematic basis over the periods in which the Group recognises as expenses the related costs for which the grants are intended to compensate. Specifically, government grants whose primary condition is that the Group should purchase, construct or otherwise acquire non-current assets are recognised as deferred revenue in the consolidated balance sheet and transferred to income on a systematic and rational basis over the useful lives of the related assets.</w:t>
      </w:r>
    </w:p>
    <w:p w14:paraId="6F17B0DD" w14:textId="77777777" w:rsidR="000A1D01" w:rsidRPr="00432B48" w:rsidRDefault="000A1D01" w:rsidP="00432B48">
      <w:pPr>
        <w:rPr>
          <w:rFonts w:cs="Arial"/>
          <w:color w:val="000000"/>
        </w:rPr>
      </w:pPr>
    </w:p>
    <w:p w14:paraId="7AE8FBC1" w14:textId="688D6E54" w:rsidR="000A1D01" w:rsidRPr="00432B48" w:rsidRDefault="000A1D01" w:rsidP="00432B48">
      <w:pPr>
        <w:rPr>
          <w:rFonts w:cs="Arial"/>
          <w:color w:val="000000"/>
        </w:rPr>
      </w:pPr>
      <w:r w:rsidRPr="00432B48">
        <w:rPr>
          <w:rFonts w:cs="Arial"/>
          <w:color w:val="000000"/>
        </w:rPr>
        <w:t>Government grants that are receivable as compensation</w:t>
      </w:r>
      <w:r w:rsidR="00432B48">
        <w:rPr>
          <w:rFonts w:cs="Arial"/>
          <w:color w:val="000000"/>
        </w:rPr>
        <w:t xml:space="preserve"> </w:t>
      </w:r>
      <w:r w:rsidRPr="00432B48">
        <w:rPr>
          <w:rFonts w:cs="Arial"/>
          <w:color w:val="000000"/>
        </w:rPr>
        <w:t>for expenses or losses already incurred or for the purpose of giving immediate financial support to the Group with no future related costs are recognised as income against the expense line in which the related cost was incurred in the consolidated income statement in the period in which they</w:t>
      </w:r>
      <w:r w:rsidRPr="00432B48">
        <w:rPr>
          <w:rFonts w:cs="Arial"/>
          <w:color w:val="000000"/>
        </w:rPr>
        <w:br/>
        <w:t xml:space="preserve">become receivable. </w:t>
      </w:r>
    </w:p>
    <w:p w14:paraId="570F037D" w14:textId="77777777" w:rsidR="000A1D01" w:rsidRPr="00432B48" w:rsidRDefault="000A1D01" w:rsidP="00432B48">
      <w:pPr>
        <w:rPr>
          <w:rFonts w:cs="Arial"/>
          <w:color w:val="000000"/>
        </w:rPr>
      </w:pPr>
    </w:p>
    <w:p w14:paraId="7605AD4C" w14:textId="77777777" w:rsidR="000A1D01" w:rsidRPr="00F6394F" w:rsidRDefault="000A1D01" w:rsidP="003F4D72">
      <w:pPr>
        <w:pStyle w:val="Heading3"/>
      </w:pPr>
      <w:bookmarkStart w:id="257" w:name="_Toc213058689"/>
      <w:r w:rsidRPr="00F6394F">
        <w:t>Inventories</w:t>
      </w:r>
      <w:bookmarkEnd w:id="257"/>
    </w:p>
    <w:p w14:paraId="52D6231C" w14:textId="393D9115" w:rsidR="000A1D01" w:rsidRPr="00432B48" w:rsidRDefault="000A1D01" w:rsidP="00432B48">
      <w:pPr>
        <w:rPr>
          <w:rFonts w:cs="Arial"/>
          <w:color w:val="000000"/>
        </w:rPr>
      </w:pPr>
      <w:r w:rsidRPr="00432B48">
        <w:rPr>
          <w:rFonts w:cs="Arial"/>
          <w:color w:val="000000"/>
        </w:rPr>
        <w:t>Inventories represent consumable stores and are valued at the lower of weighted average cost and estimated net realisable value.</w:t>
      </w:r>
    </w:p>
    <w:p w14:paraId="7C0DD597" w14:textId="77777777" w:rsidR="000A1D01" w:rsidRPr="00432B48" w:rsidRDefault="000A1D01" w:rsidP="00432B48">
      <w:pPr>
        <w:rPr>
          <w:rFonts w:cs="Arial"/>
          <w:color w:val="000000"/>
        </w:rPr>
      </w:pPr>
    </w:p>
    <w:p w14:paraId="39C7FBB1" w14:textId="77777777" w:rsidR="000A1D01" w:rsidRPr="00F6394F" w:rsidRDefault="000A1D01" w:rsidP="003F4D72">
      <w:pPr>
        <w:pStyle w:val="Heading3"/>
      </w:pPr>
      <w:bookmarkStart w:id="258" w:name="_Toc213058690"/>
      <w:r w:rsidRPr="00F6394F">
        <w:t>Employee Benefit Costs</w:t>
      </w:r>
      <w:bookmarkEnd w:id="258"/>
    </w:p>
    <w:p w14:paraId="480F761D" w14:textId="09F3AE32" w:rsidR="000A1D01" w:rsidRPr="00F6394F" w:rsidRDefault="000A1D01" w:rsidP="00432B48">
      <w:pPr>
        <w:rPr>
          <w:rFonts w:cs="Arial"/>
          <w:color w:val="000000" w:themeColor="text1"/>
        </w:rPr>
      </w:pPr>
      <w:proofErr w:type="gramStart"/>
      <w:r w:rsidRPr="00F6394F">
        <w:rPr>
          <w:rFonts w:cs="Arial"/>
          <w:color w:val="000000" w:themeColor="text1"/>
        </w:rPr>
        <w:t>The majority of</w:t>
      </w:r>
      <w:proofErr w:type="gramEnd"/>
      <w:r w:rsidRPr="00F6394F">
        <w:rPr>
          <w:rFonts w:cs="Arial"/>
          <w:color w:val="000000" w:themeColor="text1"/>
        </w:rPr>
        <w:t xml:space="preserve"> employees of the Group are members of the Northern Ireland Local Government Officers’ Superannuation Scheme which is a ‘multi-employer’ defined benefit pension scheme. </w:t>
      </w:r>
    </w:p>
    <w:p w14:paraId="143314F3" w14:textId="77777777" w:rsidR="000A1D01" w:rsidRPr="00432B48" w:rsidRDefault="000A1D01" w:rsidP="00432B48">
      <w:pPr>
        <w:rPr>
          <w:rFonts w:cs="Arial"/>
          <w:color w:val="000000"/>
        </w:rPr>
      </w:pPr>
      <w:r w:rsidRPr="00432B48">
        <w:rPr>
          <w:rFonts w:cs="Arial"/>
          <w:color w:val="000000"/>
        </w:rPr>
        <w:tab/>
      </w:r>
    </w:p>
    <w:p w14:paraId="06B75CA9" w14:textId="77777777" w:rsidR="000A1D01" w:rsidRPr="00432B48" w:rsidRDefault="000A1D01" w:rsidP="00432B48">
      <w:pPr>
        <w:rPr>
          <w:rFonts w:cs="Arial"/>
          <w:color w:val="000000"/>
        </w:rPr>
      </w:pPr>
      <w:r w:rsidRPr="00432B48">
        <w:rPr>
          <w:rFonts w:cs="Arial"/>
          <w:color w:val="000000"/>
        </w:rPr>
        <w:t xml:space="preserve">For defined benefit retirement plans, the cost of providing benefits is determined using the Straight-Line Method, with updates to formal actuarial valuations being carried out at the end of each reporting period. Remeasurement comprising actuarial gains and losses, and the return on scheme assets (excluding interest) are recognised immediately in the balance sheet with a charge or credit to the statement of comprehensive income in the period in which they occur.  </w:t>
      </w:r>
      <w:r w:rsidRPr="00432B48">
        <w:rPr>
          <w:rFonts w:cs="Arial"/>
          <w:color w:val="000000"/>
        </w:rPr>
        <w:lastRenderedPageBreak/>
        <w:t xml:space="preserve">Remeasurement recorded in the statement of comprehensive income is not recycled.  Past service cost is recognised in income in the period of scheme amendment.  Net interest is calculated by applying a discount rate to the net defined liability or asset.  </w:t>
      </w:r>
    </w:p>
    <w:p w14:paraId="436A8394" w14:textId="77777777" w:rsidR="000A1D01" w:rsidRPr="00432B48" w:rsidRDefault="000A1D01" w:rsidP="00432B48">
      <w:pPr>
        <w:rPr>
          <w:rFonts w:cs="Arial"/>
          <w:color w:val="000000"/>
        </w:rPr>
      </w:pPr>
    </w:p>
    <w:p w14:paraId="6846A9D7" w14:textId="77777777" w:rsidR="000A1D01" w:rsidRPr="00432B48" w:rsidRDefault="000A1D01" w:rsidP="00432B48">
      <w:pPr>
        <w:rPr>
          <w:rFonts w:cs="Arial"/>
          <w:color w:val="000000"/>
        </w:rPr>
      </w:pPr>
      <w:r w:rsidRPr="00432B48">
        <w:rPr>
          <w:rFonts w:cs="Arial"/>
          <w:color w:val="000000"/>
        </w:rPr>
        <w:t xml:space="preserve">Defined benefit costs are split into three categories:  </w:t>
      </w:r>
    </w:p>
    <w:p w14:paraId="79EE9E94" w14:textId="77777777" w:rsidR="000A1D01" w:rsidRPr="00432B48" w:rsidRDefault="000A1D01" w:rsidP="00432B48">
      <w:pPr>
        <w:rPr>
          <w:rFonts w:cs="Arial"/>
          <w:color w:val="000000"/>
        </w:rPr>
      </w:pPr>
    </w:p>
    <w:p w14:paraId="52468F2C" w14:textId="79708E9B" w:rsidR="000A1D01" w:rsidRPr="00F6394F" w:rsidRDefault="000A1D01" w:rsidP="00F6394F">
      <w:pPr>
        <w:pStyle w:val="ListParagraph"/>
        <w:numPr>
          <w:ilvl w:val="0"/>
          <w:numId w:val="80"/>
        </w:numPr>
        <w:rPr>
          <w:rFonts w:cs="Arial"/>
          <w:color w:val="000000"/>
        </w:rPr>
      </w:pPr>
      <w:r w:rsidRPr="00F6394F">
        <w:rPr>
          <w:rFonts w:cs="Arial"/>
          <w:color w:val="000000"/>
        </w:rPr>
        <w:t xml:space="preserve">current service cost, past service cost and losses on curtailments and </w:t>
      </w:r>
      <w:proofErr w:type="gramStart"/>
      <w:r w:rsidRPr="00F6394F">
        <w:rPr>
          <w:rFonts w:cs="Arial"/>
          <w:color w:val="000000"/>
        </w:rPr>
        <w:t>settlements;</w:t>
      </w:r>
      <w:proofErr w:type="gramEnd"/>
    </w:p>
    <w:p w14:paraId="77EF6B1D" w14:textId="395DA2E5" w:rsidR="000A1D01" w:rsidRPr="00F6394F" w:rsidRDefault="000A1D01" w:rsidP="00F6394F">
      <w:pPr>
        <w:pStyle w:val="ListParagraph"/>
        <w:numPr>
          <w:ilvl w:val="0"/>
          <w:numId w:val="80"/>
        </w:numPr>
        <w:rPr>
          <w:rFonts w:cs="Arial"/>
          <w:color w:val="000000"/>
        </w:rPr>
      </w:pPr>
      <w:r w:rsidRPr="00F6394F">
        <w:rPr>
          <w:rFonts w:cs="Arial"/>
          <w:color w:val="000000"/>
        </w:rPr>
        <w:t>net interest expense or income; and</w:t>
      </w:r>
    </w:p>
    <w:p w14:paraId="36ED3976" w14:textId="01247E73" w:rsidR="000A1D01" w:rsidRPr="00F6394F" w:rsidRDefault="000A1D01" w:rsidP="00F6394F">
      <w:pPr>
        <w:pStyle w:val="ListParagraph"/>
        <w:numPr>
          <w:ilvl w:val="0"/>
          <w:numId w:val="80"/>
        </w:numPr>
        <w:rPr>
          <w:rFonts w:cs="Arial"/>
          <w:color w:val="000000"/>
        </w:rPr>
      </w:pPr>
      <w:r w:rsidRPr="00F6394F">
        <w:rPr>
          <w:rFonts w:cs="Arial"/>
          <w:color w:val="000000"/>
        </w:rPr>
        <w:t>remeasurement.</w:t>
      </w:r>
    </w:p>
    <w:p w14:paraId="45C23C5C" w14:textId="77777777" w:rsidR="000A1D01" w:rsidRPr="00432B48" w:rsidRDefault="000A1D01" w:rsidP="00432B48">
      <w:pPr>
        <w:rPr>
          <w:rFonts w:cs="Arial"/>
          <w:color w:val="000000"/>
        </w:rPr>
      </w:pPr>
    </w:p>
    <w:p w14:paraId="54FD2EF4" w14:textId="77777777" w:rsidR="000A1D01" w:rsidRPr="00432B48" w:rsidRDefault="000A1D01" w:rsidP="00432B48">
      <w:pPr>
        <w:rPr>
          <w:rFonts w:cs="Arial"/>
          <w:color w:val="000000"/>
        </w:rPr>
      </w:pPr>
      <w:r w:rsidRPr="00432B48">
        <w:rPr>
          <w:rFonts w:cs="Arial"/>
          <w:color w:val="000000"/>
        </w:rPr>
        <w:t>The Group presents the first component of defined benefit costs within cost of sales and administrative expenses (see note 20) in its consolidated income statement. Curtailment gains and losses are accounted for as past service cost.</w:t>
      </w:r>
    </w:p>
    <w:p w14:paraId="0FFF347D" w14:textId="77777777" w:rsidR="000A1D01" w:rsidRPr="00432B48" w:rsidRDefault="000A1D01" w:rsidP="00432B48">
      <w:pPr>
        <w:rPr>
          <w:rFonts w:cs="Arial"/>
          <w:color w:val="000000"/>
        </w:rPr>
      </w:pPr>
    </w:p>
    <w:p w14:paraId="4C8D5DD3" w14:textId="77777777" w:rsidR="000A1D01" w:rsidRPr="00432B48" w:rsidRDefault="000A1D01" w:rsidP="00432B48">
      <w:pPr>
        <w:rPr>
          <w:rFonts w:cs="Arial"/>
          <w:color w:val="000000"/>
        </w:rPr>
      </w:pPr>
      <w:r w:rsidRPr="00432B48">
        <w:rPr>
          <w:rFonts w:cs="Arial"/>
          <w:color w:val="000000"/>
        </w:rPr>
        <w:t>Net interest expense or income is recognised within other finance income (note 7).</w:t>
      </w:r>
    </w:p>
    <w:p w14:paraId="66554D41" w14:textId="77777777" w:rsidR="000A1D01" w:rsidRPr="00432B48" w:rsidRDefault="000A1D01" w:rsidP="00432B48">
      <w:pPr>
        <w:rPr>
          <w:rFonts w:cs="Arial"/>
          <w:color w:val="000000"/>
        </w:rPr>
      </w:pPr>
      <w:r w:rsidRPr="00432B48">
        <w:rPr>
          <w:rFonts w:cs="Arial"/>
          <w:color w:val="000000"/>
        </w:rPr>
        <w:tab/>
      </w:r>
    </w:p>
    <w:p w14:paraId="71819C23" w14:textId="510D418A" w:rsidR="000A1D01" w:rsidRPr="00432B48" w:rsidRDefault="000A1D01" w:rsidP="00432B48">
      <w:pPr>
        <w:rPr>
          <w:rFonts w:cs="Arial"/>
          <w:color w:val="000000"/>
        </w:rPr>
      </w:pPr>
      <w:r w:rsidRPr="00432B48">
        <w:rPr>
          <w:rFonts w:cs="Arial"/>
          <w:color w:val="000000"/>
        </w:rPr>
        <w:t xml:space="preserve">The employee benefit obligation recognised in the consolidated balance sheet represents the deficit or surplus in the defined benefit schemes. </w:t>
      </w:r>
    </w:p>
    <w:p w14:paraId="144FEFA4" w14:textId="77777777" w:rsidR="000A1D01" w:rsidRPr="00432B48" w:rsidRDefault="000A1D01" w:rsidP="00432B48">
      <w:pPr>
        <w:rPr>
          <w:rFonts w:cs="Arial"/>
          <w:color w:val="000000"/>
        </w:rPr>
      </w:pPr>
      <w:r w:rsidRPr="00432B48">
        <w:rPr>
          <w:rFonts w:cs="Arial"/>
          <w:color w:val="000000"/>
        </w:rPr>
        <w:tab/>
      </w:r>
    </w:p>
    <w:p w14:paraId="59A922E5" w14:textId="77777777" w:rsidR="000A1D01" w:rsidRPr="00F6394F" w:rsidRDefault="000A1D01" w:rsidP="003F4D72">
      <w:pPr>
        <w:pStyle w:val="Heading3"/>
      </w:pPr>
      <w:bookmarkStart w:id="259" w:name="_Toc213058691"/>
      <w:r w:rsidRPr="00F6394F">
        <w:t>Leases</w:t>
      </w:r>
      <w:bookmarkEnd w:id="259"/>
      <w:r w:rsidRPr="00F6394F">
        <w:t xml:space="preserve"> </w:t>
      </w:r>
    </w:p>
    <w:p w14:paraId="48AC8D7F" w14:textId="04983982" w:rsidR="000A1D01" w:rsidRPr="00432B48" w:rsidRDefault="000A1D01" w:rsidP="00432B48">
      <w:pPr>
        <w:rPr>
          <w:rFonts w:cs="Arial"/>
          <w:color w:val="000000"/>
        </w:rPr>
      </w:pPr>
      <w:r w:rsidRPr="00432B48">
        <w:rPr>
          <w:rFonts w:cs="Arial"/>
          <w:color w:val="000000"/>
        </w:rPr>
        <w:t xml:space="preserve">At the inception of a contract, the Company assesses whether a contract is, or contains, a lease. A contract is, or contains, a lease if the contract conveys the right to control the use of an identified asset for </w:t>
      </w:r>
      <w:proofErr w:type="gramStart"/>
      <w:r w:rsidRPr="00432B48">
        <w:rPr>
          <w:rFonts w:cs="Arial"/>
          <w:color w:val="000000"/>
        </w:rPr>
        <w:t>a period of time</w:t>
      </w:r>
      <w:proofErr w:type="gramEnd"/>
      <w:r w:rsidRPr="00432B48">
        <w:rPr>
          <w:rFonts w:cs="Arial"/>
          <w:color w:val="000000"/>
        </w:rPr>
        <w:t xml:space="preserve"> in exchange for consideration.  </w:t>
      </w:r>
    </w:p>
    <w:p w14:paraId="1EBD26F7" w14:textId="77777777" w:rsidR="000A1D01" w:rsidRPr="00432B48" w:rsidRDefault="000A1D01" w:rsidP="00432B48">
      <w:pPr>
        <w:rPr>
          <w:rFonts w:cs="Arial"/>
          <w:color w:val="000000"/>
        </w:rPr>
      </w:pPr>
    </w:p>
    <w:p w14:paraId="598CA5CC" w14:textId="77777777" w:rsidR="000A1D01" w:rsidRPr="00432B48" w:rsidRDefault="000A1D01" w:rsidP="00432B48">
      <w:pPr>
        <w:rPr>
          <w:rFonts w:cs="Arial"/>
          <w:color w:val="000000"/>
        </w:rPr>
      </w:pPr>
      <w:r w:rsidRPr="00432B48">
        <w:rPr>
          <w:rFonts w:cs="Arial"/>
          <w:color w:val="000000"/>
        </w:rPr>
        <w:t xml:space="preserve">As a lessee at commencement or on modification of a contract that contains a lease component, along with one or more other lease or non-lease components, the Company accounts for each lease component separately from the non-lease components. The Company allocates the consideration in the contract to each lease component </w:t>
      </w:r>
      <w:proofErr w:type="gramStart"/>
      <w:r w:rsidRPr="00432B48">
        <w:rPr>
          <w:rFonts w:cs="Arial"/>
          <w:color w:val="000000"/>
        </w:rPr>
        <w:t>on the basis of</w:t>
      </w:r>
      <w:proofErr w:type="gramEnd"/>
      <w:r w:rsidRPr="00432B48">
        <w:rPr>
          <w:rFonts w:cs="Arial"/>
          <w:color w:val="000000"/>
        </w:rPr>
        <w:t xml:space="preserve"> its relative stand-alone price and the aggregate stand-alone price of the non-lease components. The Company recognises a right-of-use asset and a lease liability at the lease commencement date. The right-of-use asset is initially measured at cost, which comprises the initial amount of the lease liability adjusted for any lease payments made at or before the commencement date, plus any initial direct costs incurred, less any lease incentives received. The right-of-use asset is subsequently depreciated using the straight-line method from the commencement date to the end of the lease term, unless the lease </w:t>
      </w:r>
      <w:r w:rsidRPr="00432B48">
        <w:rPr>
          <w:rFonts w:cs="Arial"/>
          <w:color w:val="000000"/>
        </w:rPr>
        <w:lastRenderedPageBreak/>
        <w:t>transfers ownership of the underlying asset to the Company by the end of the lease term or the cost of the right-of-use asset reflects that the Company will exercise a purchase option.</w:t>
      </w:r>
    </w:p>
    <w:p w14:paraId="03C17BAC" w14:textId="77777777" w:rsidR="000A1D01" w:rsidRPr="00432B48" w:rsidRDefault="000A1D01" w:rsidP="00432B48">
      <w:pPr>
        <w:rPr>
          <w:rFonts w:cs="Arial"/>
          <w:color w:val="000000"/>
        </w:rPr>
      </w:pPr>
    </w:p>
    <w:p w14:paraId="30B232ED" w14:textId="77777777" w:rsidR="000A1D01" w:rsidRPr="00432B48" w:rsidRDefault="000A1D01" w:rsidP="00432B48">
      <w:pPr>
        <w:rPr>
          <w:rFonts w:cs="Arial"/>
          <w:color w:val="000000"/>
        </w:rPr>
      </w:pPr>
      <w:r w:rsidRPr="00432B48">
        <w:rPr>
          <w:rFonts w:cs="Arial"/>
          <w:color w:val="000000"/>
        </w:rPr>
        <w:t xml:space="preserve">In that case the right-of-use asset will be depreciated over the useful life of the underlying asset, which is determined on the same basis as those of property and equipment. In addition, the right-of-use asset is periodically reduced by impairment losses, if any, and adjusted for certain remeasurements of the lease liability. The lease liability is initially measured at the present value of the lease payments that are not paid at the commencement date, discounted using the interest rate implicit in the lease or, if that rate cannot be readily determined, the Company’s incremental borrowing rate, this has been assessed as 5%.  Lease payments included in the measurement of the lease liability comprise the following: - fixed payments, including in-substance fixed payments; - variable lease payments that depend on an index or a rate, initially measured using the index or rate as at the commencement date - amounts expected to be payable under a residual value guarantee; and - the exercise price under a purchase option that the Company is reasonably certain to exercise, - lease payments in an optional renewal period if the Company is reasonably certain to exercise an extension option, and - penalties for early termination of a lease unless the Company is reasonably certain not to terminate early. </w:t>
      </w:r>
    </w:p>
    <w:p w14:paraId="3EB9BF6B" w14:textId="77777777" w:rsidR="00F6394F" w:rsidRDefault="00F6394F" w:rsidP="00432B48">
      <w:pPr>
        <w:rPr>
          <w:rFonts w:cs="Arial"/>
          <w:color w:val="000000"/>
        </w:rPr>
      </w:pPr>
    </w:p>
    <w:p w14:paraId="3F5885D7" w14:textId="5EE2D2B1" w:rsidR="000A1D01" w:rsidRPr="00432B48" w:rsidRDefault="000A1D01" w:rsidP="00432B48">
      <w:pPr>
        <w:rPr>
          <w:rFonts w:cs="Arial"/>
          <w:color w:val="000000"/>
        </w:rPr>
      </w:pPr>
      <w:r w:rsidRPr="00432B48">
        <w:rPr>
          <w:rFonts w:cs="Arial"/>
          <w:color w:val="000000"/>
        </w:rPr>
        <w:t xml:space="preserve">The lease liability is measured at amortised cost using the effective interest method. It is remeasured when there is a change in future lease payments arising from a change in an index or rate, there is a change in the Company’s estimate of the amount expected to be payable under a residual value guarantee, if the Company changes its assessment of whether it will exercise a purchase, extension or termination option or if there is a revised in substance fixed lease payment. When the lease liability is remeasured in this way, a corresponding adjustment is made to the carrying amount of the right-of-use asset, to the extent that the right-of-use asset is reduced to nil, with any further adjustment required from the remeasurement being recorded in profit or loss. The Company presents right-of-use assets that do not meet the definition of investment property in ‘property, plant and equipment’ and lease liabilities in ‘loans and borrowings’ in the statement of financial position. </w:t>
      </w:r>
    </w:p>
    <w:p w14:paraId="4213577B" w14:textId="77777777" w:rsidR="000A1D01" w:rsidRPr="00432B48" w:rsidRDefault="000A1D01" w:rsidP="00432B48">
      <w:pPr>
        <w:rPr>
          <w:rFonts w:cs="Arial"/>
          <w:color w:val="000000"/>
        </w:rPr>
      </w:pPr>
    </w:p>
    <w:p w14:paraId="7B0FE35F" w14:textId="77777777" w:rsidR="000A1D01" w:rsidRPr="00F6394F" w:rsidRDefault="000A1D01" w:rsidP="00432B48">
      <w:pPr>
        <w:rPr>
          <w:rFonts w:cs="Arial"/>
          <w:b/>
          <w:bCs/>
          <w:i/>
          <w:iCs/>
          <w:color w:val="000000" w:themeColor="text1"/>
        </w:rPr>
      </w:pPr>
      <w:r w:rsidRPr="00F6394F">
        <w:rPr>
          <w:rFonts w:cs="Arial"/>
          <w:b/>
          <w:bCs/>
          <w:i/>
          <w:iCs/>
          <w:color w:val="000000" w:themeColor="text1"/>
        </w:rPr>
        <w:t>Short-term Leases and Leases of Low-Value Assets</w:t>
      </w:r>
    </w:p>
    <w:p w14:paraId="2B929D9D" w14:textId="77777777" w:rsidR="000A1D01" w:rsidRPr="00432B48" w:rsidRDefault="000A1D01" w:rsidP="00432B48">
      <w:pPr>
        <w:rPr>
          <w:rFonts w:cs="Arial"/>
          <w:color w:val="000000"/>
        </w:rPr>
      </w:pPr>
      <w:r w:rsidRPr="00432B48">
        <w:rPr>
          <w:rFonts w:cs="Arial"/>
          <w:color w:val="000000"/>
        </w:rPr>
        <w:t>The Company has elected not to recognise right-of-use assets and lease liabilities for lease of low-value assets and short-term leases. The Company recognises the lease payments associated with these leases as an expense on a straight-line basis over the lease term.</w:t>
      </w:r>
    </w:p>
    <w:p w14:paraId="32B54B4E" w14:textId="77777777" w:rsidR="000A1D01" w:rsidRPr="00432B48" w:rsidRDefault="000A1D01" w:rsidP="00432B48">
      <w:pPr>
        <w:rPr>
          <w:rFonts w:cs="Arial"/>
          <w:color w:val="000000"/>
        </w:rPr>
      </w:pPr>
      <w:r w:rsidRPr="00432B48">
        <w:rPr>
          <w:rFonts w:cs="Arial"/>
          <w:color w:val="000000"/>
        </w:rPr>
        <w:t> </w:t>
      </w:r>
    </w:p>
    <w:p w14:paraId="7016BCCF" w14:textId="77777777" w:rsidR="000A1D01" w:rsidRPr="00F6394F" w:rsidRDefault="000A1D01" w:rsidP="003F4D72">
      <w:pPr>
        <w:pStyle w:val="Heading3"/>
      </w:pPr>
      <w:bookmarkStart w:id="260" w:name="_Toc213058692"/>
      <w:r w:rsidRPr="00F6394F">
        <w:lastRenderedPageBreak/>
        <w:t>Taxation</w:t>
      </w:r>
      <w:bookmarkEnd w:id="260"/>
    </w:p>
    <w:p w14:paraId="33564A5C" w14:textId="77777777" w:rsidR="000A1D01" w:rsidRPr="00432B48" w:rsidRDefault="000A1D01" w:rsidP="00432B48">
      <w:pPr>
        <w:rPr>
          <w:rFonts w:cs="Arial"/>
          <w:color w:val="000000"/>
        </w:rPr>
      </w:pPr>
      <w:r w:rsidRPr="00432B48">
        <w:rPr>
          <w:rFonts w:cs="Arial"/>
          <w:color w:val="000000"/>
        </w:rPr>
        <w:t>Current tax, including UK corporation tax, is provided at amounts expected to be paid (or recovered) using the tax rates and laws that have been enacted or substantively enacted by the balance sheet date.  The amount of current tax receivable or payable reflects the best estimate.</w:t>
      </w:r>
    </w:p>
    <w:p w14:paraId="106F7A53" w14:textId="77777777" w:rsidR="000A1D01" w:rsidRPr="00432B48" w:rsidRDefault="000A1D01" w:rsidP="00432B48">
      <w:pPr>
        <w:rPr>
          <w:rFonts w:cs="Arial"/>
          <w:color w:val="000000"/>
        </w:rPr>
      </w:pPr>
      <w:r w:rsidRPr="00432B48">
        <w:rPr>
          <w:rFonts w:cs="Arial"/>
          <w:color w:val="000000"/>
        </w:rPr>
        <w:tab/>
      </w:r>
    </w:p>
    <w:p w14:paraId="1FB47FE5" w14:textId="77777777" w:rsidR="000A1D01" w:rsidRPr="00432B48" w:rsidRDefault="000A1D01" w:rsidP="00432B48">
      <w:pPr>
        <w:rPr>
          <w:rFonts w:cs="Arial"/>
          <w:color w:val="000000"/>
        </w:rPr>
      </w:pPr>
      <w:r w:rsidRPr="00432B48">
        <w:rPr>
          <w:rFonts w:cs="Arial"/>
          <w:color w:val="000000"/>
        </w:rPr>
        <w:t xml:space="preserve">Deferred tax is recognised in respect of all temporary differences that have originated but not reversed at the balance sheet date where transactions or events have occurred at that date that will result in an obligation to </w:t>
      </w:r>
      <w:r w:rsidRPr="00432B48">
        <w:rPr>
          <w:rFonts w:cs="Arial"/>
          <w:color w:val="000000"/>
        </w:rPr>
        <w:br/>
        <w:t>pay more, or a right to pay less tax in the future, with the following exception:</w:t>
      </w:r>
    </w:p>
    <w:p w14:paraId="6A9B4171" w14:textId="77777777" w:rsidR="000A1D01" w:rsidRPr="00432B48" w:rsidRDefault="000A1D01" w:rsidP="00432B48">
      <w:pPr>
        <w:rPr>
          <w:rFonts w:cs="Arial"/>
          <w:color w:val="000000"/>
        </w:rPr>
      </w:pPr>
    </w:p>
    <w:p w14:paraId="612A704E" w14:textId="7955CB33" w:rsidR="000A1D01" w:rsidRPr="00F6394F" w:rsidRDefault="000A1D01" w:rsidP="00F6394F">
      <w:pPr>
        <w:pStyle w:val="ListParagraph"/>
        <w:numPr>
          <w:ilvl w:val="0"/>
          <w:numId w:val="81"/>
        </w:numPr>
        <w:rPr>
          <w:rFonts w:cs="Arial"/>
          <w:color w:val="000000"/>
        </w:rPr>
      </w:pPr>
      <w:r w:rsidRPr="00F6394F">
        <w:rPr>
          <w:rFonts w:cs="Arial"/>
          <w:color w:val="000000"/>
        </w:rPr>
        <w:t xml:space="preserve">deferred tax assets are recognised only to the extent that the directors consider that it is more likely than not that there will be suitable taxable profits from which the future reversal of the underlying temporary differences can </w:t>
      </w:r>
      <w:r w:rsidRPr="00F6394F">
        <w:rPr>
          <w:rFonts w:cs="Arial"/>
          <w:color w:val="000000"/>
        </w:rPr>
        <w:br/>
        <w:t>be deducted.</w:t>
      </w:r>
    </w:p>
    <w:p w14:paraId="34233B86" w14:textId="77777777" w:rsidR="000A1D01" w:rsidRPr="00432B48" w:rsidRDefault="000A1D01" w:rsidP="00432B48">
      <w:pPr>
        <w:rPr>
          <w:rFonts w:cs="Arial"/>
          <w:color w:val="000000"/>
        </w:rPr>
      </w:pPr>
    </w:p>
    <w:p w14:paraId="46AF5FB1" w14:textId="77777777" w:rsidR="000A1D01" w:rsidRPr="00432B48" w:rsidRDefault="000A1D01" w:rsidP="00432B48">
      <w:pPr>
        <w:rPr>
          <w:rFonts w:cs="Arial"/>
          <w:color w:val="000000"/>
        </w:rPr>
      </w:pPr>
      <w:r w:rsidRPr="00432B48">
        <w:rPr>
          <w:rFonts w:cs="Arial"/>
          <w:color w:val="000000"/>
        </w:rPr>
        <w:t>Deferred tax is measured on an undiscounted basis at the tax rates that are expected to apply in the periods in which timing differences reverse, based on tax rates and laws enacted or substantively enacted at the balance sheet date.</w:t>
      </w:r>
    </w:p>
    <w:p w14:paraId="50F6E53D" w14:textId="77777777" w:rsidR="000A1D01" w:rsidRPr="00432B48" w:rsidRDefault="000A1D01" w:rsidP="00432B48">
      <w:pPr>
        <w:rPr>
          <w:rFonts w:cs="Arial"/>
          <w:color w:val="000000"/>
        </w:rPr>
      </w:pPr>
    </w:p>
    <w:p w14:paraId="2AC52A21" w14:textId="77777777" w:rsidR="000A1D01" w:rsidRPr="00F6394F" w:rsidRDefault="000A1D01" w:rsidP="003F4D72">
      <w:pPr>
        <w:pStyle w:val="Heading3"/>
      </w:pPr>
      <w:bookmarkStart w:id="261" w:name="_Toc213058693"/>
      <w:r w:rsidRPr="00F6394F">
        <w:t>Third Party Claims Provisions</w:t>
      </w:r>
      <w:bookmarkEnd w:id="261"/>
    </w:p>
    <w:p w14:paraId="68EE0D13" w14:textId="77777777" w:rsidR="000A1D01" w:rsidRPr="00432B48" w:rsidRDefault="000A1D01" w:rsidP="00432B48">
      <w:pPr>
        <w:rPr>
          <w:rFonts w:cs="Arial"/>
          <w:color w:val="000000"/>
        </w:rPr>
      </w:pPr>
      <w:r w:rsidRPr="00432B48">
        <w:rPr>
          <w:rFonts w:cs="Arial"/>
          <w:color w:val="000000"/>
        </w:rPr>
        <w:t xml:space="preserve">Provisions are recognised when the Group has a present obligation (legal or constructive) </w:t>
      </w:r>
      <w:proofErr w:type="gramStart"/>
      <w:r w:rsidRPr="00432B48">
        <w:rPr>
          <w:rFonts w:cs="Arial"/>
          <w:color w:val="000000"/>
        </w:rPr>
        <w:t>as a result of</w:t>
      </w:r>
      <w:proofErr w:type="gramEnd"/>
      <w:r w:rsidRPr="00432B48">
        <w:rPr>
          <w:rFonts w:cs="Arial"/>
          <w:color w:val="000000"/>
        </w:rPr>
        <w:t xml:space="preserve"> a past event, it is probable that the Group will be required to settle that obligation and a reliable estimate can be made of the amount of the obligation. </w:t>
      </w:r>
    </w:p>
    <w:p w14:paraId="0F7890FC" w14:textId="77777777" w:rsidR="000A1D01" w:rsidRPr="00432B48" w:rsidRDefault="000A1D01" w:rsidP="00432B48">
      <w:pPr>
        <w:rPr>
          <w:rFonts w:cs="Arial"/>
          <w:color w:val="000000"/>
        </w:rPr>
      </w:pPr>
    </w:p>
    <w:p w14:paraId="1F5EC96C" w14:textId="484E2315" w:rsidR="000A1D01" w:rsidRPr="00432B48" w:rsidRDefault="000A1D01" w:rsidP="00432B48">
      <w:pPr>
        <w:rPr>
          <w:rFonts w:cs="Arial"/>
          <w:color w:val="000000"/>
        </w:rPr>
      </w:pPr>
      <w:r w:rsidRPr="00432B48">
        <w:rPr>
          <w:rFonts w:cs="Arial"/>
          <w:color w:val="000000"/>
        </w:rPr>
        <w:t xml:space="preserve">Any surplus realised or expected to be realised on the settlement of claims, is included in the results for the period.  Consequential loss claims, under criminal injuries legislation, are estimated and </w:t>
      </w:r>
      <w:proofErr w:type="gramStart"/>
      <w:r w:rsidRPr="00432B48">
        <w:rPr>
          <w:rFonts w:cs="Arial"/>
          <w:color w:val="000000"/>
        </w:rPr>
        <w:t>taken into account</w:t>
      </w:r>
      <w:proofErr w:type="gramEnd"/>
      <w:r w:rsidRPr="00432B48">
        <w:rPr>
          <w:rFonts w:cs="Arial"/>
          <w:color w:val="000000"/>
        </w:rPr>
        <w:t xml:space="preserve"> in determining the operating results, pending agreement with the Department of Justice. </w:t>
      </w:r>
    </w:p>
    <w:p w14:paraId="1261FEB7" w14:textId="77777777" w:rsidR="000A1D01" w:rsidRPr="00432B48" w:rsidRDefault="000A1D01" w:rsidP="00432B48">
      <w:pPr>
        <w:rPr>
          <w:rFonts w:cs="Arial"/>
          <w:color w:val="000000"/>
        </w:rPr>
      </w:pPr>
    </w:p>
    <w:p w14:paraId="54757B16" w14:textId="77777777" w:rsidR="000A1D01" w:rsidRPr="00432B48" w:rsidRDefault="000A1D01" w:rsidP="00432B48">
      <w:pPr>
        <w:rPr>
          <w:rFonts w:cs="Arial"/>
          <w:color w:val="000000"/>
        </w:rPr>
      </w:pPr>
      <w:r w:rsidRPr="00432B48">
        <w:rPr>
          <w:rFonts w:cs="Arial"/>
          <w:color w:val="000000"/>
        </w:rPr>
        <w:t xml:space="preserve">The Group receives claims in respect of traffic incidents and employee claims.  The Group protects against the cost of such claims through third party insurance policies.  An element of the claims is not insured </w:t>
      </w:r>
      <w:proofErr w:type="gramStart"/>
      <w:r w:rsidRPr="00432B48">
        <w:rPr>
          <w:rFonts w:cs="Arial"/>
          <w:color w:val="000000"/>
        </w:rPr>
        <w:t>as a result of</w:t>
      </w:r>
      <w:proofErr w:type="gramEnd"/>
      <w:r w:rsidRPr="00432B48">
        <w:rPr>
          <w:rFonts w:cs="Arial"/>
          <w:color w:val="000000"/>
        </w:rPr>
        <w:t xml:space="preserve"> the “excess” or “deductible” on insurance policies.  </w:t>
      </w:r>
    </w:p>
    <w:p w14:paraId="39FFD535" w14:textId="77777777" w:rsidR="000A1D01" w:rsidRPr="00432B48" w:rsidRDefault="000A1D01" w:rsidP="00432B48">
      <w:pPr>
        <w:rPr>
          <w:rFonts w:cs="Arial"/>
          <w:color w:val="000000"/>
        </w:rPr>
      </w:pPr>
      <w:r w:rsidRPr="00432B48">
        <w:rPr>
          <w:rFonts w:cs="Arial"/>
          <w:color w:val="000000"/>
        </w:rPr>
        <w:tab/>
      </w:r>
    </w:p>
    <w:p w14:paraId="26A32068" w14:textId="77777777" w:rsidR="000A1D01" w:rsidRPr="00432B48" w:rsidRDefault="000A1D01" w:rsidP="00432B48">
      <w:pPr>
        <w:rPr>
          <w:rFonts w:cs="Arial"/>
          <w:color w:val="000000"/>
        </w:rPr>
      </w:pPr>
      <w:r w:rsidRPr="00432B48">
        <w:rPr>
          <w:rFonts w:cs="Arial"/>
          <w:color w:val="000000"/>
        </w:rPr>
        <w:t xml:space="preserve">Provision is made on a discounted basis for the estimated cost to the Group to settle claims for incidents occurring prior to the balance sheet date.  The estimate of the balance sheet insurance </w:t>
      </w:r>
      <w:r w:rsidRPr="00432B48">
        <w:rPr>
          <w:rFonts w:cs="Arial"/>
          <w:color w:val="000000"/>
        </w:rPr>
        <w:lastRenderedPageBreak/>
        <w:t xml:space="preserve">provisions is based on an assessment of the expected settlement of known claims together with an estimate of settlements that will be made in respect of incidents occurring prior to the balance sheet date but for which claims have not yet been reported to the Group. </w:t>
      </w:r>
      <w:r w:rsidRPr="00432B48">
        <w:rPr>
          <w:rFonts w:cs="Arial"/>
          <w:color w:val="000000"/>
        </w:rPr>
        <w:br/>
      </w:r>
    </w:p>
    <w:p w14:paraId="5B1EFA90" w14:textId="77777777" w:rsidR="000A1D01" w:rsidRPr="00432B48" w:rsidRDefault="000A1D01" w:rsidP="00432B48">
      <w:pPr>
        <w:rPr>
          <w:rFonts w:cs="Arial"/>
          <w:color w:val="000000"/>
        </w:rPr>
      </w:pPr>
      <w:r w:rsidRPr="00432B48">
        <w:rPr>
          <w:rFonts w:cs="Arial"/>
          <w:color w:val="000000"/>
        </w:rPr>
        <w:t>The provision is set after taking account of advice from third party insurers and solicitors. As the timing of settlement cannot be predicted with reasonable reliability, all liabilities are classified as current.</w:t>
      </w:r>
    </w:p>
    <w:p w14:paraId="4E7F5CC6" w14:textId="77777777" w:rsidR="000A1D01" w:rsidRPr="00432B48" w:rsidRDefault="000A1D01" w:rsidP="00432B48">
      <w:pPr>
        <w:rPr>
          <w:rFonts w:cs="Arial"/>
          <w:color w:val="000000"/>
        </w:rPr>
      </w:pPr>
      <w:r w:rsidRPr="00432B48">
        <w:rPr>
          <w:rFonts w:cs="Arial"/>
          <w:color w:val="000000"/>
        </w:rPr>
        <w:tab/>
      </w:r>
    </w:p>
    <w:p w14:paraId="0716F871" w14:textId="77777777" w:rsidR="000A1D01" w:rsidRPr="003F4D72" w:rsidRDefault="000A1D01" w:rsidP="003F4D72">
      <w:pPr>
        <w:pStyle w:val="Heading3"/>
        <w:rPr>
          <w:i/>
          <w:iCs/>
        </w:rPr>
      </w:pPr>
      <w:bookmarkStart w:id="262" w:name="_Toc213058694"/>
      <w:r w:rsidRPr="003F4D72">
        <w:rPr>
          <w:i/>
          <w:iCs/>
        </w:rPr>
        <w:t>Corporate Social Responsibility Provision</w:t>
      </w:r>
      <w:bookmarkEnd w:id="262"/>
    </w:p>
    <w:p w14:paraId="1745B8BB" w14:textId="1871F1DA" w:rsidR="000A1D01" w:rsidRPr="00432B48" w:rsidRDefault="000A1D01" w:rsidP="00432B48">
      <w:pPr>
        <w:rPr>
          <w:rFonts w:cs="Arial"/>
          <w:color w:val="000000"/>
        </w:rPr>
      </w:pPr>
      <w:r w:rsidRPr="00432B48">
        <w:rPr>
          <w:rFonts w:cs="Arial"/>
          <w:color w:val="000000"/>
        </w:rPr>
        <w:t>Provision is made for obligations arising from the Group’s Health and Safety obligations and current Environmental Contamination policy. The provision is set after taking advice from third party environmental technical advisors.</w:t>
      </w:r>
    </w:p>
    <w:p w14:paraId="68CCA1D1" w14:textId="77777777" w:rsidR="000A1D01" w:rsidRPr="00432B48" w:rsidRDefault="000A1D01" w:rsidP="00432B48">
      <w:pPr>
        <w:rPr>
          <w:rFonts w:cs="Arial"/>
          <w:color w:val="000000"/>
        </w:rPr>
      </w:pPr>
    </w:p>
    <w:p w14:paraId="0D68BE7F" w14:textId="77777777" w:rsidR="000A1D01" w:rsidRPr="003F4D72" w:rsidRDefault="000A1D01" w:rsidP="003F4D72">
      <w:pPr>
        <w:pStyle w:val="Heading3"/>
        <w:rPr>
          <w:i/>
          <w:iCs/>
        </w:rPr>
      </w:pPr>
      <w:bookmarkStart w:id="263" w:name="_Toc213058695"/>
      <w:r w:rsidRPr="003F4D72">
        <w:rPr>
          <w:i/>
          <w:iCs/>
        </w:rPr>
        <w:t>Restructuring Provisions</w:t>
      </w:r>
      <w:bookmarkEnd w:id="263"/>
    </w:p>
    <w:p w14:paraId="0660D360" w14:textId="77777777" w:rsidR="000A1D01" w:rsidRPr="00432B48" w:rsidRDefault="000A1D01" w:rsidP="00432B48">
      <w:pPr>
        <w:rPr>
          <w:rFonts w:cs="Arial"/>
          <w:color w:val="000000"/>
        </w:rPr>
      </w:pPr>
      <w:r w:rsidRPr="00432B48">
        <w:rPr>
          <w:rFonts w:cs="Arial"/>
          <w:color w:val="000000"/>
        </w:rPr>
        <w:t xml:space="preserve">Provisions for restructuring are recognised when the Company has a present legal or constructive obligation </w:t>
      </w:r>
      <w:proofErr w:type="gramStart"/>
      <w:r w:rsidRPr="00432B48">
        <w:rPr>
          <w:rFonts w:cs="Arial"/>
          <w:color w:val="000000"/>
        </w:rPr>
        <w:t>as a result of</w:t>
      </w:r>
      <w:proofErr w:type="gramEnd"/>
      <w:r w:rsidRPr="00432B48">
        <w:rPr>
          <w:rFonts w:cs="Arial"/>
          <w:color w:val="000000"/>
        </w:rPr>
        <w:t xml:space="preserve"> past events and a reliable estimate of associated costs can </w:t>
      </w:r>
      <w:r w:rsidRPr="00432B48">
        <w:rPr>
          <w:rFonts w:cs="Arial"/>
          <w:color w:val="000000"/>
        </w:rPr>
        <w:br/>
        <w:t>be made.</w:t>
      </w:r>
    </w:p>
    <w:p w14:paraId="4B99B70E" w14:textId="77777777" w:rsidR="000A1D01" w:rsidRPr="00432B48" w:rsidRDefault="000A1D01" w:rsidP="00432B48">
      <w:pPr>
        <w:rPr>
          <w:rFonts w:cs="Arial"/>
          <w:color w:val="000000"/>
        </w:rPr>
      </w:pPr>
    </w:p>
    <w:p w14:paraId="6310823B" w14:textId="77777777" w:rsidR="000A1D01" w:rsidRPr="00F6394F" w:rsidRDefault="000A1D01" w:rsidP="003F4D72">
      <w:pPr>
        <w:pStyle w:val="Heading3"/>
      </w:pPr>
      <w:bookmarkStart w:id="264" w:name="_Toc213058696"/>
      <w:r w:rsidRPr="00F6394F">
        <w:t>Foreign Currency</w:t>
      </w:r>
      <w:bookmarkEnd w:id="264"/>
    </w:p>
    <w:p w14:paraId="0B60EBBA" w14:textId="77777777" w:rsidR="000A1D01" w:rsidRPr="00432B48" w:rsidRDefault="000A1D01" w:rsidP="00432B48">
      <w:pPr>
        <w:rPr>
          <w:rFonts w:cs="Arial"/>
          <w:color w:val="000000"/>
        </w:rPr>
      </w:pPr>
      <w:r w:rsidRPr="00432B48">
        <w:rPr>
          <w:rFonts w:cs="Arial"/>
          <w:color w:val="000000"/>
          <w:spacing w:val="-1"/>
        </w:rPr>
        <w:t>Transactions in foreign currencies are translated into sterling</w:t>
      </w:r>
      <w:r w:rsidRPr="00432B48">
        <w:rPr>
          <w:rFonts w:cs="Arial"/>
          <w:color w:val="000000"/>
          <w:spacing w:val="-1"/>
        </w:rPr>
        <w:br/>
      </w:r>
      <w:r w:rsidRPr="00432B48">
        <w:rPr>
          <w:rFonts w:cs="Arial"/>
          <w:color w:val="000000"/>
        </w:rPr>
        <w:t xml:space="preserve">at the rate of exchange ruling at the date of the transaction.  Monetary assets and liabilities denominated in foreign </w:t>
      </w:r>
      <w:r w:rsidRPr="00432B48">
        <w:rPr>
          <w:rFonts w:cs="Arial"/>
          <w:color w:val="000000"/>
          <w:spacing w:val="-1"/>
        </w:rPr>
        <w:t>currencies are translated into sterling at the rates of exchang</w:t>
      </w:r>
      <w:r w:rsidRPr="00432B48">
        <w:rPr>
          <w:rFonts w:cs="Arial"/>
          <w:color w:val="000000"/>
        </w:rPr>
        <w:t xml:space="preserve">e ruling at the balance sheet date.  Foreign exchange differences arising on translation are recognised in the </w:t>
      </w:r>
      <w:r w:rsidRPr="00432B48">
        <w:rPr>
          <w:rFonts w:cs="Arial"/>
          <w:color w:val="000000"/>
        </w:rPr>
        <w:br/>
        <w:t>profit and loss account.</w:t>
      </w:r>
    </w:p>
    <w:p w14:paraId="203FED54" w14:textId="77777777" w:rsidR="000A1D01" w:rsidRPr="00432B48" w:rsidRDefault="000A1D01" w:rsidP="00432B48">
      <w:pPr>
        <w:rPr>
          <w:rFonts w:cs="Arial"/>
          <w:color w:val="000000"/>
        </w:rPr>
      </w:pPr>
    </w:p>
    <w:p w14:paraId="4F80702E" w14:textId="77777777" w:rsidR="000A1D01" w:rsidRPr="00432B48" w:rsidRDefault="000A1D01" w:rsidP="00432B48">
      <w:pPr>
        <w:rPr>
          <w:rFonts w:cs="Arial"/>
          <w:color w:val="000000"/>
        </w:rPr>
      </w:pPr>
      <w:r w:rsidRPr="00432B48">
        <w:rPr>
          <w:rFonts w:cs="Arial"/>
          <w:color w:val="000000"/>
        </w:rPr>
        <w:t>The principal rates of exchange applied to the financial statements were:</w:t>
      </w:r>
    </w:p>
    <w:p w14:paraId="0D5C6530" w14:textId="77777777" w:rsidR="000A1D01" w:rsidRPr="00432B48" w:rsidRDefault="000A1D01" w:rsidP="00432B48">
      <w:pPr>
        <w:rPr>
          <w:color w:val="000000"/>
        </w:rPr>
      </w:pPr>
    </w:p>
    <w:tbl>
      <w:tblPr>
        <w:tblStyle w:val="TableGrid"/>
        <w:tblW w:w="0" w:type="auto"/>
        <w:tblLayout w:type="fixed"/>
        <w:tblLook w:val="0000" w:firstRow="0" w:lastRow="0" w:firstColumn="0" w:lastColumn="0" w:noHBand="0" w:noVBand="0"/>
      </w:tblPr>
      <w:tblGrid>
        <w:gridCol w:w="2693"/>
        <w:gridCol w:w="1190"/>
        <w:gridCol w:w="908"/>
      </w:tblGrid>
      <w:tr w:rsidR="000A1D01" w:rsidRPr="00432B48" w14:paraId="4CDC21C3" w14:textId="77777777" w:rsidTr="00B471FD">
        <w:trPr>
          <w:trHeight w:val="340"/>
        </w:trPr>
        <w:tc>
          <w:tcPr>
            <w:tcW w:w="2693" w:type="dxa"/>
            <w:vAlign w:val="center"/>
          </w:tcPr>
          <w:p w14:paraId="2CA29910" w14:textId="77777777" w:rsidR="000A1D01" w:rsidRPr="00B471FD" w:rsidRDefault="000A1D01" w:rsidP="00B471FD">
            <w:pPr>
              <w:spacing w:line="240" w:lineRule="auto"/>
              <w:rPr>
                <w:color w:val="000000" w:themeColor="text1"/>
              </w:rPr>
            </w:pPr>
            <w:r w:rsidRPr="00B471FD">
              <w:rPr>
                <w:color w:val="000000" w:themeColor="text1"/>
                <w14:textOutline w14:w="9525" w14:cap="flat" w14:cmpd="sng" w14:algn="ctr">
                  <w14:noFill/>
                  <w14:prstDash w14:val="solid"/>
                  <w14:round/>
                </w14:textOutline>
              </w:rPr>
              <w:t>Euro</w:t>
            </w:r>
          </w:p>
        </w:tc>
        <w:tc>
          <w:tcPr>
            <w:tcW w:w="1190" w:type="dxa"/>
            <w:vAlign w:val="center"/>
          </w:tcPr>
          <w:p w14:paraId="74D6BE3F" w14:textId="77777777" w:rsidR="000A1D01" w:rsidRPr="00B471FD" w:rsidRDefault="000A1D01" w:rsidP="00B471FD">
            <w:pPr>
              <w:spacing w:line="240" w:lineRule="auto"/>
              <w:rPr>
                <w:color w:val="000000" w:themeColor="text1"/>
              </w:rPr>
            </w:pPr>
            <w:r w:rsidRPr="00B471FD">
              <w:rPr>
                <w:color w:val="000000" w:themeColor="text1"/>
                <w14:textOutline w14:w="9525" w14:cap="flat" w14:cmpd="sng" w14:algn="ctr">
                  <w14:noFill/>
                  <w14:prstDash w14:val="solid"/>
                  <w14:round/>
                </w14:textOutline>
              </w:rPr>
              <w:t>2025</w:t>
            </w:r>
          </w:p>
        </w:tc>
        <w:tc>
          <w:tcPr>
            <w:tcW w:w="908" w:type="dxa"/>
            <w:vAlign w:val="center"/>
          </w:tcPr>
          <w:p w14:paraId="6D4D6301" w14:textId="77777777" w:rsidR="000A1D01" w:rsidRPr="00B471FD" w:rsidRDefault="000A1D01" w:rsidP="00B471FD">
            <w:pPr>
              <w:spacing w:line="240" w:lineRule="auto"/>
              <w:rPr>
                <w:color w:val="000000" w:themeColor="text1"/>
              </w:rPr>
            </w:pPr>
            <w:r w:rsidRPr="00B471FD">
              <w:rPr>
                <w:color w:val="000000" w:themeColor="text1"/>
                <w14:textOutline w14:w="9525" w14:cap="flat" w14:cmpd="sng" w14:algn="ctr">
                  <w14:noFill/>
                  <w14:prstDash w14:val="solid"/>
                  <w14:round/>
                </w14:textOutline>
              </w:rPr>
              <w:t>2024</w:t>
            </w:r>
          </w:p>
        </w:tc>
      </w:tr>
      <w:tr w:rsidR="000A1D01" w:rsidRPr="00432B48" w14:paraId="790935F1" w14:textId="77777777" w:rsidTr="00B471FD">
        <w:trPr>
          <w:trHeight w:val="340"/>
        </w:trPr>
        <w:tc>
          <w:tcPr>
            <w:tcW w:w="2693" w:type="dxa"/>
            <w:vAlign w:val="center"/>
          </w:tcPr>
          <w:p w14:paraId="34080E2E" w14:textId="77777777" w:rsidR="000A1D01" w:rsidRPr="00B471FD" w:rsidRDefault="000A1D01" w:rsidP="00B471FD">
            <w:pPr>
              <w:spacing w:line="240" w:lineRule="auto"/>
              <w:rPr>
                <w:color w:val="000000" w:themeColor="text1"/>
              </w:rPr>
            </w:pPr>
            <w:r w:rsidRPr="00B471FD">
              <w:rPr>
                <w:color w:val="000000" w:themeColor="text1"/>
              </w:rPr>
              <w:t>Period-end rate</w:t>
            </w:r>
          </w:p>
        </w:tc>
        <w:tc>
          <w:tcPr>
            <w:tcW w:w="1190" w:type="dxa"/>
            <w:vAlign w:val="center"/>
          </w:tcPr>
          <w:p w14:paraId="3414DA78" w14:textId="77777777" w:rsidR="000A1D01" w:rsidRPr="00B471FD" w:rsidRDefault="000A1D01" w:rsidP="00B471FD">
            <w:pPr>
              <w:spacing w:line="240" w:lineRule="auto"/>
              <w:rPr>
                <w:color w:val="000000" w:themeColor="text1"/>
              </w:rPr>
            </w:pPr>
            <w:r w:rsidRPr="00B471FD">
              <w:rPr>
                <w:color w:val="000000" w:themeColor="text1"/>
              </w:rPr>
              <w:t>1.20</w:t>
            </w:r>
          </w:p>
        </w:tc>
        <w:tc>
          <w:tcPr>
            <w:tcW w:w="908" w:type="dxa"/>
            <w:vAlign w:val="center"/>
          </w:tcPr>
          <w:p w14:paraId="1F0E0CAE" w14:textId="77777777" w:rsidR="000A1D01" w:rsidRPr="00B471FD" w:rsidRDefault="000A1D01" w:rsidP="00B471FD">
            <w:pPr>
              <w:spacing w:line="240" w:lineRule="auto"/>
              <w:rPr>
                <w:color w:val="000000" w:themeColor="text1"/>
              </w:rPr>
            </w:pPr>
            <w:r w:rsidRPr="00B471FD">
              <w:rPr>
                <w:color w:val="000000" w:themeColor="text1"/>
              </w:rPr>
              <w:t>1.17</w:t>
            </w:r>
          </w:p>
        </w:tc>
      </w:tr>
      <w:tr w:rsidR="000A1D01" w:rsidRPr="00432B48" w14:paraId="617FEFFA" w14:textId="77777777" w:rsidTr="00B471FD">
        <w:trPr>
          <w:trHeight w:val="340"/>
        </w:trPr>
        <w:tc>
          <w:tcPr>
            <w:tcW w:w="2693" w:type="dxa"/>
            <w:vAlign w:val="center"/>
          </w:tcPr>
          <w:p w14:paraId="71674A5F" w14:textId="77777777" w:rsidR="000A1D01" w:rsidRPr="00B471FD" w:rsidRDefault="000A1D01" w:rsidP="00B471FD">
            <w:pPr>
              <w:spacing w:line="240" w:lineRule="auto"/>
              <w:rPr>
                <w:color w:val="000000" w:themeColor="text1"/>
              </w:rPr>
            </w:pPr>
            <w:r w:rsidRPr="00B471FD">
              <w:rPr>
                <w:color w:val="000000" w:themeColor="text1"/>
              </w:rPr>
              <w:t>Average rate</w:t>
            </w:r>
          </w:p>
        </w:tc>
        <w:tc>
          <w:tcPr>
            <w:tcW w:w="1190" w:type="dxa"/>
            <w:vAlign w:val="center"/>
          </w:tcPr>
          <w:p w14:paraId="229D070A" w14:textId="77777777" w:rsidR="000A1D01" w:rsidRPr="00B471FD" w:rsidRDefault="000A1D01" w:rsidP="00B471FD">
            <w:pPr>
              <w:spacing w:line="240" w:lineRule="auto"/>
              <w:rPr>
                <w:color w:val="000000" w:themeColor="text1"/>
              </w:rPr>
            </w:pPr>
            <w:r w:rsidRPr="00B471FD">
              <w:rPr>
                <w:color w:val="000000" w:themeColor="text1"/>
              </w:rPr>
              <w:t>1.19</w:t>
            </w:r>
          </w:p>
        </w:tc>
        <w:tc>
          <w:tcPr>
            <w:tcW w:w="908" w:type="dxa"/>
            <w:vAlign w:val="center"/>
          </w:tcPr>
          <w:p w14:paraId="7D23CD17" w14:textId="77777777" w:rsidR="000A1D01" w:rsidRPr="00B471FD" w:rsidRDefault="000A1D01" w:rsidP="00B471FD">
            <w:pPr>
              <w:spacing w:line="240" w:lineRule="auto"/>
              <w:rPr>
                <w:color w:val="000000" w:themeColor="text1"/>
              </w:rPr>
            </w:pPr>
            <w:r w:rsidRPr="00B471FD">
              <w:rPr>
                <w:color w:val="000000" w:themeColor="text1"/>
              </w:rPr>
              <w:t>1.15</w:t>
            </w:r>
          </w:p>
        </w:tc>
      </w:tr>
    </w:tbl>
    <w:p w14:paraId="042636FF" w14:textId="77777777" w:rsidR="000A1D01" w:rsidRPr="00432B48" w:rsidRDefault="000A1D01" w:rsidP="00432B48">
      <w:pPr>
        <w:rPr>
          <w:color w:val="000000"/>
        </w:rPr>
      </w:pPr>
    </w:p>
    <w:p w14:paraId="4B28095B" w14:textId="77777777" w:rsidR="000A1D01" w:rsidRPr="00B471FD" w:rsidRDefault="000A1D01" w:rsidP="003F4D72">
      <w:pPr>
        <w:pStyle w:val="Heading3"/>
      </w:pPr>
      <w:bookmarkStart w:id="265" w:name="_Toc213058697"/>
      <w:r w:rsidRPr="00B471FD">
        <w:t>Financial Instruments</w:t>
      </w:r>
      <w:bookmarkEnd w:id="265"/>
    </w:p>
    <w:p w14:paraId="59FBCA37" w14:textId="77777777" w:rsidR="000A1D01" w:rsidRDefault="000A1D01" w:rsidP="00432B48">
      <w:pPr>
        <w:rPr>
          <w:color w:val="000000"/>
        </w:rPr>
      </w:pPr>
      <w:r w:rsidRPr="00432B48">
        <w:rPr>
          <w:color w:val="000000"/>
        </w:rPr>
        <w:t>Financial assets and financial liabilities are recognised in the Group’s balance sheet when the Group becomes a party to the contractual provisions of the instrument.</w:t>
      </w:r>
    </w:p>
    <w:p w14:paraId="74363DE4" w14:textId="77777777" w:rsidR="00B471FD" w:rsidRDefault="00B471FD" w:rsidP="00432B48">
      <w:pPr>
        <w:rPr>
          <w:color w:val="000000"/>
        </w:rPr>
      </w:pPr>
    </w:p>
    <w:p w14:paraId="1BE52EB6" w14:textId="77777777" w:rsidR="00B471FD" w:rsidRPr="00B471FD" w:rsidRDefault="00B471FD" w:rsidP="003F4D72">
      <w:pPr>
        <w:pStyle w:val="Heading3"/>
      </w:pPr>
      <w:bookmarkStart w:id="266" w:name="_Toc213058698"/>
      <w:r w:rsidRPr="00B471FD">
        <w:lastRenderedPageBreak/>
        <w:t>Financial Assets</w:t>
      </w:r>
      <w:bookmarkEnd w:id="266"/>
    </w:p>
    <w:p w14:paraId="423DAB96" w14:textId="77777777" w:rsidR="00B471FD" w:rsidRPr="00B471FD" w:rsidRDefault="00B471FD" w:rsidP="00B471FD">
      <w:pPr>
        <w:rPr>
          <w:color w:val="000000"/>
        </w:rPr>
      </w:pPr>
      <w:r w:rsidRPr="00B471FD">
        <w:rPr>
          <w:color w:val="000000"/>
        </w:rPr>
        <w:t>The Group measures its financial assets on initial recognition at fair value and determines the classification of such assets at initial recognition.  Where there is no active market for a financial asset, fair value is determined using valuation techniques including recent commercial transactions and discounted cash flows. Otherwise, financial assets are carried at amortised cost.</w:t>
      </w:r>
    </w:p>
    <w:p w14:paraId="52EC62CF" w14:textId="77777777" w:rsidR="00B471FD" w:rsidRPr="00B471FD" w:rsidRDefault="00B471FD" w:rsidP="00B471FD">
      <w:pPr>
        <w:rPr>
          <w:color w:val="000000"/>
        </w:rPr>
      </w:pPr>
    </w:p>
    <w:p w14:paraId="5197821B" w14:textId="77777777" w:rsidR="00B471FD" w:rsidRPr="00B471FD" w:rsidRDefault="00B471FD" w:rsidP="00B471FD">
      <w:pPr>
        <w:rPr>
          <w:color w:val="000000"/>
        </w:rPr>
      </w:pPr>
      <w:r w:rsidRPr="00B471FD">
        <w:rPr>
          <w:color w:val="000000"/>
        </w:rPr>
        <w:t xml:space="preserve">Financial assets that have fixed or determinable payments and are not quoted in an active market are classified as loans and receivables. </w:t>
      </w:r>
    </w:p>
    <w:p w14:paraId="3C6716A8" w14:textId="77777777" w:rsidR="00B471FD" w:rsidRPr="00B471FD" w:rsidRDefault="00B471FD" w:rsidP="00B471FD">
      <w:pPr>
        <w:rPr>
          <w:color w:val="000000"/>
        </w:rPr>
      </w:pPr>
    </w:p>
    <w:p w14:paraId="59DD047F" w14:textId="77777777" w:rsidR="00B471FD" w:rsidRPr="003F4D72" w:rsidRDefault="00B471FD" w:rsidP="003F4D72">
      <w:pPr>
        <w:pStyle w:val="Heading3"/>
        <w:rPr>
          <w:i/>
          <w:iCs/>
        </w:rPr>
      </w:pPr>
      <w:bookmarkStart w:id="267" w:name="_Toc213058699"/>
      <w:r w:rsidRPr="003F4D72">
        <w:rPr>
          <w:i/>
          <w:iCs/>
        </w:rPr>
        <w:t>Financial Assets at Amortised Cost</w:t>
      </w:r>
      <w:bookmarkEnd w:id="267"/>
    </w:p>
    <w:p w14:paraId="0F025155" w14:textId="77777777" w:rsidR="00B471FD" w:rsidRPr="00B471FD" w:rsidRDefault="00B471FD" w:rsidP="00B471FD">
      <w:pPr>
        <w:rPr>
          <w:color w:val="000000"/>
        </w:rPr>
      </w:pPr>
      <w:r w:rsidRPr="00B471FD">
        <w:rPr>
          <w:color w:val="000000"/>
        </w:rPr>
        <w:t xml:space="preserve">Loans and receivables are measured at amortised cost </w:t>
      </w:r>
      <w:r w:rsidRPr="00B471FD">
        <w:rPr>
          <w:color w:val="000000"/>
        </w:rPr>
        <w:br/>
        <w:t xml:space="preserve">using the effective interest method less any impairment. </w:t>
      </w:r>
      <w:r w:rsidRPr="00B471FD">
        <w:rPr>
          <w:color w:val="000000"/>
        </w:rPr>
        <w:br/>
        <w:t xml:space="preserve">The carrying amount of these assets approximates to their </w:t>
      </w:r>
      <w:r w:rsidRPr="00B471FD">
        <w:rPr>
          <w:color w:val="000000"/>
        </w:rPr>
        <w:br/>
        <w:t>fair value.</w:t>
      </w:r>
    </w:p>
    <w:p w14:paraId="66F6F182" w14:textId="77777777" w:rsidR="00B471FD" w:rsidRPr="00B471FD" w:rsidRDefault="00B471FD" w:rsidP="00B471FD">
      <w:pPr>
        <w:rPr>
          <w:color w:val="000000"/>
        </w:rPr>
      </w:pPr>
    </w:p>
    <w:p w14:paraId="2A9BFAF2" w14:textId="77777777" w:rsidR="00B471FD" w:rsidRPr="003F4D72" w:rsidRDefault="00B471FD" w:rsidP="003F4D72">
      <w:pPr>
        <w:pStyle w:val="Heading3"/>
        <w:rPr>
          <w:i/>
          <w:iCs/>
        </w:rPr>
      </w:pPr>
      <w:bookmarkStart w:id="268" w:name="_Toc213058700"/>
      <w:r w:rsidRPr="003F4D72">
        <w:rPr>
          <w:i/>
          <w:iCs/>
        </w:rPr>
        <w:t>Impairment of Financial Assets</w:t>
      </w:r>
      <w:bookmarkEnd w:id="268"/>
    </w:p>
    <w:p w14:paraId="3CF6CCE9" w14:textId="77777777" w:rsidR="00B471FD" w:rsidRPr="00B471FD" w:rsidRDefault="00B471FD" w:rsidP="00B471FD">
      <w:pPr>
        <w:rPr>
          <w:color w:val="000000"/>
        </w:rPr>
      </w:pPr>
      <w:r w:rsidRPr="00B471FD">
        <w:rPr>
          <w:color w:val="000000"/>
        </w:rPr>
        <w:t xml:space="preserve">Financial assets are assessed for indicators of impairment at each balance sheet date.  Financial assets are impaired where there is objective evidence that, </w:t>
      </w:r>
      <w:proofErr w:type="gramStart"/>
      <w:r w:rsidRPr="00B471FD">
        <w:rPr>
          <w:color w:val="000000"/>
        </w:rPr>
        <w:t>as a result of</w:t>
      </w:r>
      <w:proofErr w:type="gramEnd"/>
      <w:r w:rsidRPr="00B471FD">
        <w:rPr>
          <w:color w:val="000000"/>
        </w:rPr>
        <w:t xml:space="preserve"> one or more events that occurred after the initial recognition of the financial asset, the estimated future cash flows of the asset have been negatively affected. </w:t>
      </w:r>
    </w:p>
    <w:p w14:paraId="631FECEB" w14:textId="77777777" w:rsidR="00B471FD" w:rsidRPr="00B471FD" w:rsidRDefault="00B471FD" w:rsidP="00B471FD">
      <w:pPr>
        <w:rPr>
          <w:color w:val="000000"/>
        </w:rPr>
      </w:pPr>
    </w:p>
    <w:p w14:paraId="5AD0F140" w14:textId="6454A3BA" w:rsidR="00B471FD" w:rsidRPr="00B471FD" w:rsidRDefault="00B471FD" w:rsidP="00B471FD">
      <w:pPr>
        <w:rPr>
          <w:color w:val="000000"/>
        </w:rPr>
      </w:pPr>
      <w:r w:rsidRPr="00B471FD">
        <w:rPr>
          <w:color w:val="000000"/>
        </w:rPr>
        <w:t xml:space="preserve">For financial assets carried at amortised cost, the amount of the impairment is the difference between the asset’s carrying amount and the present value of estimated future cash flows, discounted at the financial asset’s original effective interest rate. </w:t>
      </w:r>
    </w:p>
    <w:p w14:paraId="1CC40416" w14:textId="77777777" w:rsidR="00B471FD" w:rsidRPr="00B471FD" w:rsidRDefault="00B471FD" w:rsidP="00B471FD">
      <w:pPr>
        <w:rPr>
          <w:color w:val="000000"/>
        </w:rPr>
      </w:pPr>
    </w:p>
    <w:p w14:paraId="26DD7FAF" w14:textId="77777777" w:rsidR="00B471FD" w:rsidRPr="00B471FD" w:rsidRDefault="00B471FD" w:rsidP="00B471FD">
      <w:pPr>
        <w:rPr>
          <w:color w:val="000000"/>
        </w:rPr>
      </w:pPr>
      <w:r w:rsidRPr="00B471FD">
        <w:rPr>
          <w:color w:val="000000"/>
        </w:rPr>
        <w:t xml:space="preserve">The carrying amount of the financial asset is reduced by the impairment loss directly for all financial assets </w:t>
      </w:r>
      <w:proofErr w:type="gramStart"/>
      <w:r w:rsidRPr="00B471FD">
        <w:rPr>
          <w:color w:val="000000"/>
        </w:rPr>
        <w:t>with the exception of</w:t>
      </w:r>
      <w:proofErr w:type="gramEnd"/>
      <w:r w:rsidRPr="00B471FD">
        <w:rPr>
          <w:color w:val="000000"/>
        </w:rPr>
        <w:t xml:space="preserve"> trade receivables, where the carrying amount is reduced </w:t>
      </w:r>
      <w:proofErr w:type="gramStart"/>
      <w:r w:rsidRPr="00B471FD">
        <w:rPr>
          <w:color w:val="000000"/>
        </w:rPr>
        <w:t>through the use of</w:t>
      </w:r>
      <w:proofErr w:type="gramEnd"/>
      <w:r w:rsidRPr="00B471FD">
        <w:rPr>
          <w:color w:val="000000"/>
        </w:rPr>
        <w:t xml:space="preserve"> a provisions account.  When a trade receivable is considered uncollectible, it is written off against the related provisions account.  Subsequent recoveries of amounts previously written off are credited to the profit and loss account.  Changes in the carrying amount of the provisions account are recognised in profit or loss.</w:t>
      </w:r>
    </w:p>
    <w:p w14:paraId="1A781F30" w14:textId="77777777" w:rsidR="00B471FD" w:rsidRPr="00B471FD" w:rsidRDefault="00B471FD" w:rsidP="00B471FD">
      <w:pPr>
        <w:rPr>
          <w:color w:val="000000"/>
        </w:rPr>
      </w:pPr>
    </w:p>
    <w:p w14:paraId="0D513A46" w14:textId="77777777" w:rsidR="00B471FD" w:rsidRPr="00B471FD" w:rsidRDefault="00B471FD" w:rsidP="00B471FD">
      <w:pPr>
        <w:rPr>
          <w:color w:val="000000"/>
        </w:rPr>
      </w:pPr>
      <w:r w:rsidRPr="00B471FD">
        <w:rPr>
          <w:color w:val="000000"/>
        </w:rPr>
        <w:t xml:space="preserve">The Company recognises loss allowances for expected credit losses (ECLs) on financial assets measured at amortised cost. The Company measures loss allowances at an amount equal to lifetime ECL, except for other debt securities and bank balances for which credit risk (i.e. the risk </w:t>
      </w:r>
      <w:r w:rsidRPr="00B471FD">
        <w:rPr>
          <w:color w:val="000000"/>
        </w:rPr>
        <w:lastRenderedPageBreak/>
        <w:t>of default occurring over the expected life of the financial instrument) has not increased significantly since initial recognition which are measured as 12-month ECL.</w:t>
      </w:r>
    </w:p>
    <w:p w14:paraId="00354E00" w14:textId="77777777" w:rsidR="00B471FD" w:rsidRPr="00B471FD" w:rsidRDefault="00B471FD" w:rsidP="00B471FD">
      <w:pPr>
        <w:rPr>
          <w:color w:val="000000"/>
        </w:rPr>
      </w:pPr>
    </w:p>
    <w:p w14:paraId="17FDFCD1" w14:textId="77777777" w:rsidR="00B471FD" w:rsidRPr="003F4D72" w:rsidRDefault="00B471FD" w:rsidP="003F4D72">
      <w:pPr>
        <w:pStyle w:val="Heading3"/>
        <w:rPr>
          <w:i/>
          <w:iCs/>
        </w:rPr>
      </w:pPr>
      <w:bookmarkStart w:id="269" w:name="_Toc213058701"/>
      <w:r w:rsidRPr="003F4D72">
        <w:rPr>
          <w:i/>
          <w:iCs/>
        </w:rPr>
        <w:t>Derecognition of Financial Assets</w:t>
      </w:r>
      <w:bookmarkEnd w:id="269"/>
    </w:p>
    <w:p w14:paraId="05D894DB" w14:textId="2550EE06" w:rsidR="00B471FD" w:rsidRPr="00B471FD" w:rsidRDefault="00B471FD" w:rsidP="00B471FD">
      <w:pPr>
        <w:rPr>
          <w:color w:val="000000"/>
        </w:rPr>
      </w:pPr>
      <w:r w:rsidRPr="00B471FD">
        <w:rPr>
          <w:color w:val="000000"/>
        </w:rPr>
        <w:t>The Group derecognises a financial asset only when the contractual rights to the cash flows from the asset expire, or when it transfers the financial asset and substantially all the risks and rewards of ownership of the asset to another entity.  If the Group neither transfers nor retains substantially all the risks and rewards of ownership and continues to control the transferred asset, the Group recognises its retained interest in the asset and an associated liability for amounts it may have to pay.</w:t>
      </w:r>
      <w:r w:rsidR="003F4D72">
        <w:rPr>
          <w:color w:val="000000"/>
        </w:rPr>
        <w:t xml:space="preserve"> </w:t>
      </w:r>
      <w:r w:rsidRPr="00B471FD">
        <w:rPr>
          <w:color w:val="000000"/>
        </w:rPr>
        <w:t xml:space="preserve">If the Group retains substantially all the risks and rewards of ownership of a transferred financial asset, the Group continues to recognise the financial asset </w:t>
      </w:r>
      <w:proofErr w:type="gramStart"/>
      <w:r w:rsidRPr="00B471FD">
        <w:rPr>
          <w:color w:val="000000"/>
        </w:rPr>
        <w:t>and also</w:t>
      </w:r>
      <w:proofErr w:type="gramEnd"/>
      <w:r w:rsidRPr="00B471FD">
        <w:rPr>
          <w:color w:val="000000"/>
        </w:rPr>
        <w:t xml:space="preserve"> recognises a collateralised borrowing for the proceeds received. On derecognition of a financial asset in its entirety, the difference between the asset’s carrying amount and the sum of the consideration received, and receivable is recognised in profit or loss.</w:t>
      </w:r>
    </w:p>
    <w:p w14:paraId="60D33682" w14:textId="77777777" w:rsidR="00B471FD" w:rsidRPr="00B471FD" w:rsidRDefault="00B471FD" w:rsidP="00B471FD">
      <w:pPr>
        <w:rPr>
          <w:color w:val="000000"/>
        </w:rPr>
      </w:pPr>
    </w:p>
    <w:p w14:paraId="21DEF7EB" w14:textId="77777777" w:rsidR="00B471FD" w:rsidRPr="00B471FD" w:rsidRDefault="00B471FD" w:rsidP="003F4D72">
      <w:pPr>
        <w:pStyle w:val="Heading3"/>
      </w:pPr>
      <w:bookmarkStart w:id="270" w:name="_Toc213058702"/>
      <w:r w:rsidRPr="00B471FD">
        <w:t>Financial Liabilities</w:t>
      </w:r>
      <w:bookmarkEnd w:id="270"/>
    </w:p>
    <w:p w14:paraId="01D9C47F" w14:textId="77777777" w:rsidR="00B471FD" w:rsidRPr="00B471FD" w:rsidRDefault="00B471FD" w:rsidP="00B471FD">
      <w:pPr>
        <w:rPr>
          <w:b/>
          <w:bCs/>
          <w:i/>
          <w:iCs/>
        </w:rPr>
      </w:pPr>
      <w:r w:rsidRPr="00B471FD">
        <w:rPr>
          <w:b/>
          <w:bCs/>
          <w:i/>
          <w:iCs/>
        </w:rPr>
        <w:t xml:space="preserve">Derivative Financial Instruments </w:t>
      </w:r>
    </w:p>
    <w:p w14:paraId="1A53F29D" w14:textId="77777777" w:rsidR="00B471FD" w:rsidRPr="00B471FD" w:rsidRDefault="00B471FD" w:rsidP="00B471FD">
      <w:pPr>
        <w:rPr>
          <w:color w:val="000000"/>
        </w:rPr>
      </w:pPr>
      <w:r w:rsidRPr="00B471FD">
        <w:rPr>
          <w:color w:val="000000"/>
        </w:rPr>
        <w:t>Derivative financial instruments are initially recognised at fair value on the date on which a derivative contract is entered into and are subsequently re-measured at fair value at each balance sheet date.  The resulting gain or loss is recognised in profit or loss immediately unless the derivative is effective as a cashflow hedging instrument, in which event the timing of the recognition in profit or loss depends on the nature of the hedge relationship.  Derivatives are carried as financial assets when the fair value is positive and as financial liabilities when the fair value is negative.</w:t>
      </w:r>
    </w:p>
    <w:p w14:paraId="218F268A" w14:textId="77777777" w:rsidR="00B471FD" w:rsidRPr="00B471FD" w:rsidRDefault="00B471FD" w:rsidP="00B471FD">
      <w:pPr>
        <w:rPr>
          <w:color w:val="000000"/>
        </w:rPr>
      </w:pPr>
    </w:p>
    <w:p w14:paraId="0BC63AC7" w14:textId="77777777" w:rsidR="00B471FD" w:rsidRPr="00B471FD" w:rsidRDefault="00B471FD" w:rsidP="00B471FD">
      <w:pPr>
        <w:rPr>
          <w:color w:val="000000"/>
        </w:rPr>
      </w:pPr>
      <w:r w:rsidRPr="00B471FD">
        <w:rPr>
          <w:color w:val="000000"/>
        </w:rPr>
        <w:t>A derivative is presented as a non-current asset or a non-current liability if the remaining maturity of the instrument is more than 12 months and it is not expected to be realised or settled within 12 months.  Other derivatives are presented as current assets or current liabilities.</w:t>
      </w:r>
    </w:p>
    <w:p w14:paraId="4EC99213" w14:textId="77777777" w:rsidR="00B471FD" w:rsidRPr="00B471FD" w:rsidRDefault="00B471FD" w:rsidP="00B471FD">
      <w:pPr>
        <w:rPr>
          <w:color w:val="000000"/>
        </w:rPr>
      </w:pPr>
    </w:p>
    <w:p w14:paraId="25F5BC12" w14:textId="77777777" w:rsidR="00B471FD" w:rsidRPr="00B471FD" w:rsidRDefault="00B471FD" w:rsidP="00B471FD">
      <w:pPr>
        <w:rPr>
          <w:b/>
          <w:bCs/>
          <w:i/>
          <w:iCs/>
        </w:rPr>
      </w:pPr>
      <w:r w:rsidRPr="00B471FD">
        <w:rPr>
          <w:b/>
          <w:bCs/>
          <w:i/>
          <w:iCs/>
        </w:rPr>
        <w:t>Other Financial Liabilities</w:t>
      </w:r>
    </w:p>
    <w:p w14:paraId="5F3CB7DC" w14:textId="77777777" w:rsidR="00B471FD" w:rsidRPr="00B471FD" w:rsidRDefault="00B471FD" w:rsidP="00B471FD">
      <w:pPr>
        <w:rPr>
          <w:color w:val="000000"/>
        </w:rPr>
      </w:pPr>
      <w:r w:rsidRPr="00B471FD">
        <w:rPr>
          <w:color w:val="000000"/>
        </w:rPr>
        <w:t xml:space="preserve">Other financial liabilities, including borrowings, are initially measured at fair value, net of transaction costs. </w:t>
      </w:r>
    </w:p>
    <w:p w14:paraId="37664B0A" w14:textId="77777777" w:rsidR="00B471FD" w:rsidRPr="00B471FD" w:rsidRDefault="00B471FD" w:rsidP="00B471FD">
      <w:pPr>
        <w:rPr>
          <w:color w:val="000000"/>
        </w:rPr>
      </w:pPr>
    </w:p>
    <w:p w14:paraId="6A59897C" w14:textId="77777777" w:rsidR="00B471FD" w:rsidRPr="00B471FD" w:rsidRDefault="00B471FD" w:rsidP="00B471FD">
      <w:pPr>
        <w:rPr>
          <w:color w:val="000000"/>
        </w:rPr>
      </w:pPr>
      <w:r w:rsidRPr="00B471FD">
        <w:rPr>
          <w:color w:val="000000"/>
        </w:rPr>
        <w:t xml:space="preserve">Other financial liabilities are subsequently measured at amortised cost using the effective interest method, with interest expense recognised on an effective yield basis. </w:t>
      </w:r>
    </w:p>
    <w:p w14:paraId="07FC457F" w14:textId="77777777" w:rsidR="00B471FD" w:rsidRPr="00B471FD" w:rsidRDefault="00B471FD" w:rsidP="00B471FD">
      <w:pPr>
        <w:rPr>
          <w:color w:val="000000"/>
        </w:rPr>
      </w:pPr>
    </w:p>
    <w:p w14:paraId="7402DEBE" w14:textId="77777777" w:rsidR="00B471FD" w:rsidRPr="00B471FD" w:rsidRDefault="00B471FD" w:rsidP="00B471FD">
      <w:pPr>
        <w:rPr>
          <w:color w:val="000000"/>
        </w:rPr>
      </w:pPr>
      <w:r w:rsidRPr="00B471FD">
        <w:rPr>
          <w:color w:val="000000"/>
        </w:rPr>
        <w:t>The effective interest method is a method of calculating the amortised cost of a financial liability and of allocating interest expense over the relevant period.  The effective interest rate is the rate that exactly discounts estimated future cash payments through the expected life of the financial liability, or, where appropriate, a shorter period, to the net carrying amount on initial recognition.</w:t>
      </w:r>
    </w:p>
    <w:p w14:paraId="2D281569" w14:textId="77777777" w:rsidR="00B471FD" w:rsidRPr="00B471FD" w:rsidRDefault="00B471FD" w:rsidP="00B471FD">
      <w:pPr>
        <w:rPr>
          <w:color w:val="000000"/>
        </w:rPr>
      </w:pPr>
    </w:p>
    <w:p w14:paraId="75CA36AE" w14:textId="77777777" w:rsidR="00B471FD" w:rsidRPr="00B471FD" w:rsidRDefault="00B471FD" w:rsidP="00B471FD">
      <w:pPr>
        <w:rPr>
          <w:b/>
          <w:bCs/>
          <w:i/>
          <w:iCs/>
        </w:rPr>
      </w:pPr>
      <w:r w:rsidRPr="00B471FD">
        <w:rPr>
          <w:b/>
          <w:bCs/>
          <w:i/>
          <w:iCs/>
        </w:rPr>
        <w:t>Derecognition of Financial Liabilities</w:t>
      </w:r>
    </w:p>
    <w:p w14:paraId="69A0B3BC" w14:textId="77777777" w:rsidR="00B471FD" w:rsidRPr="00B471FD" w:rsidRDefault="00B471FD" w:rsidP="00B471FD">
      <w:pPr>
        <w:rPr>
          <w:color w:val="000000"/>
        </w:rPr>
      </w:pPr>
      <w:r w:rsidRPr="00B471FD">
        <w:rPr>
          <w:color w:val="000000"/>
        </w:rPr>
        <w:t>The Group derecognises financial liabilities when, and only when, the Group’s obligations are discharged, cancelled or have expired.  The difference between the carrying amount of the financial liability derecognised and the consideration paid and payable is recognised in profit or loss.</w:t>
      </w:r>
    </w:p>
    <w:p w14:paraId="551C1D2B" w14:textId="77777777" w:rsidR="00B471FD" w:rsidRPr="00B471FD" w:rsidRDefault="00B471FD" w:rsidP="00B471FD">
      <w:pPr>
        <w:rPr>
          <w:color w:val="000000"/>
        </w:rPr>
      </w:pPr>
    </w:p>
    <w:p w14:paraId="3297EDB6" w14:textId="77777777" w:rsidR="00B471FD" w:rsidRPr="00B471FD" w:rsidRDefault="00B471FD" w:rsidP="003F4D72">
      <w:pPr>
        <w:pStyle w:val="Heading3"/>
      </w:pPr>
      <w:bookmarkStart w:id="271" w:name="_Toc213058703"/>
      <w:r w:rsidRPr="00B471FD">
        <w:t>Cash and Cash Equivalents</w:t>
      </w:r>
      <w:bookmarkEnd w:id="271"/>
    </w:p>
    <w:p w14:paraId="098738F6" w14:textId="77777777" w:rsidR="00B471FD" w:rsidRPr="00B471FD" w:rsidRDefault="00B471FD" w:rsidP="00B471FD">
      <w:pPr>
        <w:rPr>
          <w:color w:val="000000"/>
        </w:rPr>
      </w:pPr>
      <w:r w:rsidRPr="00B471FD">
        <w:rPr>
          <w:color w:val="000000"/>
        </w:rPr>
        <w:t xml:space="preserve">For the purposes of the cash flow statement, cash and cash equivalents comprise cash on hand, deposits held at call with banks and other short-term highly liquid investments. </w:t>
      </w:r>
    </w:p>
    <w:p w14:paraId="23A0E0AE" w14:textId="77777777" w:rsidR="00B471FD" w:rsidRPr="00B471FD" w:rsidRDefault="00B471FD" w:rsidP="00B471FD">
      <w:pPr>
        <w:rPr>
          <w:color w:val="000000"/>
        </w:rPr>
      </w:pPr>
    </w:p>
    <w:p w14:paraId="6DD8263C" w14:textId="77777777" w:rsidR="00B471FD" w:rsidRPr="00B471FD" w:rsidRDefault="00B471FD" w:rsidP="003F4D72">
      <w:pPr>
        <w:pStyle w:val="Heading3"/>
      </w:pPr>
      <w:bookmarkStart w:id="272" w:name="_Toc213058704"/>
      <w:r w:rsidRPr="00B471FD">
        <w:t>Use of Estimates and Critical Judgements</w:t>
      </w:r>
      <w:bookmarkEnd w:id="272"/>
    </w:p>
    <w:p w14:paraId="183FC063" w14:textId="77777777" w:rsidR="00B471FD" w:rsidRPr="00B471FD" w:rsidRDefault="00B471FD" w:rsidP="00B471FD">
      <w:pPr>
        <w:rPr>
          <w:color w:val="000000"/>
        </w:rPr>
      </w:pPr>
      <w:r w:rsidRPr="00B471FD">
        <w:rPr>
          <w:color w:val="000000"/>
        </w:rPr>
        <w:t>The presentation of financial statements in conformity with IFRS requires the use of estimates and assumptions that affect the reported amounts of assets and liabilities at the date of the financial statements and the reported amounts of revenues and expenses for the period.  Although these estimates are based on management’s best knowledge, actual results may ultimately differ from those estimates and assumptions used.</w:t>
      </w:r>
    </w:p>
    <w:p w14:paraId="67A99577" w14:textId="77777777" w:rsidR="00B471FD" w:rsidRDefault="00B471FD" w:rsidP="00B471FD">
      <w:pPr>
        <w:rPr>
          <w:color w:val="000000"/>
        </w:rPr>
      </w:pPr>
    </w:p>
    <w:p w14:paraId="60C461B7" w14:textId="1E1A07CA" w:rsidR="00B471FD" w:rsidRPr="00B471FD" w:rsidRDefault="00B471FD" w:rsidP="00B471FD">
      <w:pPr>
        <w:rPr>
          <w:color w:val="000000"/>
        </w:rPr>
      </w:pPr>
      <w:r w:rsidRPr="00B471FD">
        <w:rPr>
          <w:color w:val="000000"/>
        </w:rPr>
        <w:t xml:space="preserve">The key sources of estimation uncertainty that have a significant risk of causing material adjustments to the carrying amounts of assets and liabilities within the next financial </w:t>
      </w:r>
      <w:r w:rsidRPr="00B471FD">
        <w:rPr>
          <w:color w:val="000000"/>
        </w:rPr>
        <w:br/>
        <w:t>year are:</w:t>
      </w:r>
    </w:p>
    <w:p w14:paraId="68E59BD2" w14:textId="77777777" w:rsidR="00B471FD" w:rsidRPr="00B471FD" w:rsidRDefault="00B471FD" w:rsidP="00B471FD">
      <w:pPr>
        <w:rPr>
          <w:color w:val="000000"/>
        </w:rPr>
      </w:pPr>
    </w:p>
    <w:p w14:paraId="4B97A82C" w14:textId="6FD7E233" w:rsidR="00B471FD" w:rsidRPr="00B471FD" w:rsidRDefault="00B471FD" w:rsidP="00B471FD">
      <w:pPr>
        <w:pStyle w:val="ListParagraph"/>
        <w:numPr>
          <w:ilvl w:val="0"/>
          <w:numId w:val="81"/>
        </w:numPr>
        <w:rPr>
          <w:color w:val="000000"/>
        </w:rPr>
      </w:pPr>
      <w:r w:rsidRPr="00B471FD">
        <w:rPr>
          <w:color w:val="000000"/>
        </w:rPr>
        <w:t xml:space="preserve">the measurement of tax assets and liabilities (including recoverability of deferred tax assets).  The measurement of tax assets and liabilities requires an assessment to be made of the potential tax consequences of certain items that will only be resolved when agreed by the relevant tax authorities (see note 9).  </w:t>
      </w:r>
    </w:p>
    <w:p w14:paraId="141B7482" w14:textId="480DB4EA" w:rsidR="00B471FD" w:rsidRPr="00B471FD" w:rsidRDefault="00B471FD" w:rsidP="00B471FD">
      <w:pPr>
        <w:pStyle w:val="ListParagraph"/>
        <w:numPr>
          <w:ilvl w:val="0"/>
          <w:numId w:val="81"/>
        </w:numPr>
        <w:rPr>
          <w:color w:val="000000"/>
        </w:rPr>
      </w:pPr>
      <w:r w:rsidRPr="00B471FD">
        <w:rPr>
          <w:color w:val="000000"/>
        </w:rPr>
        <w:t xml:space="preserve">the measurement of retirement obligations. The measurement of retirement benefit obligations requires the estimation of life expectancies, future changes in salaries, inflation, </w:t>
      </w:r>
      <w:r w:rsidRPr="00B471FD">
        <w:rPr>
          <w:color w:val="000000"/>
        </w:rPr>
        <w:lastRenderedPageBreak/>
        <w:t xml:space="preserve">the expected return on scheme assets and the selection of a suitable discount rate (see note 20).  </w:t>
      </w:r>
    </w:p>
    <w:p w14:paraId="7C514E81" w14:textId="50E24E8C" w:rsidR="00B471FD" w:rsidRPr="00B471FD" w:rsidRDefault="00B471FD" w:rsidP="00B471FD">
      <w:pPr>
        <w:pStyle w:val="ListParagraph"/>
        <w:numPr>
          <w:ilvl w:val="0"/>
          <w:numId w:val="81"/>
        </w:numPr>
        <w:rPr>
          <w:color w:val="000000"/>
        </w:rPr>
      </w:pPr>
      <w:r w:rsidRPr="00B471FD">
        <w:rPr>
          <w:color w:val="000000"/>
        </w:rPr>
        <w:t xml:space="preserve">the measurement of investment property carrying values.  The measurement of investment properties fair values requires estimate of appropriate yields and forecast rental values (see note 12).  </w:t>
      </w:r>
    </w:p>
    <w:p w14:paraId="563D9C4E" w14:textId="14EC2D06" w:rsidR="00B471FD" w:rsidRPr="00B471FD" w:rsidRDefault="00B471FD" w:rsidP="00B471FD">
      <w:pPr>
        <w:pStyle w:val="ListParagraph"/>
        <w:numPr>
          <w:ilvl w:val="0"/>
          <w:numId w:val="81"/>
        </w:numPr>
        <w:rPr>
          <w:color w:val="000000"/>
        </w:rPr>
      </w:pPr>
      <w:r w:rsidRPr="00B471FD">
        <w:rPr>
          <w:color w:val="000000"/>
        </w:rPr>
        <w:t>the measurement of impairment of fixed assets. The measurement of impairment requires the comparison of book value with market value (see note 11).</w:t>
      </w:r>
    </w:p>
    <w:p w14:paraId="14A23654" w14:textId="438802B1" w:rsidR="00B471FD" w:rsidRPr="00B471FD" w:rsidRDefault="00B471FD" w:rsidP="00B471FD">
      <w:pPr>
        <w:pStyle w:val="ListParagraph"/>
        <w:numPr>
          <w:ilvl w:val="0"/>
          <w:numId w:val="81"/>
        </w:numPr>
        <w:rPr>
          <w:color w:val="000000"/>
        </w:rPr>
      </w:pPr>
      <w:r w:rsidRPr="00B471FD">
        <w:rPr>
          <w:color w:val="000000"/>
        </w:rPr>
        <w:t>The measurement of the fair value of derivative financial instruments is based on information provided by banking institutions with high credit ratings (see note 22).</w:t>
      </w:r>
    </w:p>
    <w:p w14:paraId="2E0AEDC3" w14:textId="53DC0D07" w:rsidR="00B471FD" w:rsidRPr="00B471FD" w:rsidRDefault="00B471FD" w:rsidP="00B471FD">
      <w:pPr>
        <w:pStyle w:val="ListParagraph"/>
        <w:numPr>
          <w:ilvl w:val="0"/>
          <w:numId w:val="81"/>
        </w:numPr>
        <w:rPr>
          <w:color w:val="000000"/>
        </w:rPr>
      </w:pPr>
      <w:r w:rsidRPr="00B471FD">
        <w:rPr>
          <w:color w:val="000000"/>
        </w:rPr>
        <w:t>the measurement of third party and other claims provisions.  The estimation of the third-party claims provision is based on an assessment of the expected settlement of known claims together with an estimate of settlements that will be made in respect of incidents occurring prior to the balance sheet date but for which claims have not yet been reported to the Group (see note 17).</w:t>
      </w:r>
    </w:p>
    <w:p w14:paraId="745022FC" w14:textId="77777777" w:rsidR="00B471FD" w:rsidRPr="00B471FD" w:rsidRDefault="00B471FD" w:rsidP="00B471FD">
      <w:pPr>
        <w:rPr>
          <w:color w:val="000000"/>
        </w:rPr>
      </w:pPr>
      <w:r w:rsidRPr="00B471FD">
        <w:rPr>
          <w:color w:val="000000"/>
        </w:rPr>
        <w:t> </w:t>
      </w:r>
    </w:p>
    <w:p w14:paraId="1822E3AB" w14:textId="497FDEB1" w:rsidR="00B471FD" w:rsidRPr="003F4D72" w:rsidRDefault="00B471FD" w:rsidP="003F4D72">
      <w:pPr>
        <w:pStyle w:val="Heading2"/>
      </w:pPr>
      <w:bookmarkStart w:id="273" w:name="_Toc213058705"/>
      <w:r w:rsidRPr="00B471FD">
        <w:t>3. Application of New and Revised International Financial Reporting Standards (IFRSs)</w:t>
      </w:r>
      <w:bookmarkEnd w:id="273"/>
    </w:p>
    <w:p w14:paraId="5DF0532C" w14:textId="77777777" w:rsidR="00B471FD" w:rsidRPr="00B471FD" w:rsidRDefault="00B471FD" w:rsidP="003F4D72">
      <w:pPr>
        <w:pStyle w:val="Heading3"/>
      </w:pPr>
      <w:bookmarkStart w:id="274" w:name="_Toc213058706"/>
      <w:r w:rsidRPr="00B471FD">
        <w:t>New Accounting Standards, Amendments and Interpretations</w:t>
      </w:r>
      <w:bookmarkEnd w:id="274"/>
    </w:p>
    <w:p w14:paraId="67B3AE7A" w14:textId="77777777" w:rsidR="00B471FD" w:rsidRPr="00B471FD" w:rsidRDefault="00B471FD" w:rsidP="00B471FD">
      <w:pPr>
        <w:rPr>
          <w:color w:val="000000"/>
        </w:rPr>
      </w:pPr>
      <w:r w:rsidRPr="00B471FD">
        <w:rPr>
          <w:color w:val="000000"/>
        </w:rPr>
        <w:t xml:space="preserve">The accounting policies that follow are consistent with those of the previous period, </w:t>
      </w:r>
      <w:proofErr w:type="gramStart"/>
      <w:r w:rsidRPr="00B471FD">
        <w:rPr>
          <w:color w:val="000000"/>
        </w:rPr>
        <w:t>with the exception of</w:t>
      </w:r>
      <w:proofErr w:type="gramEnd"/>
      <w:r w:rsidRPr="00B471FD">
        <w:rPr>
          <w:color w:val="000000"/>
        </w:rPr>
        <w:t xml:space="preserve"> the following standards, amendments and interpretations which are effective for the period ended 30 March 2025:</w:t>
      </w:r>
    </w:p>
    <w:p w14:paraId="733962F2" w14:textId="77777777" w:rsidR="00B471FD" w:rsidRPr="00B471FD" w:rsidRDefault="00B471FD" w:rsidP="00B471FD">
      <w:pPr>
        <w:rPr>
          <w:color w:val="000000"/>
        </w:rPr>
      </w:pPr>
    </w:p>
    <w:p w14:paraId="7B95DBF1" w14:textId="3B1518FA" w:rsidR="00B471FD" w:rsidRPr="00B471FD" w:rsidRDefault="00B471FD" w:rsidP="00B471FD">
      <w:pPr>
        <w:pStyle w:val="ListParagraph"/>
        <w:numPr>
          <w:ilvl w:val="0"/>
          <w:numId w:val="82"/>
        </w:numPr>
        <w:rPr>
          <w:color w:val="000000"/>
        </w:rPr>
      </w:pPr>
      <w:r w:rsidRPr="00B471FD">
        <w:rPr>
          <w:color w:val="000000"/>
        </w:rPr>
        <w:t xml:space="preserve">Classification of Liabilities as Current or Non-current liabilities with covenants - Amendments to IAS </w:t>
      </w:r>
      <w:proofErr w:type="gramStart"/>
      <w:r w:rsidRPr="00B471FD">
        <w:rPr>
          <w:color w:val="000000"/>
        </w:rPr>
        <w:t>1;</w:t>
      </w:r>
      <w:proofErr w:type="gramEnd"/>
    </w:p>
    <w:p w14:paraId="3F239A52" w14:textId="533BC591" w:rsidR="00B471FD" w:rsidRPr="00B471FD" w:rsidRDefault="00B471FD" w:rsidP="00B471FD">
      <w:pPr>
        <w:pStyle w:val="ListParagraph"/>
        <w:numPr>
          <w:ilvl w:val="0"/>
          <w:numId w:val="82"/>
        </w:numPr>
        <w:rPr>
          <w:color w:val="000000"/>
        </w:rPr>
      </w:pPr>
      <w:r w:rsidRPr="00B471FD">
        <w:rPr>
          <w:color w:val="000000"/>
        </w:rPr>
        <w:t>Lease Liability in Sale and Leaseback - Amendments to IFRS 16; and</w:t>
      </w:r>
    </w:p>
    <w:p w14:paraId="53E419AC" w14:textId="37171C39" w:rsidR="00B471FD" w:rsidRPr="00B471FD" w:rsidRDefault="00B471FD" w:rsidP="00B471FD">
      <w:pPr>
        <w:pStyle w:val="ListParagraph"/>
        <w:numPr>
          <w:ilvl w:val="0"/>
          <w:numId w:val="82"/>
        </w:numPr>
        <w:rPr>
          <w:color w:val="000000"/>
        </w:rPr>
      </w:pPr>
      <w:r w:rsidRPr="00B471FD">
        <w:rPr>
          <w:color w:val="000000"/>
        </w:rPr>
        <w:t xml:space="preserve">Supplier Finance Arrangements - Amendments to IAS 7 and IFRS 7. </w:t>
      </w:r>
    </w:p>
    <w:p w14:paraId="70B9CC2D" w14:textId="77777777" w:rsidR="00B471FD" w:rsidRPr="00B471FD" w:rsidRDefault="00B471FD" w:rsidP="00B471FD">
      <w:pPr>
        <w:rPr>
          <w:color w:val="000000"/>
        </w:rPr>
      </w:pPr>
    </w:p>
    <w:p w14:paraId="22DABB62" w14:textId="77777777" w:rsidR="00B471FD" w:rsidRPr="00B471FD" w:rsidRDefault="00B471FD" w:rsidP="00B471FD">
      <w:pPr>
        <w:rPr>
          <w:color w:val="000000"/>
        </w:rPr>
      </w:pPr>
      <w:r w:rsidRPr="00B471FD">
        <w:rPr>
          <w:color w:val="000000"/>
        </w:rPr>
        <w:t xml:space="preserve">The amendments listed above are not considered to have a material impact on the financial statements of the Company. </w:t>
      </w:r>
    </w:p>
    <w:p w14:paraId="3C535AC5" w14:textId="77777777" w:rsidR="00B471FD" w:rsidRPr="00B471FD" w:rsidRDefault="00B471FD" w:rsidP="00B471FD">
      <w:pPr>
        <w:rPr>
          <w:color w:val="000000"/>
          <w:spacing w:val="-2"/>
        </w:rPr>
      </w:pPr>
      <w:r w:rsidRPr="00B471FD">
        <w:rPr>
          <w:color w:val="000000"/>
          <w:spacing w:val="-2"/>
        </w:rPr>
        <w:t>The following new accounting standards and interpretations have been published but are not mandatory for 30 March 2025:</w:t>
      </w:r>
      <w:r w:rsidRPr="00B471FD">
        <w:rPr>
          <w:color w:val="000000"/>
          <w:spacing w:val="-2"/>
        </w:rPr>
        <w:br/>
        <w:t xml:space="preserve"> </w:t>
      </w:r>
    </w:p>
    <w:p w14:paraId="64CE0BEF" w14:textId="1F58E510" w:rsidR="00B471FD" w:rsidRPr="00A06BD6" w:rsidRDefault="00B471FD" w:rsidP="00A06BD6">
      <w:pPr>
        <w:pStyle w:val="ListParagraph"/>
        <w:numPr>
          <w:ilvl w:val="0"/>
          <w:numId w:val="83"/>
        </w:numPr>
        <w:rPr>
          <w:color w:val="000000"/>
        </w:rPr>
      </w:pPr>
      <w:r w:rsidRPr="00A06BD6">
        <w:rPr>
          <w:color w:val="000000"/>
        </w:rPr>
        <w:t xml:space="preserve">IFRS18 Presentation and disclosure in the financial </w:t>
      </w:r>
      <w:proofErr w:type="gramStart"/>
      <w:r w:rsidRPr="00A06BD6">
        <w:rPr>
          <w:color w:val="000000"/>
        </w:rPr>
        <w:t>statements;</w:t>
      </w:r>
      <w:proofErr w:type="gramEnd"/>
    </w:p>
    <w:p w14:paraId="4FACBDE5" w14:textId="305856CD" w:rsidR="00B471FD" w:rsidRPr="00A06BD6" w:rsidRDefault="00B471FD" w:rsidP="00A06BD6">
      <w:pPr>
        <w:pStyle w:val="ListParagraph"/>
        <w:numPr>
          <w:ilvl w:val="0"/>
          <w:numId w:val="83"/>
        </w:numPr>
        <w:rPr>
          <w:color w:val="000000"/>
        </w:rPr>
      </w:pPr>
      <w:r w:rsidRPr="00A06BD6">
        <w:rPr>
          <w:color w:val="000000"/>
        </w:rPr>
        <w:t>Amendments to IAS 21 - Lack of exchangeability; and</w:t>
      </w:r>
    </w:p>
    <w:p w14:paraId="30FDCD83" w14:textId="4806D4F5" w:rsidR="00B471FD" w:rsidRPr="00A06BD6" w:rsidRDefault="00B471FD" w:rsidP="00A06BD6">
      <w:pPr>
        <w:pStyle w:val="ListParagraph"/>
        <w:numPr>
          <w:ilvl w:val="0"/>
          <w:numId w:val="83"/>
        </w:numPr>
        <w:rPr>
          <w:color w:val="000000"/>
        </w:rPr>
      </w:pPr>
      <w:r w:rsidRPr="00A06BD6">
        <w:rPr>
          <w:color w:val="000000"/>
        </w:rPr>
        <w:lastRenderedPageBreak/>
        <w:t xml:space="preserve">Amendments to IFRS 9 and IFRS 7 - Amendments to the classification and measurement of financial instruments. </w:t>
      </w:r>
    </w:p>
    <w:p w14:paraId="13C1F3D5" w14:textId="77777777" w:rsidR="00B471FD" w:rsidRPr="00B471FD" w:rsidRDefault="00B471FD" w:rsidP="00B471FD">
      <w:pPr>
        <w:rPr>
          <w:color w:val="000000"/>
        </w:rPr>
      </w:pPr>
    </w:p>
    <w:p w14:paraId="12B3F2AC" w14:textId="77777777" w:rsidR="00B471FD" w:rsidRPr="00B471FD" w:rsidRDefault="00B471FD" w:rsidP="00B471FD">
      <w:pPr>
        <w:rPr>
          <w:color w:val="000000"/>
        </w:rPr>
      </w:pPr>
      <w:r w:rsidRPr="00B471FD">
        <w:rPr>
          <w:color w:val="000000"/>
        </w:rPr>
        <w:t xml:space="preserve">These amendments have not been early adopted by the Company. The impact assessment is </w:t>
      </w:r>
      <w:proofErr w:type="gramStart"/>
      <w:r w:rsidRPr="00B471FD">
        <w:rPr>
          <w:color w:val="000000"/>
        </w:rPr>
        <w:t>ongoing,</w:t>
      </w:r>
      <w:proofErr w:type="gramEnd"/>
      <w:r w:rsidRPr="00B471FD">
        <w:rPr>
          <w:color w:val="000000"/>
        </w:rPr>
        <w:t xml:space="preserve"> however it is expected that IFRS 18 will have a significant impact on the presentation of the financial statements. The new accounting standard does not impact the recognition and measurement of the financial </w:t>
      </w:r>
      <w:proofErr w:type="gramStart"/>
      <w:r w:rsidRPr="00B471FD">
        <w:rPr>
          <w:color w:val="000000"/>
        </w:rPr>
        <w:t>statements,</w:t>
      </w:r>
      <w:proofErr w:type="gramEnd"/>
      <w:r w:rsidRPr="00B471FD">
        <w:rPr>
          <w:color w:val="000000"/>
        </w:rPr>
        <w:t xml:space="preserve"> however, it will significantly alter the income statement and related disclosures. The Company is currently considering the requirements of the new standard and the implications for the financial statements. The initial view is that the following areas may be impacted:</w:t>
      </w:r>
    </w:p>
    <w:p w14:paraId="1C715E1E" w14:textId="77777777" w:rsidR="00B471FD" w:rsidRPr="00B471FD" w:rsidRDefault="00B471FD" w:rsidP="00B471FD">
      <w:pPr>
        <w:rPr>
          <w:color w:val="000000"/>
        </w:rPr>
      </w:pPr>
    </w:p>
    <w:p w14:paraId="44347020" w14:textId="0308518B" w:rsidR="00B471FD" w:rsidRPr="00A06BD6" w:rsidRDefault="00B471FD" w:rsidP="00A06BD6">
      <w:pPr>
        <w:pStyle w:val="ListParagraph"/>
        <w:numPr>
          <w:ilvl w:val="0"/>
          <w:numId w:val="84"/>
        </w:numPr>
        <w:rPr>
          <w:color w:val="000000"/>
        </w:rPr>
      </w:pPr>
      <w:r w:rsidRPr="00A06BD6">
        <w:rPr>
          <w:color w:val="000000"/>
        </w:rPr>
        <w:t xml:space="preserve">The line items presented in the income statement may change </w:t>
      </w:r>
      <w:proofErr w:type="gramStart"/>
      <w:r w:rsidRPr="00A06BD6">
        <w:rPr>
          <w:color w:val="000000"/>
        </w:rPr>
        <w:t>as a result of</w:t>
      </w:r>
      <w:proofErr w:type="gramEnd"/>
      <w:r w:rsidRPr="00A06BD6">
        <w:rPr>
          <w:color w:val="000000"/>
        </w:rPr>
        <w:t xml:space="preserve"> revised aggregation and disaggregation of information. This will also impact the disclosures in related notes.</w:t>
      </w:r>
    </w:p>
    <w:p w14:paraId="2ABE638D" w14:textId="712CE8AE" w:rsidR="00B471FD" w:rsidRPr="00A06BD6" w:rsidRDefault="00B471FD" w:rsidP="00A06BD6">
      <w:pPr>
        <w:pStyle w:val="ListParagraph"/>
        <w:numPr>
          <w:ilvl w:val="0"/>
          <w:numId w:val="84"/>
        </w:numPr>
        <w:rPr>
          <w:color w:val="000000"/>
        </w:rPr>
      </w:pPr>
      <w:r w:rsidRPr="00A06BD6">
        <w:rPr>
          <w:color w:val="000000"/>
        </w:rPr>
        <w:t>The presentation of the income statement.</w:t>
      </w:r>
    </w:p>
    <w:p w14:paraId="64FDEF96" w14:textId="21591703" w:rsidR="00B471FD" w:rsidRPr="00A06BD6" w:rsidRDefault="00B471FD" w:rsidP="00A06BD6">
      <w:pPr>
        <w:pStyle w:val="ListParagraph"/>
        <w:numPr>
          <w:ilvl w:val="0"/>
          <w:numId w:val="84"/>
        </w:numPr>
        <w:rPr>
          <w:color w:val="000000"/>
        </w:rPr>
      </w:pPr>
      <w:r w:rsidRPr="00A06BD6">
        <w:rPr>
          <w:color w:val="000000"/>
        </w:rPr>
        <w:t>There will also be significant new disclosures for Management Performance Measures (MPM) and a breakdown of the nature of expenses for line items presented in the income statement. This disclosure will be dependent on the method of disclosure in the</w:t>
      </w:r>
      <w:r w:rsidRPr="00A06BD6">
        <w:rPr>
          <w:color w:val="000000"/>
        </w:rPr>
        <w:br/>
        <w:t>income statement.</w:t>
      </w:r>
    </w:p>
    <w:p w14:paraId="7CDD45C0" w14:textId="71D49CE9" w:rsidR="00B471FD" w:rsidRPr="00A06BD6" w:rsidRDefault="00B471FD" w:rsidP="00A06BD6">
      <w:pPr>
        <w:pStyle w:val="ListParagraph"/>
        <w:numPr>
          <w:ilvl w:val="0"/>
          <w:numId w:val="84"/>
        </w:numPr>
        <w:rPr>
          <w:color w:val="000000"/>
        </w:rPr>
      </w:pPr>
      <w:r w:rsidRPr="00A06BD6">
        <w:rPr>
          <w:color w:val="000000"/>
        </w:rPr>
        <w:t>For the first annual period of application of IFRS 18 a reconciliation will be provided between the amounts previously presented under IAS 1 and the revised presentation under IFRS 18.</w:t>
      </w:r>
    </w:p>
    <w:p w14:paraId="4FC9C50B" w14:textId="77777777" w:rsidR="00B471FD" w:rsidRPr="00B471FD" w:rsidRDefault="00B471FD" w:rsidP="00B471FD">
      <w:pPr>
        <w:rPr>
          <w:color w:val="000000"/>
        </w:rPr>
      </w:pPr>
    </w:p>
    <w:p w14:paraId="0A991F3A" w14:textId="77777777" w:rsidR="00B471FD" w:rsidRPr="00B471FD" w:rsidRDefault="00B471FD" w:rsidP="00B471FD">
      <w:pPr>
        <w:rPr>
          <w:color w:val="000000"/>
        </w:rPr>
      </w:pPr>
      <w:r w:rsidRPr="00B471FD">
        <w:rPr>
          <w:color w:val="000000"/>
        </w:rPr>
        <w:t>From initial review, the amendments to IAS 21, IFRS 9 and IFRS 7 are not expected to have a material impact on the Company in the current or future reporting periods.</w:t>
      </w:r>
    </w:p>
    <w:p w14:paraId="2F4F9A96" w14:textId="77777777" w:rsidR="00B471FD" w:rsidRPr="00B471FD" w:rsidRDefault="00B471FD" w:rsidP="00B471FD">
      <w:pPr>
        <w:rPr>
          <w:color w:val="000000"/>
        </w:rPr>
      </w:pPr>
    </w:p>
    <w:p w14:paraId="1BEA2DE8" w14:textId="77777777" w:rsidR="00B471FD" w:rsidRPr="00A06BD6" w:rsidRDefault="00B471FD" w:rsidP="003F4D72">
      <w:pPr>
        <w:pStyle w:val="Heading2"/>
      </w:pPr>
      <w:bookmarkStart w:id="275" w:name="_Toc213058707"/>
      <w:r w:rsidRPr="00A06BD6">
        <w:t>4. Revenue</w:t>
      </w:r>
      <w:bookmarkEnd w:id="275"/>
    </w:p>
    <w:p w14:paraId="01EFE6B7" w14:textId="2C9B6805" w:rsidR="00B471FD" w:rsidRPr="00B471FD" w:rsidRDefault="00B471FD" w:rsidP="00B471FD">
      <w:pPr>
        <w:rPr>
          <w:color w:val="000000"/>
        </w:rPr>
      </w:pPr>
      <w:r w:rsidRPr="00B471FD">
        <w:rPr>
          <w:color w:val="000000"/>
        </w:rPr>
        <w:t>Revenue comprises mainly income from passenger carriage, rents, the reimbursement by the Department of concessionary fares and public service obligation compensation.</w:t>
      </w:r>
      <w:r w:rsidR="00A06BD6">
        <w:rPr>
          <w:color w:val="000000"/>
        </w:rPr>
        <w:t xml:space="preserve"> </w:t>
      </w:r>
      <w:r w:rsidRPr="00B471FD">
        <w:rPr>
          <w:color w:val="000000"/>
        </w:rPr>
        <w:t xml:space="preserve">Revenue excludes value added tax where applicable.  </w:t>
      </w:r>
    </w:p>
    <w:p w14:paraId="6B72AE41" w14:textId="77777777" w:rsidR="00B471FD" w:rsidRPr="00B471FD" w:rsidRDefault="00B471FD" w:rsidP="00B471FD">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ascii="Axiforma" w:hAnsi="Axiforma" w:cs="Axiforma"/>
          <w:color w:val="000000"/>
          <w:sz w:val="16"/>
          <w:szCs w:val="16"/>
        </w:rPr>
      </w:pPr>
    </w:p>
    <w:tbl>
      <w:tblPr>
        <w:tblStyle w:val="TableGrid"/>
        <w:tblW w:w="0" w:type="auto"/>
        <w:tblLayout w:type="fixed"/>
        <w:tblLook w:val="0000" w:firstRow="0" w:lastRow="0" w:firstColumn="0" w:lastColumn="0" w:noHBand="0" w:noVBand="0"/>
      </w:tblPr>
      <w:tblGrid>
        <w:gridCol w:w="3256"/>
        <w:gridCol w:w="1275"/>
        <w:gridCol w:w="1276"/>
      </w:tblGrid>
      <w:tr w:rsidR="00B471FD" w:rsidRPr="00B471FD" w14:paraId="4C3D6492" w14:textId="77777777" w:rsidTr="00A06BD6">
        <w:trPr>
          <w:trHeight w:val="283"/>
        </w:trPr>
        <w:tc>
          <w:tcPr>
            <w:tcW w:w="3256" w:type="dxa"/>
          </w:tcPr>
          <w:p w14:paraId="2993E12A" w14:textId="77777777" w:rsidR="00B471FD" w:rsidRPr="00B471FD" w:rsidRDefault="00B471FD" w:rsidP="00A06BD6">
            <w:pPr>
              <w:autoSpaceDE w:val="0"/>
              <w:autoSpaceDN w:val="0"/>
              <w:adjustRightInd w:val="0"/>
              <w:spacing w:line="240" w:lineRule="auto"/>
              <w:rPr>
                <w:rFonts w:cs="Arial"/>
                <w:color w:val="000000" w:themeColor="text1"/>
                <w:sz w:val="20"/>
                <w:szCs w:val="20"/>
              </w:rPr>
            </w:pPr>
          </w:p>
        </w:tc>
        <w:tc>
          <w:tcPr>
            <w:tcW w:w="1275" w:type="dxa"/>
          </w:tcPr>
          <w:p w14:paraId="2931C1BB" w14:textId="77777777" w:rsidR="00B471FD" w:rsidRPr="00A06BD6"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14:textOutline w14:w="9525" w14:cap="flat" w14:cmpd="sng" w14:algn="ctr">
                  <w14:noFill/>
                  <w14:prstDash w14:val="solid"/>
                  <w14:round/>
                </w14:textOutline>
              </w:rPr>
            </w:pPr>
            <w:r w:rsidRPr="00A06BD6">
              <w:rPr>
                <w:rFonts w:cs="Arial"/>
                <w:b/>
                <w:bCs/>
                <w:color w:val="000000" w:themeColor="text1"/>
                <w:sz w:val="20"/>
                <w:szCs w:val="20"/>
                <w14:textOutline w14:w="9525" w14:cap="flat" w14:cmpd="sng" w14:algn="ctr">
                  <w14:noFill/>
                  <w14:prstDash w14:val="solid"/>
                  <w14:round/>
                </w14:textOutline>
              </w:rPr>
              <w:t xml:space="preserve">2025 </w:t>
            </w:r>
          </w:p>
          <w:p w14:paraId="74E1E29F"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06BD6">
              <w:rPr>
                <w:rFonts w:cs="Arial"/>
                <w:b/>
                <w:bCs/>
                <w:color w:val="000000" w:themeColor="text1"/>
                <w:sz w:val="20"/>
                <w:szCs w:val="20"/>
                <w14:textOutline w14:w="9525" w14:cap="flat" w14:cmpd="sng" w14:algn="ctr">
                  <w14:noFill/>
                  <w14:prstDash w14:val="solid"/>
                  <w14:round/>
                </w14:textOutline>
              </w:rPr>
              <w:t>£’000</w:t>
            </w:r>
          </w:p>
        </w:tc>
        <w:tc>
          <w:tcPr>
            <w:tcW w:w="1276" w:type="dxa"/>
          </w:tcPr>
          <w:p w14:paraId="18BFD6BD" w14:textId="77777777" w:rsidR="00B471FD" w:rsidRPr="00A06BD6"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14:textOutline w14:w="9525" w14:cap="flat" w14:cmpd="sng" w14:algn="ctr">
                  <w14:noFill/>
                  <w14:prstDash w14:val="solid"/>
                  <w14:round/>
                </w14:textOutline>
              </w:rPr>
            </w:pPr>
            <w:r w:rsidRPr="00A06BD6">
              <w:rPr>
                <w:rFonts w:cs="Arial"/>
                <w:b/>
                <w:bCs/>
                <w:color w:val="000000" w:themeColor="text1"/>
                <w:sz w:val="20"/>
                <w:szCs w:val="20"/>
                <w14:textOutline w14:w="9525" w14:cap="flat" w14:cmpd="sng" w14:algn="ctr">
                  <w14:noFill/>
                  <w14:prstDash w14:val="solid"/>
                  <w14:round/>
                </w14:textOutline>
              </w:rPr>
              <w:t>2024</w:t>
            </w:r>
          </w:p>
          <w:p w14:paraId="129DD692"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06BD6">
              <w:rPr>
                <w:rFonts w:cs="Arial"/>
                <w:b/>
                <w:bCs/>
                <w:color w:val="000000" w:themeColor="text1"/>
                <w:sz w:val="20"/>
                <w:szCs w:val="20"/>
                <w14:textOutline w14:w="9525" w14:cap="flat" w14:cmpd="sng" w14:algn="ctr">
                  <w14:noFill/>
                  <w14:prstDash w14:val="solid"/>
                  <w14:round/>
                </w14:textOutline>
              </w:rPr>
              <w:t>£’000</w:t>
            </w:r>
          </w:p>
        </w:tc>
      </w:tr>
      <w:tr w:rsidR="00B471FD" w:rsidRPr="00B471FD" w14:paraId="3A828878" w14:textId="77777777" w:rsidTr="00A06BD6">
        <w:trPr>
          <w:trHeight w:val="283"/>
        </w:trPr>
        <w:tc>
          <w:tcPr>
            <w:tcW w:w="3256" w:type="dxa"/>
          </w:tcPr>
          <w:p w14:paraId="6A482475" w14:textId="77777777" w:rsidR="00B471FD" w:rsidRPr="00B471FD" w:rsidRDefault="00B471FD" w:rsidP="00A06BD6">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B471FD">
              <w:rPr>
                <w:rFonts w:cs="Arial"/>
                <w:color w:val="000000" w:themeColor="text1"/>
                <w:sz w:val="20"/>
                <w:szCs w:val="20"/>
              </w:rPr>
              <w:t>Passenger carriage</w:t>
            </w:r>
          </w:p>
        </w:tc>
        <w:tc>
          <w:tcPr>
            <w:tcW w:w="1275" w:type="dxa"/>
          </w:tcPr>
          <w:p w14:paraId="6CAB7A29"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167,765</w:t>
            </w:r>
          </w:p>
        </w:tc>
        <w:tc>
          <w:tcPr>
            <w:tcW w:w="1276" w:type="dxa"/>
          </w:tcPr>
          <w:p w14:paraId="097A790C"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152,389</w:t>
            </w:r>
          </w:p>
        </w:tc>
      </w:tr>
      <w:tr w:rsidR="00B471FD" w:rsidRPr="00B471FD" w14:paraId="40343616" w14:textId="77777777" w:rsidTr="00A06BD6">
        <w:trPr>
          <w:trHeight w:val="283"/>
        </w:trPr>
        <w:tc>
          <w:tcPr>
            <w:tcW w:w="3256" w:type="dxa"/>
          </w:tcPr>
          <w:p w14:paraId="3CBA2588" w14:textId="77777777" w:rsidR="00B471FD" w:rsidRPr="00B471FD" w:rsidRDefault="00B471FD" w:rsidP="00A06BD6">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B471FD">
              <w:rPr>
                <w:rFonts w:cs="Arial"/>
                <w:color w:val="000000" w:themeColor="text1"/>
                <w:sz w:val="20"/>
                <w:szCs w:val="20"/>
              </w:rPr>
              <w:t>Rental income from investment and operational properties</w:t>
            </w:r>
          </w:p>
        </w:tc>
        <w:tc>
          <w:tcPr>
            <w:tcW w:w="1275" w:type="dxa"/>
          </w:tcPr>
          <w:p w14:paraId="4C3EA640"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4,752</w:t>
            </w:r>
          </w:p>
        </w:tc>
        <w:tc>
          <w:tcPr>
            <w:tcW w:w="1276" w:type="dxa"/>
          </w:tcPr>
          <w:p w14:paraId="1A7CC8E8"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4,823</w:t>
            </w:r>
          </w:p>
        </w:tc>
      </w:tr>
      <w:tr w:rsidR="00B471FD" w:rsidRPr="00B471FD" w14:paraId="4423FE0B" w14:textId="77777777" w:rsidTr="00A06BD6">
        <w:trPr>
          <w:trHeight w:val="283"/>
        </w:trPr>
        <w:tc>
          <w:tcPr>
            <w:tcW w:w="3256" w:type="dxa"/>
          </w:tcPr>
          <w:p w14:paraId="2E0BC09C" w14:textId="77777777" w:rsidR="00B471FD" w:rsidRPr="00B471FD" w:rsidRDefault="00B471FD" w:rsidP="00A06BD6">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B471FD">
              <w:rPr>
                <w:rFonts w:cs="Arial"/>
                <w:color w:val="000000" w:themeColor="text1"/>
                <w:sz w:val="20"/>
                <w:szCs w:val="20"/>
              </w:rPr>
              <w:lastRenderedPageBreak/>
              <w:t>Concessionary fares, public service obligation compensation and route subsidy</w:t>
            </w:r>
          </w:p>
        </w:tc>
        <w:tc>
          <w:tcPr>
            <w:tcW w:w="1275" w:type="dxa"/>
          </w:tcPr>
          <w:p w14:paraId="13E8F99D"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166,013</w:t>
            </w:r>
          </w:p>
        </w:tc>
        <w:tc>
          <w:tcPr>
            <w:tcW w:w="1276" w:type="dxa"/>
          </w:tcPr>
          <w:p w14:paraId="6BBCC6D0"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168,156</w:t>
            </w:r>
          </w:p>
        </w:tc>
      </w:tr>
      <w:tr w:rsidR="00B471FD" w:rsidRPr="00B471FD" w14:paraId="31803D64" w14:textId="77777777" w:rsidTr="00A06BD6">
        <w:trPr>
          <w:trHeight w:val="283"/>
        </w:trPr>
        <w:tc>
          <w:tcPr>
            <w:tcW w:w="3256" w:type="dxa"/>
          </w:tcPr>
          <w:p w14:paraId="33D5B5CD" w14:textId="77777777" w:rsidR="00B471FD" w:rsidRPr="00B471FD" w:rsidRDefault="00B471FD" w:rsidP="00A06BD6">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B471FD">
              <w:rPr>
                <w:rFonts w:cs="Arial"/>
                <w:color w:val="000000" w:themeColor="text1"/>
                <w:sz w:val="20"/>
                <w:szCs w:val="20"/>
              </w:rPr>
              <w:t>Other</w:t>
            </w:r>
          </w:p>
        </w:tc>
        <w:tc>
          <w:tcPr>
            <w:tcW w:w="1275" w:type="dxa"/>
          </w:tcPr>
          <w:p w14:paraId="28AC5017"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5,364</w:t>
            </w:r>
          </w:p>
        </w:tc>
        <w:tc>
          <w:tcPr>
            <w:tcW w:w="1276" w:type="dxa"/>
          </w:tcPr>
          <w:p w14:paraId="75895B4B"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color w:val="000000" w:themeColor="text1"/>
                <w:sz w:val="20"/>
                <w:szCs w:val="20"/>
              </w:rPr>
              <w:t>4,533</w:t>
            </w:r>
          </w:p>
        </w:tc>
      </w:tr>
      <w:tr w:rsidR="00B471FD" w:rsidRPr="00B471FD" w14:paraId="046BE46C" w14:textId="77777777" w:rsidTr="00A06BD6">
        <w:trPr>
          <w:trHeight w:val="283"/>
        </w:trPr>
        <w:tc>
          <w:tcPr>
            <w:tcW w:w="3256" w:type="dxa"/>
          </w:tcPr>
          <w:p w14:paraId="1FBFE372" w14:textId="77777777" w:rsidR="00B471FD" w:rsidRPr="00B471FD" w:rsidRDefault="00B471FD" w:rsidP="00A06BD6">
            <w:pPr>
              <w:autoSpaceDE w:val="0"/>
              <w:autoSpaceDN w:val="0"/>
              <w:adjustRightInd w:val="0"/>
              <w:spacing w:line="240" w:lineRule="auto"/>
              <w:rPr>
                <w:rFonts w:cs="Arial"/>
                <w:color w:val="000000" w:themeColor="text1"/>
                <w:sz w:val="20"/>
                <w:szCs w:val="20"/>
              </w:rPr>
            </w:pPr>
          </w:p>
        </w:tc>
        <w:tc>
          <w:tcPr>
            <w:tcW w:w="1275" w:type="dxa"/>
          </w:tcPr>
          <w:p w14:paraId="1F855625"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b/>
                <w:bCs/>
                <w:color w:val="000000" w:themeColor="text1"/>
                <w:sz w:val="20"/>
                <w:szCs w:val="20"/>
              </w:rPr>
              <w:t>343,894</w:t>
            </w:r>
          </w:p>
        </w:tc>
        <w:tc>
          <w:tcPr>
            <w:tcW w:w="1276" w:type="dxa"/>
          </w:tcPr>
          <w:p w14:paraId="59469917" w14:textId="77777777" w:rsidR="00B471FD" w:rsidRPr="00B471FD" w:rsidRDefault="00B471FD"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B471FD">
              <w:rPr>
                <w:rFonts w:cs="Arial"/>
                <w:b/>
                <w:bCs/>
                <w:color w:val="000000" w:themeColor="text1"/>
                <w:sz w:val="20"/>
                <w:szCs w:val="20"/>
              </w:rPr>
              <w:t>329,901</w:t>
            </w:r>
          </w:p>
        </w:tc>
      </w:tr>
    </w:tbl>
    <w:p w14:paraId="3A26A747" w14:textId="77777777" w:rsidR="00B471FD" w:rsidRPr="00B471FD" w:rsidRDefault="00B471FD" w:rsidP="00B471FD">
      <w:pPr>
        <w:tabs>
          <w:tab w:val="left" w:pos="198"/>
        </w:tabs>
        <w:suppressAutoHyphens/>
        <w:autoSpaceDE w:val="0"/>
        <w:autoSpaceDN w:val="0"/>
        <w:adjustRightInd w:val="0"/>
        <w:spacing w:line="240" w:lineRule="atLeast"/>
        <w:textAlignment w:val="center"/>
        <w:rPr>
          <w:rFonts w:ascii="Axiforma" w:hAnsi="Axiforma" w:cs="Axiforma"/>
          <w:color w:val="000000"/>
          <w:sz w:val="16"/>
          <w:szCs w:val="16"/>
        </w:rPr>
      </w:pPr>
      <w:r w:rsidRPr="00B471FD">
        <w:rPr>
          <w:rFonts w:ascii="Axiforma" w:hAnsi="Axiforma" w:cs="Axiforma"/>
          <w:color w:val="000000"/>
          <w:sz w:val="16"/>
          <w:szCs w:val="16"/>
        </w:rPr>
        <w:tab/>
      </w:r>
      <w:r w:rsidRPr="00B471FD">
        <w:rPr>
          <w:rFonts w:ascii="Axiforma" w:hAnsi="Axiforma" w:cs="Axiforma"/>
          <w:color w:val="000000"/>
          <w:sz w:val="16"/>
          <w:szCs w:val="16"/>
        </w:rPr>
        <w:tab/>
      </w:r>
    </w:p>
    <w:p w14:paraId="77EC106D" w14:textId="77777777" w:rsidR="00B471FD" w:rsidRDefault="00B471FD" w:rsidP="00A06BD6">
      <w:r w:rsidRPr="00B471FD">
        <w:t>No geographical analysis of turnover across markets is provided as the Directors consider that such disclosure would be seriously prejudicial to the interests of the Group.  Further details of revenue funding from the Department are given in note 23.</w:t>
      </w:r>
    </w:p>
    <w:p w14:paraId="20377005" w14:textId="77777777" w:rsidR="00A06BD6" w:rsidRDefault="00A06BD6" w:rsidP="00A06BD6"/>
    <w:p w14:paraId="16A3A85B" w14:textId="77777777" w:rsidR="00A06BD6" w:rsidRPr="00A06BD6" w:rsidRDefault="00A06BD6" w:rsidP="003F4D72">
      <w:pPr>
        <w:pStyle w:val="Heading2"/>
      </w:pPr>
      <w:bookmarkStart w:id="276" w:name="_Toc213058708"/>
      <w:r w:rsidRPr="00A06BD6">
        <w:t>5. Impairment</w:t>
      </w:r>
      <w:bookmarkEnd w:id="276"/>
    </w:p>
    <w:p w14:paraId="400A8D26" w14:textId="0DB328AC" w:rsidR="00A06BD6" w:rsidRPr="00A06BD6" w:rsidRDefault="00A06BD6" w:rsidP="00A06BD6">
      <w:pPr>
        <w:rPr>
          <w:color w:val="000000"/>
        </w:rPr>
      </w:pPr>
      <w:r w:rsidRPr="00A06BD6">
        <w:rPr>
          <w:color w:val="000000"/>
        </w:rPr>
        <w:t>In accordance with International Accounting Standard 36 “Impairment of Assets”, and as a consequence of the historic</w:t>
      </w:r>
      <w:r>
        <w:rPr>
          <w:color w:val="000000"/>
        </w:rPr>
        <w:t xml:space="preserve"> </w:t>
      </w:r>
      <w:r w:rsidRPr="00A06BD6">
        <w:rPr>
          <w:color w:val="000000"/>
        </w:rPr>
        <w:t xml:space="preserve">loss-making status of Northern Ireland Railways Company Limited, and the current loss-making status of </w:t>
      </w:r>
      <w:proofErr w:type="spellStart"/>
      <w:r w:rsidRPr="00A06BD6">
        <w:rPr>
          <w:color w:val="000000"/>
        </w:rPr>
        <w:t>Ulsterbus</w:t>
      </w:r>
      <w:proofErr w:type="spellEnd"/>
      <w:r>
        <w:rPr>
          <w:color w:val="000000"/>
        </w:rPr>
        <w:t xml:space="preserve"> </w:t>
      </w:r>
      <w:r w:rsidRPr="00A06BD6">
        <w:rPr>
          <w:color w:val="000000"/>
        </w:rPr>
        <w:t>Limited and Citybus Limited, the Directors have performed an impairment review and as a consequence, assets that are not fully grant funded have been impaired to the extent that the carrying amount may not be recoverable.</w:t>
      </w:r>
    </w:p>
    <w:p w14:paraId="6FD5CA7C" w14:textId="77777777" w:rsidR="00A06BD6" w:rsidRPr="00A06BD6" w:rsidRDefault="00A06BD6" w:rsidP="00A06BD6">
      <w:pPr>
        <w:rPr>
          <w:color w:val="000000"/>
        </w:rPr>
      </w:pPr>
    </w:p>
    <w:p w14:paraId="006906E7" w14:textId="0AFB1B90" w:rsidR="00A06BD6" w:rsidRPr="00A06BD6" w:rsidRDefault="00A06BD6" w:rsidP="00A06BD6">
      <w:pPr>
        <w:rPr>
          <w:color w:val="000000"/>
        </w:rPr>
      </w:pPr>
      <w:r w:rsidRPr="00A06BD6">
        <w:rPr>
          <w:color w:val="000000"/>
        </w:rPr>
        <w:t xml:space="preserve">Impairment losses recognised in previous periods may be reversed in the current period </w:t>
      </w:r>
      <w:proofErr w:type="gramStart"/>
      <w:r w:rsidRPr="00A06BD6">
        <w:rPr>
          <w:color w:val="000000"/>
        </w:rPr>
        <w:t>as a result of</w:t>
      </w:r>
      <w:proofErr w:type="gramEnd"/>
      <w:r w:rsidRPr="00A06BD6">
        <w:rPr>
          <w:color w:val="000000"/>
        </w:rPr>
        <w:t xml:space="preserve"> improved valuations,</w:t>
      </w:r>
      <w:r>
        <w:rPr>
          <w:color w:val="000000"/>
        </w:rPr>
        <w:t xml:space="preserve"> </w:t>
      </w:r>
      <w:r w:rsidRPr="00A06BD6">
        <w:rPr>
          <w:color w:val="000000"/>
        </w:rPr>
        <w:t>asset disposals or adjustments to related grant funding.</w:t>
      </w:r>
    </w:p>
    <w:p w14:paraId="583A6AB6" w14:textId="77777777" w:rsidR="00A06BD6" w:rsidRPr="00A06BD6" w:rsidRDefault="00A06BD6" w:rsidP="00A06BD6">
      <w:pPr>
        <w:rPr>
          <w:color w:val="000000"/>
        </w:rPr>
      </w:pPr>
    </w:p>
    <w:p w14:paraId="541CBB0F" w14:textId="77777777" w:rsidR="00A06BD6" w:rsidRPr="00A06BD6" w:rsidRDefault="00A06BD6" w:rsidP="00A06BD6">
      <w:pPr>
        <w:rPr>
          <w:color w:val="000000"/>
        </w:rPr>
      </w:pPr>
      <w:r w:rsidRPr="00A06BD6">
        <w:rPr>
          <w:color w:val="000000"/>
        </w:rPr>
        <w:t>In the current period, the total amount of the charge for impairment amounts to £624,000 (2024: £218,000).</w:t>
      </w:r>
    </w:p>
    <w:p w14:paraId="72F90FC7" w14:textId="77777777" w:rsidR="00A06BD6" w:rsidRPr="00A06BD6" w:rsidRDefault="00A06BD6" w:rsidP="00A06BD6"/>
    <w:p w14:paraId="57DF2C51" w14:textId="77777777" w:rsidR="00A06BD6" w:rsidRPr="00A06BD6" w:rsidRDefault="00A06BD6" w:rsidP="003F4D72">
      <w:pPr>
        <w:pStyle w:val="Heading2"/>
      </w:pPr>
      <w:bookmarkStart w:id="277" w:name="_Toc213058709"/>
      <w:r w:rsidRPr="00A06BD6">
        <w:t>6. Operating (Loss)/Profit</w:t>
      </w:r>
      <w:bookmarkEnd w:id="277"/>
    </w:p>
    <w:p w14:paraId="3BAA9339" w14:textId="42C9C532" w:rsidR="00A06BD6" w:rsidRPr="00A06BD6" w:rsidRDefault="00A06BD6" w:rsidP="00A06BD6">
      <w:pPr>
        <w:rPr>
          <w:rFonts w:ascii="Axiforma Light" w:hAnsi="Axiforma Light" w:cs="Axiforma Light"/>
        </w:rPr>
      </w:pPr>
      <w:r w:rsidRPr="00A06BD6">
        <w:rPr>
          <w:color w:val="000000"/>
        </w:rPr>
        <w:t>Operating (loss)/profit for the period has been arrived at after charging/(crediting):</w:t>
      </w:r>
    </w:p>
    <w:p w14:paraId="443DB62D" w14:textId="77777777" w:rsidR="00B471FD" w:rsidRPr="00432B48" w:rsidRDefault="00B471FD" w:rsidP="00432B48">
      <w:pPr>
        <w:rPr>
          <w:color w:val="000000"/>
        </w:rPr>
      </w:pPr>
    </w:p>
    <w:tbl>
      <w:tblPr>
        <w:tblStyle w:val="TableGrid"/>
        <w:tblW w:w="0" w:type="auto"/>
        <w:tblLayout w:type="fixed"/>
        <w:tblLook w:val="0000" w:firstRow="0" w:lastRow="0" w:firstColumn="0" w:lastColumn="0" w:noHBand="0" w:noVBand="0"/>
      </w:tblPr>
      <w:tblGrid>
        <w:gridCol w:w="6690"/>
        <w:gridCol w:w="1615"/>
        <w:gridCol w:w="1565"/>
      </w:tblGrid>
      <w:tr w:rsidR="00A06BD6" w:rsidRPr="00A06BD6" w14:paraId="6EE87285" w14:textId="77777777" w:rsidTr="00A06BD6">
        <w:trPr>
          <w:trHeight w:val="283"/>
        </w:trPr>
        <w:tc>
          <w:tcPr>
            <w:tcW w:w="6690" w:type="dxa"/>
          </w:tcPr>
          <w:p w14:paraId="3EE81857"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615" w:type="dxa"/>
          </w:tcPr>
          <w:p w14:paraId="68FA99CB"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2025</w:t>
            </w:r>
          </w:p>
          <w:p w14:paraId="70EAF8EE"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£’000</w:t>
            </w:r>
          </w:p>
        </w:tc>
        <w:tc>
          <w:tcPr>
            <w:tcW w:w="1565" w:type="dxa"/>
          </w:tcPr>
          <w:p w14:paraId="015CA9CB"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2024</w:t>
            </w:r>
          </w:p>
          <w:p w14:paraId="5AEA7070"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£’000</w:t>
            </w:r>
          </w:p>
        </w:tc>
      </w:tr>
      <w:tr w:rsidR="00A06BD6" w:rsidRPr="00A06BD6" w14:paraId="6877297F" w14:textId="77777777" w:rsidTr="00A06BD6">
        <w:trPr>
          <w:trHeight w:val="283"/>
        </w:trPr>
        <w:tc>
          <w:tcPr>
            <w:tcW w:w="6690" w:type="dxa"/>
          </w:tcPr>
          <w:p w14:paraId="667E4AF4"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b/>
                <w:bCs/>
                <w:color w:val="000000" w:themeColor="text1"/>
                <w:sz w:val="20"/>
                <w:szCs w:val="20"/>
              </w:rPr>
              <w:t>Depreciation of Property, plant and equipment</w:t>
            </w:r>
          </w:p>
        </w:tc>
        <w:tc>
          <w:tcPr>
            <w:tcW w:w="1615" w:type="dxa"/>
          </w:tcPr>
          <w:p w14:paraId="160E6F66"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565" w:type="dxa"/>
          </w:tcPr>
          <w:p w14:paraId="42D46017"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r>
      <w:tr w:rsidR="00A06BD6" w:rsidRPr="00A06BD6" w14:paraId="3D09383C" w14:textId="77777777" w:rsidTr="00A06BD6">
        <w:trPr>
          <w:trHeight w:val="283"/>
        </w:trPr>
        <w:tc>
          <w:tcPr>
            <w:tcW w:w="6690" w:type="dxa"/>
          </w:tcPr>
          <w:p w14:paraId="3E7FD07E"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w:t>
            </w:r>
            <w:r w:rsidRPr="00A06BD6">
              <w:rPr>
                <w:rFonts w:cs="Arial"/>
                <w:color w:val="000000" w:themeColor="text1"/>
                <w:sz w:val="20"/>
                <w:szCs w:val="20"/>
              </w:rPr>
              <w:tab/>
              <w:t>Based on original cost or valuation (note 11)</w:t>
            </w:r>
          </w:p>
        </w:tc>
        <w:tc>
          <w:tcPr>
            <w:tcW w:w="1615" w:type="dxa"/>
          </w:tcPr>
          <w:p w14:paraId="486E4611"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118,797</w:t>
            </w:r>
          </w:p>
        </w:tc>
        <w:tc>
          <w:tcPr>
            <w:tcW w:w="1565" w:type="dxa"/>
          </w:tcPr>
          <w:p w14:paraId="4982E147"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90,334</w:t>
            </w:r>
          </w:p>
        </w:tc>
      </w:tr>
      <w:tr w:rsidR="00A06BD6" w:rsidRPr="00A06BD6" w14:paraId="2C996F26" w14:textId="77777777" w:rsidTr="00A06BD6">
        <w:trPr>
          <w:trHeight w:val="283"/>
        </w:trPr>
        <w:tc>
          <w:tcPr>
            <w:tcW w:w="6690" w:type="dxa"/>
          </w:tcPr>
          <w:p w14:paraId="25BF2EAA"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w:t>
            </w:r>
            <w:r w:rsidRPr="00A06BD6">
              <w:rPr>
                <w:rFonts w:cs="Arial"/>
                <w:color w:val="000000" w:themeColor="text1"/>
                <w:sz w:val="20"/>
                <w:szCs w:val="20"/>
              </w:rPr>
              <w:tab/>
              <w:t>Transfer from deferred income (note 18)</w:t>
            </w:r>
          </w:p>
        </w:tc>
        <w:tc>
          <w:tcPr>
            <w:tcW w:w="1615" w:type="dxa"/>
          </w:tcPr>
          <w:p w14:paraId="326DF392"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(117,915)</w:t>
            </w:r>
          </w:p>
        </w:tc>
        <w:tc>
          <w:tcPr>
            <w:tcW w:w="1565" w:type="dxa"/>
          </w:tcPr>
          <w:p w14:paraId="3F25EA47"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(88,886)</w:t>
            </w:r>
          </w:p>
        </w:tc>
      </w:tr>
      <w:tr w:rsidR="00A06BD6" w:rsidRPr="00A06BD6" w14:paraId="0F069AC8" w14:textId="77777777" w:rsidTr="00A06BD6">
        <w:trPr>
          <w:trHeight w:val="283"/>
        </w:trPr>
        <w:tc>
          <w:tcPr>
            <w:tcW w:w="6690" w:type="dxa"/>
          </w:tcPr>
          <w:p w14:paraId="1549D7FA"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615" w:type="dxa"/>
          </w:tcPr>
          <w:p w14:paraId="4CEF5D1F"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882</w:t>
            </w:r>
          </w:p>
        </w:tc>
        <w:tc>
          <w:tcPr>
            <w:tcW w:w="1565" w:type="dxa"/>
          </w:tcPr>
          <w:p w14:paraId="15D45D29"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1,448</w:t>
            </w:r>
          </w:p>
        </w:tc>
      </w:tr>
      <w:tr w:rsidR="00A06BD6" w:rsidRPr="00A06BD6" w14:paraId="0BC13DCA" w14:textId="77777777" w:rsidTr="00A06BD6">
        <w:trPr>
          <w:trHeight w:val="283"/>
        </w:trPr>
        <w:tc>
          <w:tcPr>
            <w:tcW w:w="6690" w:type="dxa"/>
          </w:tcPr>
          <w:p w14:paraId="0B6C9691"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Impairment (note 11)</w:t>
            </w:r>
          </w:p>
        </w:tc>
        <w:tc>
          <w:tcPr>
            <w:tcW w:w="1615" w:type="dxa"/>
          </w:tcPr>
          <w:p w14:paraId="5FD8FD15"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624</w:t>
            </w:r>
          </w:p>
        </w:tc>
        <w:tc>
          <w:tcPr>
            <w:tcW w:w="1565" w:type="dxa"/>
          </w:tcPr>
          <w:p w14:paraId="2272089D"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218</w:t>
            </w:r>
          </w:p>
        </w:tc>
      </w:tr>
      <w:tr w:rsidR="00A06BD6" w:rsidRPr="00A06BD6" w14:paraId="34766AF6" w14:textId="77777777" w:rsidTr="00A06BD6">
        <w:trPr>
          <w:trHeight w:val="283"/>
        </w:trPr>
        <w:tc>
          <w:tcPr>
            <w:tcW w:w="6690" w:type="dxa"/>
          </w:tcPr>
          <w:p w14:paraId="0F6C1E31"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Disposal of investment property (note 12)</w:t>
            </w:r>
          </w:p>
        </w:tc>
        <w:tc>
          <w:tcPr>
            <w:tcW w:w="1615" w:type="dxa"/>
          </w:tcPr>
          <w:p w14:paraId="41CEECEE"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w:t>
            </w:r>
          </w:p>
        </w:tc>
        <w:tc>
          <w:tcPr>
            <w:tcW w:w="1565" w:type="dxa"/>
          </w:tcPr>
          <w:p w14:paraId="3A6449F7"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216</w:t>
            </w:r>
          </w:p>
        </w:tc>
      </w:tr>
      <w:tr w:rsidR="00A06BD6" w:rsidRPr="00A06BD6" w14:paraId="4841BF38" w14:textId="77777777" w:rsidTr="00A06BD6">
        <w:trPr>
          <w:trHeight w:val="283"/>
        </w:trPr>
        <w:tc>
          <w:tcPr>
            <w:tcW w:w="6690" w:type="dxa"/>
          </w:tcPr>
          <w:p w14:paraId="3DF23E3A"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Cost of inventories recognised as expense</w:t>
            </w:r>
          </w:p>
        </w:tc>
        <w:tc>
          <w:tcPr>
            <w:tcW w:w="1615" w:type="dxa"/>
          </w:tcPr>
          <w:p w14:paraId="114A0F44"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40,101</w:t>
            </w:r>
          </w:p>
        </w:tc>
        <w:tc>
          <w:tcPr>
            <w:tcW w:w="1565" w:type="dxa"/>
          </w:tcPr>
          <w:p w14:paraId="61384F29"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42,918</w:t>
            </w:r>
          </w:p>
        </w:tc>
      </w:tr>
      <w:tr w:rsidR="00A06BD6" w:rsidRPr="00A06BD6" w14:paraId="6B107B99" w14:textId="77777777" w:rsidTr="00A06BD6">
        <w:trPr>
          <w:trHeight w:val="283"/>
        </w:trPr>
        <w:tc>
          <w:tcPr>
            <w:tcW w:w="6690" w:type="dxa"/>
          </w:tcPr>
          <w:p w14:paraId="1D51B3B1"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Auditor’s remuneration:</w:t>
            </w:r>
          </w:p>
        </w:tc>
        <w:tc>
          <w:tcPr>
            <w:tcW w:w="1615" w:type="dxa"/>
          </w:tcPr>
          <w:p w14:paraId="626759CD"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565" w:type="dxa"/>
          </w:tcPr>
          <w:p w14:paraId="31ECF8C5"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r>
      <w:tr w:rsidR="00A06BD6" w:rsidRPr="00A06BD6" w14:paraId="7D029F23" w14:textId="77777777" w:rsidTr="00A06BD6">
        <w:trPr>
          <w:trHeight w:val="283"/>
        </w:trPr>
        <w:tc>
          <w:tcPr>
            <w:tcW w:w="6690" w:type="dxa"/>
          </w:tcPr>
          <w:p w14:paraId="72629B35"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w:t>
            </w:r>
            <w:r w:rsidRPr="00A06BD6">
              <w:rPr>
                <w:rFonts w:cs="Arial"/>
                <w:color w:val="000000" w:themeColor="text1"/>
                <w:sz w:val="20"/>
                <w:szCs w:val="20"/>
              </w:rPr>
              <w:tab/>
              <w:t>fees payable to the Group’s auditor for the audit of the Group’s annual accounts</w:t>
            </w:r>
            <w:r w:rsidRPr="00A06BD6">
              <w:rPr>
                <w:rFonts w:cs="Arial"/>
                <w:color w:val="000000" w:themeColor="text1"/>
                <w:sz w:val="20"/>
                <w:szCs w:val="20"/>
              </w:rPr>
              <w:br/>
              <w:t xml:space="preserve"> (parent - £63,000; 2024 - £60,000)</w:t>
            </w:r>
          </w:p>
        </w:tc>
        <w:tc>
          <w:tcPr>
            <w:tcW w:w="1615" w:type="dxa"/>
          </w:tcPr>
          <w:p w14:paraId="4BE93F68"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202</w:t>
            </w:r>
          </w:p>
        </w:tc>
        <w:tc>
          <w:tcPr>
            <w:tcW w:w="1565" w:type="dxa"/>
          </w:tcPr>
          <w:p w14:paraId="4E325C10"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193</w:t>
            </w:r>
          </w:p>
        </w:tc>
      </w:tr>
      <w:tr w:rsidR="00A06BD6" w:rsidRPr="00A06BD6" w14:paraId="4E4C8E4E" w14:textId="77777777" w:rsidTr="00A06BD6">
        <w:trPr>
          <w:trHeight w:val="283"/>
        </w:trPr>
        <w:tc>
          <w:tcPr>
            <w:tcW w:w="6690" w:type="dxa"/>
          </w:tcPr>
          <w:p w14:paraId="689FECEF"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w:t>
            </w:r>
            <w:r w:rsidRPr="00A06BD6">
              <w:rPr>
                <w:rFonts w:cs="Arial"/>
                <w:color w:val="000000" w:themeColor="text1"/>
                <w:sz w:val="20"/>
                <w:szCs w:val="20"/>
              </w:rPr>
              <w:tab/>
              <w:t>Fees payable to the Group’s auditor for other services to the Group:</w:t>
            </w:r>
          </w:p>
        </w:tc>
        <w:tc>
          <w:tcPr>
            <w:tcW w:w="1615" w:type="dxa"/>
          </w:tcPr>
          <w:p w14:paraId="5A518A54"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565" w:type="dxa"/>
          </w:tcPr>
          <w:p w14:paraId="05349BE0"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r>
      <w:tr w:rsidR="00A06BD6" w:rsidRPr="00A06BD6" w14:paraId="4A17785E" w14:textId="77777777" w:rsidTr="00A06BD6">
        <w:trPr>
          <w:trHeight w:val="283"/>
        </w:trPr>
        <w:tc>
          <w:tcPr>
            <w:tcW w:w="6690" w:type="dxa"/>
          </w:tcPr>
          <w:p w14:paraId="69FC2D6F" w14:textId="77777777" w:rsidR="00A06BD6" w:rsidRPr="00A06BD6" w:rsidRDefault="00A06BD6" w:rsidP="00A06BD6">
            <w:pPr>
              <w:tabs>
                <w:tab w:val="left" w:pos="220"/>
                <w:tab w:val="left" w:pos="400"/>
              </w:tabs>
              <w:suppressAutoHyphens/>
              <w:autoSpaceDE w:val="0"/>
              <w:autoSpaceDN w:val="0"/>
              <w:adjustRightInd w:val="0"/>
              <w:spacing w:line="240" w:lineRule="auto"/>
              <w:textAlignment w:val="center"/>
              <w:rPr>
                <w:rFonts w:cs="Arial"/>
                <w:b/>
                <w:bCs/>
                <w:color w:val="000000" w:themeColor="text1"/>
                <w:sz w:val="20"/>
                <w:szCs w:val="20"/>
              </w:rPr>
            </w:pPr>
            <w:r w:rsidRPr="00A06BD6">
              <w:rPr>
                <w:rFonts w:cs="Arial"/>
                <w:color w:val="000000" w:themeColor="text1"/>
                <w:sz w:val="20"/>
                <w:szCs w:val="20"/>
              </w:rPr>
              <w:tab/>
              <w:t>–</w:t>
            </w:r>
            <w:r w:rsidRPr="00A06BD6">
              <w:rPr>
                <w:rFonts w:cs="Arial"/>
                <w:color w:val="000000" w:themeColor="text1"/>
                <w:sz w:val="20"/>
                <w:szCs w:val="20"/>
              </w:rPr>
              <w:tab/>
              <w:t>Pension schemes and other assurance services</w:t>
            </w:r>
          </w:p>
        </w:tc>
        <w:tc>
          <w:tcPr>
            <w:tcW w:w="1615" w:type="dxa"/>
          </w:tcPr>
          <w:p w14:paraId="0A67F922"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21</w:t>
            </w:r>
          </w:p>
        </w:tc>
        <w:tc>
          <w:tcPr>
            <w:tcW w:w="1565" w:type="dxa"/>
          </w:tcPr>
          <w:p w14:paraId="51CD3FDA"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color w:val="000000" w:themeColor="text1"/>
                <w:sz w:val="20"/>
                <w:szCs w:val="20"/>
              </w:rPr>
              <w:t>20</w:t>
            </w:r>
          </w:p>
        </w:tc>
      </w:tr>
      <w:tr w:rsidR="00A06BD6" w:rsidRPr="00A06BD6" w14:paraId="0AE34F07" w14:textId="77777777" w:rsidTr="00A06BD6">
        <w:trPr>
          <w:trHeight w:val="283"/>
        </w:trPr>
        <w:tc>
          <w:tcPr>
            <w:tcW w:w="6690" w:type="dxa"/>
          </w:tcPr>
          <w:p w14:paraId="017196C1" w14:textId="77777777" w:rsidR="00A06BD6" w:rsidRPr="00A06BD6" w:rsidRDefault="00A06BD6" w:rsidP="00A06BD6">
            <w:pPr>
              <w:autoSpaceDE w:val="0"/>
              <w:autoSpaceDN w:val="0"/>
              <w:adjustRightInd w:val="0"/>
              <w:spacing w:line="240" w:lineRule="auto"/>
              <w:rPr>
                <w:rFonts w:cs="Arial"/>
                <w:color w:val="000000" w:themeColor="text1"/>
                <w:sz w:val="20"/>
                <w:szCs w:val="20"/>
              </w:rPr>
            </w:pPr>
          </w:p>
        </w:tc>
        <w:tc>
          <w:tcPr>
            <w:tcW w:w="1615" w:type="dxa"/>
          </w:tcPr>
          <w:p w14:paraId="7DB10D1A"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223</w:t>
            </w:r>
          </w:p>
        </w:tc>
        <w:tc>
          <w:tcPr>
            <w:tcW w:w="1565" w:type="dxa"/>
          </w:tcPr>
          <w:p w14:paraId="0C5097FC" w14:textId="77777777" w:rsidR="00A06BD6" w:rsidRPr="00A06BD6" w:rsidRDefault="00A06BD6" w:rsidP="00A06BD6">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A06BD6">
              <w:rPr>
                <w:rFonts w:cs="Arial"/>
                <w:b/>
                <w:bCs/>
                <w:color w:val="000000" w:themeColor="text1"/>
                <w:sz w:val="20"/>
                <w:szCs w:val="20"/>
              </w:rPr>
              <w:t>213</w:t>
            </w:r>
          </w:p>
        </w:tc>
      </w:tr>
    </w:tbl>
    <w:p w14:paraId="32F2ACF7" w14:textId="77777777" w:rsidR="00F42CA4" w:rsidRPr="00432B48" w:rsidRDefault="00F42CA4" w:rsidP="00432B48">
      <w:pPr>
        <w:rPr>
          <w:color w:val="000000" w:themeColor="text1"/>
        </w:rPr>
      </w:pPr>
    </w:p>
    <w:p w14:paraId="07E749C5" w14:textId="77777777" w:rsidR="00F42CA4" w:rsidRDefault="00F42CA4" w:rsidP="006675EF">
      <w:pPr>
        <w:rPr>
          <w:rFonts w:cs="Arial"/>
          <w:color w:val="000000" w:themeColor="text1"/>
        </w:rPr>
      </w:pPr>
    </w:p>
    <w:p w14:paraId="15371141" w14:textId="77777777" w:rsidR="00A06BD6" w:rsidRDefault="00A06BD6" w:rsidP="006675EF">
      <w:pPr>
        <w:rPr>
          <w:rFonts w:cs="Arial"/>
          <w:color w:val="000000" w:themeColor="text1"/>
        </w:rPr>
      </w:pPr>
    </w:p>
    <w:p w14:paraId="0BC93048" w14:textId="21E60EE2" w:rsidR="00A06BD6" w:rsidRPr="003F4D72" w:rsidRDefault="00A06BD6" w:rsidP="003F4D72">
      <w:pPr>
        <w:pStyle w:val="Heading2"/>
      </w:pPr>
      <w:bookmarkStart w:id="278" w:name="_Toc213058710"/>
      <w:r w:rsidRPr="00A06BD6">
        <w:t>7. Finance Income</w:t>
      </w:r>
      <w:bookmarkEnd w:id="278"/>
    </w:p>
    <w:tbl>
      <w:tblPr>
        <w:tblStyle w:val="TableGrid"/>
        <w:tblW w:w="0" w:type="auto"/>
        <w:tblLayout w:type="fixed"/>
        <w:tblLook w:val="0000" w:firstRow="0" w:lastRow="0" w:firstColumn="0" w:lastColumn="0" w:noHBand="0" w:noVBand="0"/>
      </w:tblPr>
      <w:tblGrid>
        <w:gridCol w:w="3681"/>
        <w:gridCol w:w="1559"/>
        <w:gridCol w:w="1418"/>
      </w:tblGrid>
      <w:tr w:rsidR="00A06BD6" w:rsidRPr="00A06BD6" w14:paraId="7D9BBF19" w14:textId="77777777" w:rsidTr="00A06BD6">
        <w:trPr>
          <w:trHeight w:val="283"/>
        </w:trPr>
        <w:tc>
          <w:tcPr>
            <w:tcW w:w="3681" w:type="dxa"/>
          </w:tcPr>
          <w:p w14:paraId="221D7D4E" w14:textId="77777777" w:rsidR="00A06BD6" w:rsidRPr="00A06BD6" w:rsidRDefault="00A06BD6" w:rsidP="00A06BD6">
            <w:pPr>
              <w:spacing w:line="240" w:lineRule="auto"/>
              <w:rPr>
                <w:color w:val="000000" w:themeColor="text1"/>
                <w:sz w:val="20"/>
                <w:szCs w:val="20"/>
              </w:rPr>
            </w:pPr>
          </w:p>
        </w:tc>
        <w:tc>
          <w:tcPr>
            <w:tcW w:w="1559" w:type="dxa"/>
          </w:tcPr>
          <w:p w14:paraId="605CD50D"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 xml:space="preserve">2025 </w:t>
            </w:r>
          </w:p>
          <w:p w14:paraId="64664B02" w14:textId="77777777" w:rsidR="00A06BD6" w:rsidRPr="00A06BD6" w:rsidRDefault="00A06BD6" w:rsidP="00A06BD6">
            <w:pPr>
              <w:spacing w:line="240" w:lineRule="auto"/>
              <w:rPr>
                <w:color w:val="000000" w:themeColor="text1"/>
                <w:sz w:val="20"/>
                <w:szCs w:val="20"/>
              </w:rPr>
            </w:pPr>
            <w:r w:rsidRPr="00A06BD6">
              <w:rPr>
                <w:rFonts w:cs="Axiforma"/>
                <w:b/>
                <w:bCs/>
                <w:color w:val="000000" w:themeColor="text1"/>
                <w:sz w:val="20"/>
                <w:szCs w:val="20"/>
              </w:rPr>
              <w:t>£’000</w:t>
            </w:r>
          </w:p>
        </w:tc>
        <w:tc>
          <w:tcPr>
            <w:tcW w:w="1418" w:type="dxa"/>
          </w:tcPr>
          <w:p w14:paraId="43586C29"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2024</w:t>
            </w:r>
          </w:p>
          <w:p w14:paraId="323A31F8" w14:textId="77777777" w:rsidR="00A06BD6" w:rsidRPr="00A06BD6" w:rsidRDefault="00A06BD6" w:rsidP="00A06BD6">
            <w:pPr>
              <w:spacing w:line="240" w:lineRule="auto"/>
              <w:rPr>
                <w:color w:val="000000" w:themeColor="text1"/>
                <w:sz w:val="20"/>
                <w:szCs w:val="20"/>
              </w:rPr>
            </w:pPr>
            <w:r w:rsidRPr="00A06BD6">
              <w:rPr>
                <w:rFonts w:cs="Axiforma"/>
                <w:b/>
                <w:bCs/>
                <w:color w:val="000000" w:themeColor="text1"/>
                <w:sz w:val="20"/>
                <w:szCs w:val="20"/>
              </w:rPr>
              <w:t>£’000</w:t>
            </w:r>
          </w:p>
        </w:tc>
      </w:tr>
      <w:tr w:rsidR="00A06BD6" w:rsidRPr="00A06BD6" w14:paraId="3171D100" w14:textId="77777777" w:rsidTr="00A06BD6">
        <w:trPr>
          <w:trHeight w:val="283"/>
        </w:trPr>
        <w:tc>
          <w:tcPr>
            <w:tcW w:w="3681" w:type="dxa"/>
          </w:tcPr>
          <w:p w14:paraId="5AFF1146"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Finance income includes:</w:t>
            </w:r>
          </w:p>
        </w:tc>
        <w:tc>
          <w:tcPr>
            <w:tcW w:w="1559" w:type="dxa"/>
          </w:tcPr>
          <w:p w14:paraId="0646998D" w14:textId="77777777" w:rsidR="00A06BD6" w:rsidRPr="00A06BD6" w:rsidRDefault="00A06BD6" w:rsidP="00A06BD6">
            <w:pPr>
              <w:spacing w:line="240" w:lineRule="auto"/>
              <w:rPr>
                <w:color w:val="000000" w:themeColor="text1"/>
                <w:sz w:val="20"/>
                <w:szCs w:val="20"/>
              </w:rPr>
            </w:pPr>
          </w:p>
        </w:tc>
        <w:tc>
          <w:tcPr>
            <w:tcW w:w="1418" w:type="dxa"/>
          </w:tcPr>
          <w:p w14:paraId="5D7D7802" w14:textId="77777777" w:rsidR="00A06BD6" w:rsidRPr="00A06BD6" w:rsidRDefault="00A06BD6" w:rsidP="00A06BD6">
            <w:pPr>
              <w:spacing w:line="240" w:lineRule="auto"/>
              <w:rPr>
                <w:color w:val="000000" w:themeColor="text1"/>
                <w:sz w:val="20"/>
                <w:szCs w:val="20"/>
              </w:rPr>
            </w:pPr>
          </w:p>
        </w:tc>
      </w:tr>
      <w:tr w:rsidR="00A06BD6" w:rsidRPr="00A06BD6" w14:paraId="530F0EB8" w14:textId="77777777" w:rsidTr="00A06BD6">
        <w:trPr>
          <w:trHeight w:val="283"/>
        </w:trPr>
        <w:tc>
          <w:tcPr>
            <w:tcW w:w="3681" w:type="dxa"/>
          </w:tcPr>
          <w:p w14:paraId="766BB288"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 xml:space="preserve">Interest received – bank deposits </w:t>
            </w:r>
          </w:p>
        </w:tc>
        <w:tc>
          <w:tcPr>
            <w:tcW w:w="1559" w:type="dxa"/>
          </w:tcPr>
          <w:p w14:paraId="1CACFAD4"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1,369</w:t>
            </w:r>
          </w:p>
        </w:tc>
        <w:tc>
          <w:tcPr>
            <w:tcW w:w="1418" w:type="dxa"/>
          </w:tcPr>
          <w:p w14:paraId="331F4E64"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1,597</w:t>
            </w:r>
          </w:p>
        </w:tc>
      </w:tr>
      <w:tr w:rsidR="00A06BD6" w:rsidRPr="00A06BD6" w14:paraId="00720ACB" w14:textId="77777777" w:rsidTr="00A06BD6">
        <w:trPr>
          <w:trHeight w:val="283"/>
        </w:trPr>
        <w:tc>
          <w:tcPr>
            <w:tcW w:w="3681" w:type="dxa"/>
          </w:tcPr>
          <w:p w14:paraId="03B4921F"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Retirement benefits (note 20)</w:t>
            </w:r>
          </w:p>
        </w:tc>
        <w:tc>
          <w:tcPr>
            <w:tcW w:w="1559" w:type="dxa"/>
          </w:tcPr>
          <w:p w14:paraId="41566A9B"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8,042</w:t>
            </w:r>
          </w:p>
        </w:tc>
        <w:tc>
          <w:tcPr>
            <w:tcW w:w="1418" w:type="dxa"/>
          </w:tcPr>
          <w:p w14:paraId="2B4490C1"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4,830</w:t>
            </w:r>
          </w:p>
        </w:tc>
      </w:tr>
      <w:tr w:rsidR="00A06BD6" w:rsidRPr="00A06BD6" w14:paraId="22E9491C" w14:textId="77777777" w:rsidTr="00A06BD6">
        <w:trPr>
          <w:trHeight w:val="283"/>
        </w:trPr>
        <w:tc>
          <w:tcPr>
            <w:tcW w:w="3681" w:type="dxa"/>
          </w:tcPr>
          <w:p w14:paraId="3214B695"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Total finance income</w:t>
            </w:r>
          </w:p>
        </w:tc>
        <w:tc>
          <w:tcPr>
            <w:tcW w:w="1559" w:type="dxa"/>
          </w:tcPr>
          <w:p w14:paraId="5FAD4BBE"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9,411</w:t>
            </w:r>
          </w:p>
        </w:tc>
        <w:tc>
          <w:tcPr>
            <w:tcW w:w="1418" w:type="dxa"/>
          </w:tcPr>
          <w:p w14:paraId="163FA6A8"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6,427</w:t>
            </w:r>
          </w:p>
        </w:tc>
      </w:tr>
    </w:tbl>
    <w:p w14:paraId="0B84F04A" w14:textId="77777777" w:rsidR="00A06BD6" w:rsidRDefault="00A06BD6" w:rsidP="00A06BD6">
      <w:pPr>
        <w:rPr>
          <w:b/>
          <w:bCs/>
          <w:sz w:val="28"/>
          <w:szCs w:val="28"/>
        </w:rPr>
      </w:pPr>
    </w:p>
    <w:p w14:paraId="4C2F05CB" w14:textId="77777777" w:rsidR="00A06BD6" w:rsidRDefault="00A06BD6" w:rsidP="003F4D72">
      <w:pPr>
        <w:pStyle w:val="Heading2"/>
      </w:pPr>
      <w:bookmarkStart w:id="279" w:name="_Toc213058711"/>
      <w:r w:rsidRPr="00A06BD6">
        <w:t>8. Other Income</w:t>
      </w:r>
      <w:bookmarkEnd w:id="279"/>
    </w:p>
    <w:tbl>
      <w:tblPr>
        <w:tblStyle w:val="TableGrid"/>
        <w:tblW w:w="0" w:type="auto"/>
        <w:tblLayout w:type="fixed"/>
        <w:tblLook w:val="0000" w:firstRow="0" w:lastRow="0" w:firstColumn="0" w:lastColumn="0" w:noHBand="0" w:noVBand="0"/>
      </w:tblPr>
      <w:tblGrid>
        <w:gridCol w:w="3681"/>
        <w:gridCol w:w="1559"/>
        <w:gridCol w:w="1418"/>
      </w:tblGrid>
      <w:tr w:rsidR="00A06BD6" w:rsidRPr="00A06BD6" w14:paraId="1E25E139" w14:textId="77777777" w:rsidTr="006D57B7">
        <w:trPr>
          <w:trHeight w:val="340"/>
        </w:trPr>
        <w:tc>
          <w:tcPr>
            <w:tcW w:w="3681" w:type="dxa"/>
          </w:tcPr>
          <w:p w14:paraId="178CE572" w14:textId="77777777" w:rsidR="00A06BD6" w:rsidRPr="00A06BD6" w:rsidRDefault="00A06BD6" w:rsidP="00A06BD6">
            <w:pPr>
              <w:spacing w:line="240" w:lineRule="auto"/>
              <w:rPr>
                <w:color w:val="000000" w:themeColor="text1"/>
                <w:sz w:val="20"/>
                <w:szCs w:val="20"/>
              </w:rPr>
            </w:pPr>
          </w:p>
        </w:tc>
        <w:tc>
          <w:tcPr>
            <w:tcW w:w="1559" w:type="dxa"/>
          </w:tcPr>
          <w:p w14:paraId="134AFB64"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 xml:space="preserve">2025 </w:t>
            </w:r>
          </w:p>
          <w:p w14:paraId="3E9AEEEA" w14:textId="77777777" w:rsidR="00A06BD6" w:rsidRPr="00A06BD6" w:rsidRDefault="00A06BD6" w:rsidP="00A06BD6">
            <w:pPr>
              <w:spacing w:line="240" w:lineRule="auto"/>
              <w:rPr>
                <w:color w:val="000000" w:themeColor="text1"/>
                <w:sz w:val="20"/>
                <w:szCs w:val="20"/>
              </w:rPr>
            </w:pPr>
            <w:r w:rsidRPr="00A06BD6">
              <w:rPr>
                <w:rFonts w:cs="Axiforma"/>
                <w:b/>
                <w:bCs/>
                <w:color w:val="000000" w:themeColor="text1"/>
                <w:sz w:val="20"/>
                <w:szCs w:val="20"/>
              </w:rPr>
              <w:t>£’000</w:t>
            </w:r>
          </w:p>
        </w:tc>
        <w:tc>
          <w:tcPr>
            <w:tcW w:w="1418" w:type="dxa"/>
          </w:tcPr>
          <w:p w14:paraId="58CC5AB4"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2024</w:t>
            </w:r>
          </w:p>
          <w:p w14:paraId="32C0811C" w14:textId="77777777" w:rsidR="00A06BD6" w:rsidRPr="00A06BD6" w:rsidRDefault="00A06BD6" w:rsidP="00A06BD6">
            <w:pPr>
              <w:spacing w:line="240" w:lineRule="auto"/>
              <w:rPr>
                <w:color w:val="000000" w:themeColor="text1"/>
                <w:sz w:val="20"/>
                <w:szCs w:val="20"/>
              </w:rPr>
            </w:pPr>
            <w:r w:rsidRPr="00A06BD6">
              <w:rPr>
                <w:rFonts w:cs="Axiforma"/>
                <w:b/>
                <w:bCs/>
                <w:color w:val="000000" w:themeColor="text1"/>
                <w:sz w:val="20"/>
                <w:szCs w:val="20"/>
              </w:rPr>
              <w:t>£’000</w:t>
            </w:r>
          </w:p>
        </w:tc>
      </w:tr>
      <w:tr w:rsidR="00A06BD6" w:rsidRPr="00A06BD6" w14:paraId="369040C6" w14:textId="77777777" w:rsidTr="006D57B7">
        <w:trPr>
          <w:trHeight w:val="340"/>
        </w:trPr>
        <w:tc>
          <w:tcPr>
            <w:tcW w:w="3681" w:type="dxa"/>
          </w:tcPr>
          <w:p w14:paraId="2E3DF737"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Profit on disposal of non-current assets</w:t>
            </w:r>
          </w:p>
        </w:tc>
        <w:tc>
          <w:tcPr>
            <w:tcW w:w="1559" w:type="dxa"/>
          </w:tcPr>
          <w:p w14:paraId="1A41B29A"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35</w:t>
            </w:r>
          </w:p>
        </w:tc>
        <w:tc>
          <w:tcPr>
            <w:tcW w:w="1418" w:type="dxa"/>
          </w:tcPr>
          <w:p w14:paraId="656D8B92"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62</w:t>
            </w:r>
          </w:p>
        </w:tc>
      </w:tr>
      <w:tr w:rsidR="00A06BD6" w:rsidRPr="00A06BD6" w14:paraId="59CA7C56" w14:textId="77777777" w:rsidTr="006D57B7">
        <w:trPr>
          <w:trHeight w:val="340"/>
        </w:trPr>
        <w:tc>
          <w:tcPr>
            <w:tcW w:w="3681" w:type="dxa"/>
          </w:tcPr>
          <w:p w14:paraId="5711B283"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Other income</w:t>
            </w:r>
          </w:p>
        </w:tc>
        <w:tc>
          <w:tcPr>
            <w:tcW w:w="1559" w:type="dxa"/>
          </w:tcPr>
          <w:p w14:paraId="5CFA2979"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27</w:t>
            </w:r>
          </w:p>
        </w:tc>
        <w:tc>
          <w:tcPr>
            <w:tcW w:w="1418" w:type="dxa"/>
          </w:tcPr>
          <w:p w14:paraId="0415F7A7" w14:textId="77777777" w:rsidR="00A06BD6" w:rsidRPr="00A06BD6" w:rsidRDefault="00A06BD6" w:rsidP="00A06BD6">
            <w:pPr>
              <w:spacing w:line="240" w:lineRule="auto"/>
              <w:rPr>
                <w:rFonts w:cs="Axiforma"/>
                <w:b/>
                <w:bCs/>
                <w:color w:val="000000" w:themeColor="text1"/>
                <w:sz w:val="20"/>
                <w:szCs w:val="20"/>
              </w:rPr>
            </w:pPr>
            <w:r w:rsidRPr="00A06BD6">
              <w:rPr>
                <w:rFonts w:cs="Axiforma"/>
                <w:color w:val="000000" w:themeColor="text1"/>
                <w:sz w:val="20"/>
                <w:szCs w:val="20"/>
              </w:rPr>
              <w:t>20</w:t>
            </w:r>
          </w:p>
        </w:tc>
      </w:tr>
      <w:tr w:rsidR="00A06BD6" w:rsidRPr="00A06BD6" w14:paraId="0F309855" w14:textId="77777777" w:rsidTr="006D57B7">
        <w:trPr>
          <w:trHeight w:val="340"/>
        </w:trPr>
        <w:tc>
          <w:tcPr>
            <w:tcW w:w="3681" w:type="dxa"/>
          </w:tcPr>
          <w:p w14:paraId="4810D1B3"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Total other income</w:t>
            </w:r>
          </w:p>
        </w:tc>
        <w:tc>
          <w:tcPr>
            <w:tcW w:w="1559" w:type="dxa"/>
          </w:tcPr>
          <w:p w14:paraId="48498D6E"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62</w:t>
            </w:r>
          </w:p>
        </w:tc>
        <w:tc>
          <w:tcPr>
            <w:tcW w:w="1418" w:type="dxa"/>
          </w:tcPr>
          <w:p w14:paraId="48C380CA" w14:textId="77777777" w:rsidR="00A06BD6" w:rsidRPr="00A06BD6" w:rsidRDefault="00A06BD6" w:rsidP="00A06BD6">
            <w:pPr>
              <w:spacing w:line="240" w:lineRule="auto"/>
              <w:rPr>
                <w:rFonts w:cs="Axiforma"/>
                <w:b/>
                <w:bCs/>
                <w:color w:val="000000" w:themeColor="text1"/>
                <w:sz w:val="20"/>
                <w:szCs w:val="20"/>
              </w:rPr>
            </w:pPr>
            <w:r w:rsidRPr="00A06BD6">
              <w:rPr>
                <w:rFonts w:cs="Axiforma"/>
                <w:b/>
                <w:bCs/>
                <w:color w:val="000000" w:themeColor="text1"/>
                <w:sz w:val="20"/>
                <w:szCs w:val="20"/>
              </w:rPr>
              <w:t>82</w:t>
            </w:r>
          </w:p>
        </w:tc>
      </w:tr>
    </w:tbl>
    <w:p w14:paraId="0E1FCE38" w14:textId="77777777" w:rsidR="00A06BD6" w:rsidRDefault="00A06BD6" w:rsidP="00A06BD6">
      <w:pPr>
        <w:rPr>
          <w:b/>
          <w:bCs/>
          <w:sz w:val="28"/>
          <w:szCs w:val="28"/>
        </w:rPr>
      </w:pPr>
    </w:p>
    <w:p w14:paraId="49ACC8CE" w14:textId="1FDC2BD7" w:rsidR="006D57B7" w:rsidRPr="003F4D72" w:rsidRDefault="006D57B7" w:rsidP="003F4D72">
      <w:pPr>
        <w:pStyle w:val="Heading2"/>
      </w:pPr>
      <w:bookmarkStart w:id="280" w:name="_Toc213058712"/>
      <w:r w:rsidRPr="006D57B7">
        <w:t>9. Taxation</w:t>
      </w:r>
      <w:bookmarkEnd w:id="280"/>
    </w:p>
    <w:p w14:paraId="68F4A424" w14:textId="32FF2333" w:rsidR="006D57B7" w:rsidRPr="006D57B7" w:rsidRDefault="006D57B7" w:rsidP="006D57B7">
      <w:pPr>
        <w:rPr>
          <w:b/>
          <w:bCs/>
        </w:rPr>
      </w:pPr>
      <w:r w:rsidRPr="006D57B7">
        <w:rPr>
          <w:b/>
          <w:bCs/>
        </w:rPr>
        <w:t>a. Analysis of Tax Charge for Period</w:t>
      </w:r>
    </w:p>
    <w:tbl>
      <w:tblPr>
        <w:tblStyle w:val="TableGrid"/>
        <w:tblW w:w="0" w:type="auto"/>
        <w:tblLayout w:type="fixed"/>
        <w:tblLook w:val="0000" w:firstRow="0" w:lastRow="0" w:firstColumn="0" w:lastColumn="0" w:noHBand="0" w:noVBand="0"/>
      </w:tblPr>
      <w:tblGrid>
        <w:gridCol w:w="4248"/>
        <w:gridCol w:w="1134"/>
        <w:gridCol w:w="1276"/>
      </w:tblGrid>
      <w:tr w:rsidR="006D57B7" w:rsidRPr="006D57B7" w14:paraId="16EC6426" w14:textId="77777777" w:rsidTr="006D57B7">
        <w:trPr>
          <w:trHeight w:val="283"/>
        </w:trPr>
        <w:tc>
          <w:tcPr>
            <w:tcW w:w="4248" w:type="dxa"/>
          </w:tcPr>
          <w:p w14:paraId="2603D4F1"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c>
          <w:tcPr>
            <w:tcW w:w="1134" w:type="dxa"/>
          </w:tcPr>
          <w:p w14:paraId="7C0CDB78" w14:textId="77777777" w:rsidR="006D57B7" w:rsidRPr="006D57B7" w:rsidRDefault="006D57B7" w:rsidP="006D57B7">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6D57B7">
              <w:rPr>
                <w:rFonts w:cs="Arial"/>
                <w:b/>
                <w:bCs/>
                <w:color w:val="000000" w:themeColor="text1"/>
                <w:sz w:val="20"/>
                <w:szCs w:val="20"/>
              </w:rPr>
              <w:t xml:space="preserve">2025 </w:t>
            </w:r>
          </w:p>
          <w:p w14:paraId="144C7419" w14:textId="77777777" w:rsidR="006D57B7" w:rsidRPr="006D57B7" w:rsidRDefault="006D57B7" w:rsidP="006D57B7">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6D57B7">
              <w:rPr>
                <w:rFonts w:cs="Arial"/>
                <w:b/>
                <w:bCs/>
                <w:color w:val="000000" w:themeColor="text1"/>
                <w:sz w:val="20"/>
                <w:szCs w:val="20"/>
              </w:rPr>
              <w:t>£’000</w:t>
            </w:r>
          </w:p>
        </w:tc>
        <w:tc>
          <w:tcPr>
            <w:tcW w:w="1276" w:type="dxa"/>
          </w:tcPr>
          <w:p w14:paraId="540E8CF7" w14:textId="77777777" w:rsidR="006D57B7" w:rsidRPr="006D57B7" w:rsidRDefault="006D57B7" w:rsidP="006D57B7">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6D57B7">
              <w:rPr>
                <w:rFonts w:cs="Arial"/>
                <w:b/>
                <w:bCs/>
                <w:color w:val="000000" w:themeColor="text1"/>
                <w:sz w:val="20"/>
                <w:szCs w:val="20"/>
              </w:rPr>
              <w:t>2024</w:t>
            </w:r>
          </w:p>
          <w:p w14:paraId="4D42CE2D" w14:textId="77777777" w:rsidR="006D57B7" w:rsidRPr="006D57B7" w:rsidRDefault="006D57B7" w:rsidP="006D57B7">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6D57B7">
              <w:rPr>
                <w:rFonts w:cs="Arial"/>
                <w:b/>
                <w:bCs/>
                <w:color w:val="000000" w:themeColor="text1"/>
                <w:sz w:val="20"/>
                <w:szCs w:val="20"/>
              </w:rPr>
              <w:t>£’000</w:t>
            </w:r>
          </w:p>
        </w:tc>
      </w:tr>
      <w:tr w:rsidR="006D57B7" w:rsidRPr="006D57B7" w14:paraId="5D7ED870" w14:textId="77777777" w:rsidTr="006D57B7">
        <w:trPr>
          <w:trHeight w:val="283"/>
        </w:trPr>
        <w:tc>
          <w:tcPr>
            <w:tcW w:w="4248" w:type="dxa"/>
          </w:tcPr>
          <w:p w14:paraId="05CACA71"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b/>
                <w:bCs/>
                <w:color w:val="000000" w:themeColor="text1"/>
                <w:sz w:val="20"/>
                <w:szCs w:val="20"/>
              </w:rPr>
              <w:t>Current taxation</w:t>
            </w:r>
          </w:p>
        </w:tc>
        <w:tc>
          <w:tcPr>
            <w:tcW w:w="1134" w:type="dxa"/>
          </w:tcPr>
          <w:p w14:paraId="4FC51336"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c>
          <w:tcPr>
            <w:tcW w:w="1276" w:type="dxa"/>
          </w:tcPr>
          <w:p w14:paraId="567EE75E"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r>
      <w:tr w:rsidR="006D57B7" w:rsidRPr="006D57B7" w14:paraId="33C447B4" w14:textId="77777777" w:rsidTr="006D57B7">
        <w:trPr>
          <w:trHeight w:val="283"/>
        </w:trPr>
        <w:tc>
          <w:tcPr>
            <w:tcW w:w="4248" w:type="dxa"/>
          </w:tcPr>
          <w:p w14:paraId="664231FA"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color w:val="000000" w:themeColor="text1"/>
                <w:sz w:val="20"/>
                <w:szCs w:val="20"/>
              </w:rPr>
              <w:t>UK Corporation Tax for the period</w:t>
            </w:r>
          </w:p>
        </w:tc>
        <w:tc>
          <w:tcPr>
            <w:tcW w:w="1134" w:type="dxa"/>
          </w:tcPr>
          <w:p w14:paraId="1484363D"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w:t>
            </w:r>
          </w:p>
        </w:tc>
        <w:tc>
          <w:tcPr>
            <w:tcW w:w="1276" w:type="dxa"/>
          </w:tcPr>
          <w:p w14:paraId="2F2183A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w:t>
            </w:r>
          </w:p>
        </w:tc>
      </w:tr>
      <w:tr w:rsidR="006D57B7" w:rsidRPr="006D57B7" w14:paraId="4C367069" w14:textId="77777777" w:rsidTr="006D57B7">
        <w:trPr>
          <w:trHeight w:val="283"/>
        </w:trPr>
        <w:tc>
          <w:tcPr>
            <w:tcW w:w="4248" w:type="dxa"/>
          </w:tcPr>
          <w:p w14:paraId="0BFF9A69"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color w:val="000000" w:themeColor="text1"/>
                <w:sz w:val="20"/>
                <w:szCs w:val="20"/>
              </w:rPr>
              <w:t>Adjustments in respect of prior periods</w:t>
            </w:r>
          </w:p>
        </w:tc>
        <w:tc>
          <w:tcPr>
            <w:tcW w:w="1134" w:type="dxa"/>
          </w:tcPr>
          <w:p w14:paraId="67D375B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w:t>
            </w:r>
          </w:p>
        </w:tc>
        <w:tc>
          <w:tcPr>
            <w:tcW w:w="1276" w:type="dxa"/>
          </w:tcPr>
          <w:p w14:paraId="36573FC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w:t>
            </w:r>
          </w:p>
        </w:tc>
      </w:tr>
      <w:tr w:rsidR="006D57B7" w:rsidRPr="006D57B7" w14:paraId="541CEA2B" w14:textId="77777777" w:rsidTr="006D57B7">
        <w:trPr>
          <w:trHeight w:val="283"/>
        </w:trPr>
        <w:tc>
          <w:tcPr>
            <w:tcW w:w="4248" w:type="dxa"/>
          </w:tcPr>
          <w:p w14:paraId="5F83520C"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b/>
                <w:bCs/>
                <w:color w:val="000000" w:themeColor="text1"/>
                <w:sz w:val="20"/>
                <w:szCs w:val="20"/>
              </w:rPr>
              <w:t>Total current tax</w:t>
            </w:r>
          </w:p>
        </w:tc>
        <w:tc>
          <w:tcPr>
            <w:tcW w:w="1134" w:type="dxa"/>
          </w:tcPr>
          <w:p w14:paraId="4BEF716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w:t>
            </w:r>
          </w:p>
        </w:tc>
        <w:tc>
          <w:tcPr>
            <w:tcW w:w="1276" w:type="dxa"/>
          </w:tcPr>
          <w:p w14:paraId="3BDE242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w:t>
            </w:r>
          </w:p>
        </w:tc>
      </w:tr>
      <w:tr w:rsidR="006D57B7" w:rsidRPr="006D57B7" w14:paraId="412C4F91" w14:textId="77777777" w:rsidTr="006D57B7">
        <w:trPr>
          <w:trHeight w:val="283"/>
        </w:trPr>
        <w:tc>
          <w:tcPr>
            <w:tcW w:w="4248" w:type="dxa"/>
          </w:tcPr>
          <w:p w14:paraId="745047D6"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b/>
                <w:bCs/>
                <w:color w:val="000000" w:themeColor="text1"/>
                <w:sz w:val="20"/>
                <w:szCs w:val="20"/>
              </w:rPr>
              <w:t>Deferred Taxation</w:t>
            </w:r>
          </w:p>
        </w:tc>
        <w:tc>
          <w:tcPr>
            <w:tcW w:w="1134" w:type="dxa"/>
          </w:tcPr>
          <w:p w14:paraId="46E0E33D"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c>
          <w:tcPr>
            <w:tcW w:w="1276" w:type="dxa"/>
          </w:tcPr>
          <w:p w14:paraId="3C7A76CC"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r>
      <w:tr w:rsidR="006D57B7" w:rsidRPr="006D57B7" w14:paraId="183C8BD6" w14:textId="77777777" w:rsidTr="006D57B7">
        <w:trPr>
          <w:trHeight w:val="283"/>
        </w:trPr>
        <w:tc>
          <w:tcPr>
            <w:tcW w:w="4248" w:type="dxa"/>
          </w:tcPr>
          <w:p w14:paraId="5BF55740"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color w:val="000000" w:themeColor="text1"/>
                <w:sz w:val="20"/>
                <w:szCs w:val="20"/>
              </w:rPr>
              <w:t>Origination/reversal of timing differences</w:t>
            </w:r>
          </w:p>
        </w:tc>
        <w:tc>
          <w:tcPr>
            <w:tcW w:w="1134" w:type="dxa"/>
          </w:tcPr>
          <w:p w14:paraId="6E21097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2,500</w:t>
            </w:r>
          </w:p>
        </w:tc>
        <w:tc>
          <w:tcPr>
            <w:tcW w:w="1276" w:type="dxa"/>
          </w:tcPr>
          <w:p w14:paraId="0475048F"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1,795</w:t>
            </w:r>
          </w:p>
        </w:tc>
      </w:tr>
      <w:tr w:rsidR="006D57B7" w:rsidRPr="006D57B7" w14:paraId="159D7875" w14:textId="77777777" w:rsidTr="006D57B7">
        <w:trPr>
          <w:trHeight w:val="283"/>
        </w:trPr>
        <w:tc>
          <w:tcPr>
            <w:tcW w:w="4248" w:type="dxa"/>
          </w:tcPr>
          <w:p w14:paraId="65CD58D2"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color w:val="000000" w:themeColor="text1"/>
                <w:sz w:val="20"/>
                <w:szCs w:val="20"/>
              </w:rPr>
              <w:t>Adjustments in respect of prior periods</w:t>
            </w:r>
          </w:p>
        </w:tc>
        <w:tc>
          <w:tcPr>
            <w:tcW w:w="1134" w:type="dxa"/>
          </w:tcPr>
          <w:p w14:paraId="11D5667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11,505</w:t>
            </w:r>
          </w:p>
        </w:tc>
        <w:tc>
          <w:tcPr>
            <w:tcW w:w="1276" w:type="dxa"/>
          </w:tcPr>
          <w:p w14:paraId="42C834C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2,733</w:t>
            </w:r>
          </w:p>
        </w:tc>
      </w:tr>
      <w:tr w:rsidR="006D57B7" w:rsidRPr="006D57B7" w14:paraId="41AACFDA" w14:textId="77777777" w:rsidTr="006D57B7">
        <w:trPr>
          <w:trHeight w:val="283"/>
        </w:trPr>
        <w:tc>
          <w:tcPr>
            <w:tcW w:w="4248" w:type="dxa"/>
          </w:tcPr>
          <w:p w14:paraId="5522E2E4"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color w:val="000000" w:themeColor="text1"/>
                <w:sz w:val="20"/>
                <w:szCs w:val="20"/>
              </w:rPr>
              <w:t>Derivatives</w:t>
            </w:r>
          </w:p>
        </w:tc>
        <w:tc>
          <w:tcPr>
            <w:tcW w:w="1134" w:type="dxa"/>
          </w:tcPr>
          <w:p w14:paraId="36671C1F"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(1,116)</w:t>
            </w:r>
          </w:p>
        </w:tc>
        <w:tc>
          <w:tcPr>
            <w:tcW w:w="1276" w:type="dxa"/>
          </w:tcPr>
          <w:p w14:paraId="2CAE9C3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color w:val="000000" w:themeColor="text1"/>
                <w:sz w:val="20"/>
                <w:szCs w:val="20"/>
              </w:rPr>
              <w:t>246</w:t>
            </w:r>
          </w:p>
        </w:tc>
      </w:tr>
      <w:tr w:rsidR="006D57B7" w:rsidRPr="006D57B7" w14:paraId="1EE571B2" w14:textId="77777777" w:rsidTr="006D57B7">
        <w:trPr>
          <w:trHeight w:val="283"/>
        </w:trPr>
        <w:tc>
          <w:tcPr>
            <w:tcW w:w="4248" w:type="dxa"/>
          </w:tcPr>
          <w:p w14:paraId="50F4C60C"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b/>
                <w:bCs/>
                <w:color w:val="000000" w:themeColor="text1"/>
                <w:sz w:val="20"/>
                <w:szCs w:val="20"/>
              </w:rPr>
              <w:t>Total deferred tax</w:t>
            </w:r>
          </w:p>
        </w:tc>
        <w:tc>
          <w:tcPr>
            <w:tcW w:w="1134" w:type="dxa"/>
          </w:tcPr>
          <w:p w14:paraId="595E8AC2"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12,889</w:t>
            </w:r>
          </w:p>
        </w:tc>
        <w:tc>
          <w:tcPr>
            <w:tcW w:w="1276" w:type="dxa"/>
          </w:tcPr>
          <w:p w14:paraId="1AFE0A7F"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4,774</w:t>
            </w:r>
          </w:p>
        </w:tc>
      </w:tr>
      <w:tr w:rsidR="006D57B7" w:rsidRPr="006D57B7" w14:paraId="4CC15DC4" w14:textId="77777777" w:rsidTr="006D57B7">
        <w:trPr>
          <w:trHeight w:val="283"/>
        </w:trPr>
        <w:tc>
          <w:tcPr>
            <w:tcW w:w="4248" w:type="dxa"/>
          </w:tcPr>
          <w:p w14:paraId="63477F0C"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6D57B7">
              <w:rPr>
                <w:rFonts w:cs="Arial"/>
                <w:b/>
                <w:bCs/>
                <w:color w:val="000000" w:themeColor="text1"/>
                <w:sz w:val="20"/>
                <w:szCs w:val="20"/>
              </w:rPr>
              <w:t>Total tax charge for the period</w:t>
            </w:r>
          </w:p>
        </w:tc>
        <w:tc>
          <w:tcPr>
            <w:tcW w:w="1134" w:type="dxa"/>
          </w:tcPr>
          <w:p w14:paraId="48E1D0D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12,889</w:t>
            </w:r>
          </w:p>
        </w:tc>
        <w:tc>
          <w:tcPr>
            <w:tcW w:w="1276" w:type="dxa"/>
          </w:tcPr>
          <w:p w14:paraId="1A15AE0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6D57B7">
              <w:rPr>
                <w:rFonts w:cs="Arial"/>
                <w:b/>
                <w:bCs/>
                <w:color w:val="000000" w:themeColor="text1"/>
                <w:sz w:val="20"/>
                <w:szCs w:val="20"/>
              </w:rPr>
              <w:t>4,774</w:t>
            </w:r>
          </w:p>
        </w:tc>
      </w:tr>
    </w:tbl>
    <w:p w14:paraId="2A3FC35D" w14:textId="77777777" w:rsidR="006D57B7" w:rsidRDefault="006D57B7" w:rsidP="00A06BD6">
      <w:pPr>
        <w:rPr>
          <w:b/>
          <w:bCs/>
          <w:sz w:val="28"/>
          <w:szCs w:val="28"/>
        </w:rPr>
      </w:pPr>
    </w:p>
    <w:p w14:paraId="6A43690D" w14:textId="77777777" w:rsidR="006D57B7" w:rsidRDefault="006D57B7">
      <w:pPr>
        <w:spacing w:line="240" w:lineRule="auto"/>
        <w:rPr>
          <w:b/>
          <w:bCs/>
        </w:rPr>
      </w:pPr>
      <w:r>
        <w:rPr>
          <w:b/>
          <w:bCs/>
        </w:rPr>
        <w:br w:type="page"/>
      </w:r>
    </w:p>
    <w:p w14:paraId="1854862C" w14:textId="41E43148" w:rsidR="006D57B7" w:rsidRPr="006D57B7" w:rsidRDefault="006D57B7" w:rsidP="006D57B7">
      <w:pPr>
        <w:rPr>
          <w:b/>
          <w:bCs/>
        </w:rPr>
      </w:pPr>
      <w:r w:rsidRPr="006D57B7">
        <w:rPr>
          <w:b/>
          <w:bCs/>
        </w:rPr>
        <w:lastRenderedPageBreak/>
        <w:t>b. Factors Affecting Tax Charge for the Period</w:t>
      </w:r>
    </w:p>
    <w:p w14:paraId="7DABF8DB" w14:textId="77777777" w:rsidR="006D57B7" w:rsidRDefault="006D57B7" w:rsidP="006D57B7">
      <w:pPr>
        <w:rPr>
          <w:color w:val="000000"/>
        </w:rPr>
      </w:pPr>
      <w:r w:rsidRPr="006D57B7">
        <w:rPr>
          <w:color w:val="000000"/>
        </w:rPr>
        <w:t>The charge for the period can be reconciled to the result per income statement as follows:</w:t>
      </w:r>
    </w:p>
    <w:tbl>
      <w:tblPr>
        <w:tblStyle w:val="TableGrid"/>
        <w:tblW w:w="0" w:type="auto"/>
        <w:tblLayout w:type="fixed"/>
        <w:tblLook w:val="0000" w:firstRow="0" w:lastRow="0" w:firstColumn="0" w:lastColumn="0" w:noHBand="0" w:noVBand="0"/>
      </w:tblPr>
      <w:tblGrid>
        <w:gridCol w:w="4957"/>
        <w:gridCol w:w="1559"/>
        <w:gridCol w:w="1417"/>
      </w:tblGrid>
      <w:tr w:rsidR="006D57B7" w:rsidRPr="006D57B7" w14:paraId="2236F441" w14:textId="77777777" w:rsidTr="006D57B7">
        <w:trPr>
          <w:trHeight w:val="283"/>
        </w:trPr>
        <w:tc>
          <w:tcPr>
            <w:tcW w:w="4957" w:type="dxa"/>
          </w:tcPr>
          <w:p w14:paraId="7EBA8B73" w14:textId="77777777" w:rsidR="006D57B7" w:rsidRPr="006D57B7" w:rsidRDefault="006D57B7" w:rsidP="006D57B7">
            <w:pPr>
              <w:spacing w:line="240" w:lineRule="auto"/>
              <w:rPr>
                <w:color w:val="000000" w:themeColor="text1"/>
                <w:sz w:val="20"/>
                <w:szCs w:val="20"/>
              </w:rPr>
            </w:pPr>
          </w:p>
        </w:tc>
        <w:tc>
          <w:tcPr>
            <w:tcW w:w="1559" w:type="dxa"/>
          </w:tcPr>
          <w:p w14:paraId="5584C6DA"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 xml:space="preserve">2025 </w:t>
            </w:r>
          </w:p>
          <w:p w14:paraId="61CD8551" w14:textId="77777777" w:rsidR="006D57B7" w:rsidRPr="006D57B7" w:rsidRDefault="006D57B7" w:rsidP="006D57B7">
            <w:pPr>
              <w:spacing w:line="240" w:lineRule="auto"/>
              <w:rPr>
                <w:color w:val="000000" w:themeColor="text1"/>
                <w:sz w:val="20"/>
                <w:szCs w:val="20"/>
              </w:rPr>
            </w:pPr>
            <w:r w:rsidRPr="006D57B7">
              <w:rPr>
                <w:rFonts w:cs="Axiforma"/>
                <w:b/>
                <w:bCs/>
                <w:color w:val="000000" w:themeColor="text1"/>
                <w:sz w:val="20"/>
                <w:szCs w:val="20"/>
              </w:rPr>
              <w:t>£’000</w:t>
            </w:r>
          </w:p>
        </w:tc>
        <w:tc>
          <w:tcPr>
            <w:tcW w:w="1417" w:type="dxa"/>
          </w:tcPr>
          <w:p w14:paraId="24805263"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2024</w:t>
            </w:r>
          </w:p>
          <w:p w14:paraId="69E57143" w14:textId="77777777" w:rsidR="006D57B7" w:rsidRPr="006D57B7" w:rsidRDefault="006D57B7" w:rsidP="006D57B7">
            <w:pPr>
              <w:spacing w:line="240" w:lineRule="auto"/>
              <w:rPr>
                <w:color w:val="000000" w:themeColor="text1"/>
                <w:sz w:val="20"/>
                <w:szCs w:val="20"/>
              </w:rPr>
            </w:pPr>
            <w:r w:rsidRPr="006D57B7">
              <w:rPr>
                <w:rFonts w:cs="Axiforma"/>
                <w:b/>
                <w:bCs/>
                <w:color w:val="000000" w:themeColor="text1"/>
                <w:sz w:val="20"/>
                <w:szCs w:val="20"/>
              </w:rPr>
              <w:t>£’000</w:t>
            </w:r>
          </w:p>
        </w:tc>
      </w:tr>
      <w:tr w:rsidR="006D57B7" w:rsidRPr="006D57B7" w14:paraId="46BB3562" w14:textId="77777777" w:rsidTr="006D57B7">
        <w:trPr>
          <w:trHeight w:val="283"/>
        </w:trPr>
        <w:tc>
          <w:tcPr>
            <w:tcW w:w="4957" w:type="dxa"/>
          </w:tcPr>
          <w:p w14:paraId="31451E15"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(Loss)/profit on continuing activities before tax</w:t>
            </w:r>
          </w:p>
        </w:tc>
        <w:tc>
          <w:tcPr>
            <w:tcW w:w="1559" w:type="dxa"/>
          </w:tcPr>
          <w:p w14:paraId="439FD582"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(5,615)</w:t>
            </w:r>
          </w:p>
        </w:tc>
        <w:tc>
          <w:tcPr>
            <w:tcW w:w="1417" w:type="dxa"/>
          </w:tcPr>
          <w:p w14:paraId="65CEB9CF"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7,631</w:t>
            </w:r>
          </w:p>
        </w:tc>
      </w:tr>
      <w:tr w:rsidR="006D57B7" w:rsidRPr="006D57B7" w14:paraId="1FF61011" w14:textId="77777777" w:rsidTr="006D57B7">
        <w:trPr>
          <w:trHeight w:val="283"/>
        </w:trPr>
        <w:tc>
          <w:tcPr>
            <w:tcW w:w="4957" w:type="dxa"/>
          </w:tcPr>
          <w:p w14:paraId="16FBBBC2"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Tax at 25% (2024: 25%)</w:t>
            </w:r>
          </w:p>
        </w:tc>
        <w:tc>
          <w:tcPr>
            <w:tcW w:w="1559" w:type="dxa"/>
          </w:tcPr>
          <w:p w14:paraId="525EBC12"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(1,404)</w:t>
            </w:r>
          </w:p>
        </w:tc>
        <w:tc>
          <w:tcPr>
            <w:tcW w:w="1417" w:type="dxa"/>
          </w:tcPr>
          <w:p w14:paraId="1761DA08"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1,908</w:t>
            </w:r>
          </w:p>
        </w:tc>
      </w:tr>
      <w:tr w:rsidR="006D57B7" w:rsidRPr="006D57B7" w14:paraId="499042BF" w14:textId="77777777" w:rsidTr="006D57B7">
        <w:trPr>
          <w:trHeight w:val="283"/>
        </w:trPr>
        <w:tc>
          <w:tcPr>
            <w:tcW w:w="4957" w:type="dxa"/>
          </w:tcPr>
          <w:p w14:paraId="3DD327A1"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Non chargeable income</w:t>
            </w:r>
          </w:p>
        </w:tc>
        <w:tc>
          <w:tcPr>
            <w:tcW w:w="1559" w:type="dxa"/>
          </w:tcPr>
          <w:p w14:paraId="68A421F4"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67,990</w:t>
            </w:r>
          </w:p>
        </w:tc>
        <w:tc>
          <w:tcPr>
            <w:tcW w:w="1417" w:type="dxa"/>
          </w:tcPr>
          <w:p w14:paraId="7BB77F01"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828</w:t>
            </w:r>
          </w:p>
        </w:tc>
      </w:tr>
      <w:tr w:rsidR="006D57B7" w:rsidRPr="006D57B7" w14:paraId="742D267F" w14:textId="77777777" w:rsidTr="006D57B7">
        <w:trPr>
          <w:trHeight w:val="283"/>
        </w:trPr>
        <w:tc>
          <w:tcPr>
            <w:tcW w:w="4957" w:type="dxa"/>
          </w:tcPr>
          <w:p w14:paraId="3E5D7D1E"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Derivatives</w:t>
            </w:r>
          </w:p>
        </w:tc>
        <w:tc>
          <w:tcPr>
            <w:tcW w:w="1559" w:type="dxa"/>
          </w:tcPr>
          <w:p w14:paraId="2395B8AC"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1,116</w:t>
            </w:r>
          </w:p>
        </w:tc>
        <w:tc>
          <w:tcPr>
            <w:tcW w:w="1417" w:type="dxa"/>
          </w:tcPr>
          <w:p w14:paraId="41DA70FB"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(246)</w:t>
            </w:r>
          </w:p>
        </w:tc>
      </w:tr>
      <w:tr w:rsidR="006D57B7" w:rsidRPr="006D57B7" w14:paraId="578531E8" w14:textId="77777777" w:rsidTr="006D57B7">
        <w:trPr>
          <w:trHeight w:val="283"/>
        </w:trPr>
        <w:tc>
          <w:tcPr>
            <w:tcW w:w="4957" w:type="dxa"/>
          </w:tcPr>
          <w:p w14:paraId="032AC3C3"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Adjustments to tax charge in respect of prior periods</w:t>
            </w:r>
          </w:p>
        </w:tc>
        <w:tc>
          <w:tcPr>
            <w:tcW w:w="1559" w:type="dxa"/>
          </w:tcPr>
          <w:p w14:paraId="1AA4B96D"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11,575</w:t>
            </w:r>
          </w:p>
        </w:tc>
        <w:tc>
          <w:tcPr>
            <w:tcW w:w="1417" w:type="dxa"/>
          </w:tcPr>
          <w:p w14:paraId="3C6A5D2C"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2,734</w:t>
            </w:r>
          </w:p>
        </w:tc>
      </w:tr>
      <w:tr w:rsidR="006D57B7" w:rsidRPr="006D57B7" w14:paraId="25E01D0D" w14:textId="77777777" w:rsidTr="006D57B7">
        <w:trPr>
          <w:trHeight w:val="283"/>
        </w:trPr>
        <w:tc>
          <w:tcPr>
            <w:tcW w:w="4957" w:type="dxa"/>
          </w:tcPr>
          <w:p w14:paraId="2BD871B7"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Other tax adjustments, reliefs and transfers</w:t>
            </w:r>
          </w:p>
        </w:tc>
        <w:tc>
          <w:tcPr>
            <w:tcW w:w="1559" w:type="dxa"/>
          </w:tcPr>
          <w:p w14:paraId="298F4A8E"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(68,831)</w:t>
            </w:r>
          </w:p>
        </w:tc>
        <w:tc>
          <w:tcPr>
            <w:tcW w:w="1417" w:type="dxa"/>
          </w:tcPr>
          <w:p w14:paraId="792BF197"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(450)</w:t>
            </w:r>
          </w:p>
        </w:tc>
      </w:tr>
      <w:tr w:rsidR="006D57B7" w:rsidRPr="006D57B7" w14:paraId="0FA2F943" w14:textId="77777777" w:rsidTr="006D57B7">
        <w:trPr>
          <w:trHeight w:val="283"/>
        </w:trPr>
        <w:tc>
          <w:tcPr>
            <w:tcW w:w="4957" w:type="dxa"/>
          </w:tcPr>
          <w:p w14:paraId="21C7447B"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Movement in deferred tax not recognised</w:t>
            </w:r>
          </w:p>
        </w:tc>
        <w:tc>
          <w:tcPr>
            <w:tcW w:w="1559" w:type="dxa"/>
          </w:tcPr>
          <w:p w14:paraId="749AE478"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2,443</w:t>
            </w:r>
          </w:p>
        </w:tc>
        <w:tc>
          <w:tcPr>
            <w:tcW w:w="1417" w:type="dxa"/>
          </w:tcPr>
          <w:p w14:paraId="753BBBDD" w14:textId="77777777" w:rsidR="006D57B7" w:rsidRPr="006D57B7" w:rsidRDefault="006D57B7" w:rsidP="006D57B7">
            <w:pPr>
              <w:spacing w:line="240" w:lineRule="auto"/>
              <w:rPr>
                <w:rFonts w:cs="Axiforma"/>
                <w:b/>
                <w:bCs/>
                <w:color w:val="000000" w:themeColor="text1"/>
                <w:sz w:val="20"/>
                <w:szCs w:val="20"/>
              </w:rPr>
            </w:pPr>
            <w:r w:rsidRPr="006D57B7">
              <w:rPr>
                <w:rFonts w:cs="Axiforma"/>
                <w:color w:val="000000" w:themeColor="text1"/>
                <w:sz w:val="20"/>
                <w:szCs w:val="20"/>
              </w:rPr>
              <w:t>-</w:t>
            </w:r>
          </w:p>
        </w:tc>
      </w:tr>
      <w:tr w:rsidR="006D57B7" w:rsidRPr="006D57B7" w14:paraId="2AA8C753" w14:textId="77777777" w:rsidTr="006D57B7">
        <w:trPr>
          <w:trHeight w:val="283"/>
        </w:trPr>
        <w:tc>
          <w:tcPr>
            <w:tcW w:w="4957" w:type="dxa"/>
          </w:tcPr>
          <w:p w14:paraId="7A412912"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Total tax charge for the period</w:t>
            </w:r>
          </w:p>
        </w:tc>
        <w:tc>
          <w:tcPr>
            <w:tcW w:w="1559" w:type="dxa"/>
          </w:tcPr>
          <w:p w14:paraId="30D19E69"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12,889</w:t>
            </w:r>
          </w:p>
        </w:tc>
        <w:tc>
          <w:tcPr>
            <w:tcW w:w="1417" w:type="dxa"/>
          </w:tcPr>
          <w:p w14:paraId="74B6FA2F" w14:textId="77777777" w:rsidR="006D57B7" w:rsidRPr="006D57B7" w:rsidRDefault="006D57B7" w:rsidP="006D57B7">
            <w:pPr>
              <w:spacing w:line="240" w:lineRule="auto"/>
              <w:rPr>
                <w:rFonts w:cs="Axiforma"/>
                <w:b/>
                <w:bCs/>
                <w:color w:val="000000" w:themeColor="text1"/>
                <w:sz w:val="20"/>
                <w:szCs w:val="20"/>
              </w:rPr>
            </w:pPr>
            <w:r w:rsidRPr="006D57B7">
              <w:rPr>
                <w:rFonts w:cs="Axiforma"/>
                <w:b/>
                <w:bCs/>
                <w:color w:val="000000" w:themeColor="text1"/>
                <w:sz w:val="20"/>
                <w:szCs w:val="20"/>
              </w:rPr>
              <w:t>4,774</w:t>
            </w:r>
          </w:p>
        </w:tc>
      </w:tr>
    </w:tbl>
    <w:p w14:paraId="33E3392E" w14:textId="77777777" w:rsidR="006D57B7" w:rsidRDefault="006D57B7" w:rsidP="006D57B7">
      <w:pPr>
        <w:rPr>
          <w:color w:val="000000"/>
        </w:rPr>
      </w:pPr>
    </w:p>
    <w:p w14:paraId="5B8D4C7C" w14:textId="77777777" w:rsidR="006D57B7" w:rsidRPr="006D57B7" w:rsidRDefault="006D57B7" w:rsidP="006D57B7">
      <w:pPr>
        <w:rPr>
          <w:b/>
          <w:bCs/>
        </w:rPr>
      </w:pPr>
      <w:r w:rsidRPr="006D57B7">
        <w:rPr>
          <w:b/>
          <w:bCs/>
        </w:rPr>
        <w:t>c. Factors That May Affect Future Tax Charges</w:t>
      </w:r>
    </w:p>
    <w:p w14:paraId="56BC09C3" w14:textId="77777777" w:rsidR="006D57B7" w:rsidRPr="006D57B7" w:rsidRDefault="006D57B7" w:rsidP="006D57B7">
      <w:pPr>
        <w:rPr>
          <w:color w:val="000000"/>
        </w:rPr>
      </w:pPr>
      <w:r w:rsidRPr="006D57B7">
        <w:rPr>
          <w:color w:val="000000"/>
        </w:rPr>
        <w:t>There were no factors that may affect future tax charges.</w:t>
      </w:r>
    </w:p>
    <w:p w14:paraId="06CF5A15" w14:textId="77777777" w:rsidR="006D57B7" w:rsidRPr="006D57B7" w:rsidRDefault="006D57B7" w:rsidP="006D57B7">
      <w:pPr>
        <w:rPr>
          <w:color w:val="000000"/>
        </w:rPr>
      </w:pPr>
    </w:p>
    <w:p w14:paraId="5BBF7BBE" w14:textId="574D1CB1" w:rsidR="006D57B7" w:rsidRPr="006D57B7" w:rsidRDefault="006D57B7" w:rsidP="006D57B7">
      <w:pPr>
        <w:rPr>
          <w:b/>
          <w:bCs/>
        </w:rPr>
      </w:pPr>
      <w:r w:rsidRPr="006D57B7">
        <w:rPr>
          <w:b/>
          <w:bCs/>
        </w:rPr>
        <w:t>d. Tax on Items Taken Directly to Other Comprehensive Income</w:t>
      </w:r>
    </w:p>
    <w:p w14:paraId="3004B9A9" w14:textId="7534BC2B" w:rsidR="006D57B7" w:rsidRDefault="006D57B7" w:rsidP="006D57B7">
      <w:pPr>
        <w:rPr>
          <w:color w:val="000000"/>
        </w:rPr>
      </w:pPr>
      <w:r w:rsidRPr="006D57B7">
        <w:rPr>
          <w:color w:val="000000"/>
        </w:rPr>
        <w:t>In addition to the amount charged to the income statement, the following amounts relating to tax have been recognised in other comprehensive income:</w:t>
      </w:r>
    </w:p>
    <w:tbl>
      <w:tblPr>
        <w:tblStyle w:val="TableGrid"/>
        <w:tblW w:w="0" w:type="auto"/>
        <w:tblLayout w:type="fixed"/>
        <w:tblLook w:val="0000" w:firstRow="0" w:lastRow="0" w:firstColumn="0" w:lastColumn="0" w:noHBand="0" w:noVBand="0"/>
      </w:tblPr>
      <w:tblGrid>
        <w:gridCol w:w="6321"/>
        <w:gridCol w:w="1892"/>
        <w:gridCol w:w="1651"/>
      </w:tblGrid>
      <w:tr w:rsidR="006D57B7" w:rsidRPr="006D57B7" w14:paraId="6FCC356D" w14:textId="77777777" w:rsidTr="006D57B7">
        <w:trPr>
          <w:trHeight w:val="567"/>
        </w:trPr>
        <w:tc>
          <w:tcPr>
            <w:tcW w:w="6321" w:type="dxa"/>
          </w:tcPr>
          <w:p w14:paraId="66468BD4"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c>
          <w:tcPr>
            <w:tcW w:w="1892" w:type="dxa"/>
          </w:tcPr>
          <w:p w14:paraId="3B6F2353"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 xml:space="preserve">2025 </w:t>
            </w:r>
          </w:p>
          <w:p w14:paraId="31AB02CA"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6D57B7">
              <w:rPr>
                <w:rFonts w:cs="Arial"/>
                <w:b/>
                <w:bCs/>
                <w:color w:val="000000" w:themeColor="text1"/>
                <w:sz w:val="20"/>
                <w:szCs w:val="20"/>
              </w:rPr>
              <w:t>£’000</w:t>
            </w:r>
          </w:p>
        </w:tc>
        <w:tc>
          <w:tcPr>
            <w:tcW w:w="1651" w:type="dxa"/>
          </w:tcPr>
          <w:p w14:paraId="0896DED8"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2024</w:t>
            </w:r>
          </w:p>
          <w:p w14:paraId="1EEFC7AF"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6D57B7">
              <w:rPr>
                <w:rFonts w:cs="Arial"/>
                <w:b/>
                <w:bCs/>
                <w:color w:val="000000" w:themeColor="text1"/>
                <w:sz w:val="20"/>
                <w:szCs w:val="20"/>
              </w:rPr>
              <w:t>£’000</w:t>
            </w:r>
          </w:p>
        </w:tc>
      </w:tr>
      <w:tr w:rsidR="006D57B7" w:rsidRPr="006D57B7" w14:paraId="57044449" w14:textId="77777777" w:rsidTr="006D57B7">
        <w:trPr>
          <w:trHeight w:val="567"/>
        </w:trPr>
        <w:tc>
          <w:tcPr>
            <w:tcW w:w="6321" w:type="dxa"/>
          </w:tcPr>
          <w:p w14:paraId="082A80ED" w14:textId="77777777" w:rsidR="006D57B7" w:rsidRPr="006D57B7" w:rsidRDefault="006D57B7" w:rsidP="006D57B7">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6D57B7">
              <w:rPr>
                <w:rFonts w:cs="Arial"/>
                <w:color w:val="000000" w:themeColor="text1"/>
                <w:sz w:val="20"/>
                <w:szCs w:val="20"/>
              </w:rPr>
              <w:t>Arising on income and expenses recognised in other comprehensive income:</w:t>
            </w:r>
          </w:p>
        </w:tc>
        <w:tc>
          <w:tcPr>
            <w:tcW w:w="1892" w:type="dxa"/>
          </w:tcPr>
          <w:p w14:paraId="61A0ADFB"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c>
          <w:tcPr>
            <w:tcW w:w="1651" w:type="dxa"/>
          </w:tcPr>
          <w:p w14:paraId="6C3F64A0" w14:textId="77777777" w:rsidR="006D57B7" w:rsidRPr="006D57B7" w:rsidRDefault="006D57B7" w:rsidP="006D57B7">
            <w:pPr>
              <w:autoSpaceDE w:val="0"/>
              <w:autoSpaceDN w:val="0"/>
              <w:adjustRightInd w:val="0"/>
              <w:spacing w:line="240" w:lineRule="auto"/>
              <w:rPr>
                <w:rFonts w:cs="Arial"/>
                <w:color w:val="000000" w:themeColor="text1"/>
                <w:sz w:val="20"/>
                <w:szCs w:val="20"/>
              </w:rPr>
            </w:pPr>
          </w:p>
        </w:tc>
      </w:tr>
      <w:tr w:rsidR="006D57B7" w:rsidRPr="006D57B7" w14:paraId="45F7A209" w14:textId="77777777" w:rsidTr="006D57B7">
        <w:trPr>
          <w:trHeight w:val="454"/>
        </w:trPr>
        <w:tc>
          <w:tcPr>
            <w:tcW w:w="6321" w:type="dxa"/>
          </w:tcPr>
          <w:p w14:paraId="59BC8F97" w14:textId="77777777" w:rsidR="006D57B7" w:rsidRPr="006D57B7" w:rsidRDefault="006D57B7" w:rsidP="006D57B7">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6D57B7">
              <w:rPr>
                <w:rFonts w:cs="Arial"/>
                <w:color w:val="000000" w:themeColor="text1"/>
                <w:sz w:val="20"/>
                <w:szCs w:val="20"/>
              </w:rPr>
              <w:t>Actuarial gains on defined benefit pension schemes</w:t>
            </w:r>
          </w:p>
        </w:tc>
        <w:tc>
          <w:tcPr>
            <w:tcW w:w="1892" w:type="dxa"/>
          </w:tcPr>
          <w:p w14:paraId="31DD835A"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(41,374)</w:t>
            </w:r>
          </w:p>
        </w:tc>
        <w:tc>
          <w:tcPr>
            <w:tcW w:w="1651" w:type="dxa"/>
          </w:tcPr>
          <w:p w14:paraId="1A04D1F7"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(13,927)</w:t>
            </w:r>
          </w:p>
        </w:tc>
      </w:tr>
      <w:tr w:rsidR="006D57B7" w:rsidRPr="006D57B7" w14:paraId="3B7A4B44" w14:textId="77777777" w:rsidTr="006D57B7">
        <w:trPr>
          <w:trHeight w:val="454"/>
        </w:trPr>
        <w:tc>
          <w:tcPr>
            <w:tcW w:w="6321" w:type="dxa"/>
          </w:tcPr>
          <w:p w14:paraId="480FFAAD" w14:textId="77777777" w:rsidR="006D57B7" w:rsidRPr="006D57B7" w:rsidRDefault="006D57B7" w:rsidP="006D57B7">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6D57B7">
              <w:rPr>
                <w:rFonts w:cs="Arial"/>
                <w:b/>
                <w:bCs/>
                <w:color w:val="000000" w:themeColor="text1"/>
                <w:sz w:val="20"/>
                <w:szCs w:val="20"/>
              </w:rPr>
              <w:t>Total tax credit recognised in other comprehensive income</w:t>
            </w:r>
          </w:p>
        </w:tc>
        <w:tc>
          <w:tcPr>
            <w:tcW w:w="1892" w:type="dxa"/>
          </w:tcPr>
          <w:p w14:paraId="28109CA9"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(41,374)</w:t>
            </w:r>
          </w:p>
        </w:tc>
        <w:tc>
          <w:tcPr>
            <w:tcW w:w="1651" w:type="dxa"/>
          </w:tcPr>
          <w:p w14:paraId="2056C2C2" w14:textId="77777777" w:rsidR="006D57B7" w:rsidRPr="006D57B7" w:rsidRDefault="006D57B7" w:rsidP="006D57B7">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D57B7">
              <w:rPr>
                <w:rFonts w:cs="Arial"/>
                <w:b/>
                <w:bCs/>
                <w:color w:val="000000" w:themeColor="text1"/>
                <w:sz w:val="20"/>
                <w:szCs w:val="20"/>
              </w:rPr>
              <w:t>(13,927)</w:t>
            </w:r>
          </w:p>
        </w:tc>
      </w:tr>
    </w:tbl>
    <w:p w14:paraId="5AC6DFA3" w14:textId="77777777" w:rsidR="006D57B7" w:rsidRPr="006D57B7" w:rsidRDefault="006D57B7" w:rsidP="006D57B7">
      <w:pPr>
        <w:rPr>
          <w:color w:val="000000"/>
        </w:rPr>
      </w:pPr>
    </w:p>
    <w:p w14:paraId="0B47845F" w14:textId="77777777" w:rsidR="00552D08" w:rsidRDefault="00552D08">
      <w:pPr>
        <w:spacing w:line="240" w:lineRule="auto"/>
        <w:rPr>
          <w:b/>
          <w:bCs/>
        </w:rPr>
      </w:pPr>
      <w:r>
        <w:rPr>
          <w:b/>
          <w:bCs/>
        </w:rPr>
        <w:br w:type="page"/>
      </w:r>
    </w:p>
    <w:p w14:paraId="3E4E47BE" w14:textId="3A0FCD66" w:rsidR="006D57B7" w:rsidRPr="006D57B7" w:rsidRDefault="006D57B7" w:rsidP="006D57B7">
      <w:pPr>
        <w:rPr>
          <w:b/>
          <w:bCs/>
        </w:rPr>
      </w:pPr>
      <w:r w:rsidRPr="006D57B7">
        <w:rPr>
          <w:b/>
          <w:bCs/>
        </w:rPr>
        <w:lastRenderedPageBreak/>
        <w:t>Deferred Tax</w:t>
      </w:r>
    </w:p>
    <w:p w14:paraId="5C232B0C" w14:textId="77777777" w:rsidR="006D57B7" w:rsidRPr="006D57B7" w:rsidRDefault="006D57B7" w:rsidP="006D57B7">
      <w:pPr>
        <w:rPr>
          <w:color w:val="000000"/>
        </w:rPr>
      </w:pPr>
      <w:r w:rsidRPr="006D57B7">
        <w:rPr>
          <w:color w:val="000000"/>
        </w:rPr>
        <w:t>The following are the major tax liabilities and assets recognised by the Group and Company and movements there on during the current and prior reporting period:</w:t>
      </w:r>
    </w:p>
    <w:tbl>
      <w:tblPr>
        <w:tblStyle w:val="TableGrid"/>
        <w:tblW w:w="0" w:type="auto"/>
        <w:tblLayout w:type="fixed"/>
        <w:tblLook w:val="0000" w:firstRow="0" w:lastRow="0" w:firstColumn="0" w:lastColumn="0" w:noHBand="0" w:noVBand="0"/>
      </w:tblPr>
      <w:tblGrid>
        <w:gridCol w:w="1838"/>
        <w:gridCol w:w="1559"/>
        <w:gridCol w:w="1418"/>
        <w:gridCol w:w="1139"/>
        <w:gridCol w:w="845"/>
        <w:gridCol w:w="1276"/>
        <w:gridCol w:w="1134"/>
        <w:gridCol w:w="1134"/>
      </w:tblGrid>
      <w:tr w:rsidR="00552D08" w:rsidRPr="006D57B7" w14:paraId="35439309" w14:textId="77777777" w:rsidTr="00552D08">
        <w:trPr>
          <w:trHeight w:val="510"/>
        </w:trPr>
        <w:tc>
          <w:tcPr>
            <w:tcW w:w="1838" w:type="dxa"/>
          </w:tcPr>
          <w:p w14:paraId="0D30E4E2" w14:textId="77777777" w:rsidR="006D57B7" w:rsidRPr="006D57B7" w:rsidRDefault="006D57B7" w:rsidP="006D57B7">
            <w:pPr>
              <w:tabs>
                <w:tab w:val="left" w:pos="198"/>
              </w:tabs>
              <w:suppressAutoHyphens/>
              <w:autoSpaceDE w:val="0"/>
              <w:autoSpaceDN w:val="0"/>
              <w:adjustRightInd w:val="0"/>
              <w:spacing w:line="160" w:lineRule="atLeast"/>
              <w:textAlignment w:val="center"/>
              <w:rPr>
                <w:rFonts w:cs="Arial"/>
                <w:b/>
                <w:bCs/>
                <w:color w:val="000000" w:themeColor="text1"/>
                <w:sz w:val="16"/>
                <w:szCs w:val="16"/>
              </w:rPr>
            </w:pPr>
            <w:r w:rsidRPr="006D57B7">
              <w:rPr>
                <w:rFonts w:cs="Arial"/>
                <w:b/>
                <w:bCs/>
                <w:color w:val="000000" w:themeColor="text1"/>
                <w:sz w:val="16"/>
                <w:szCs w:val="16"/>
              </w:rPr>
              <w:t>Group</w:t>
            </w:r>
          </w:p>
        </w:tc>
        <w:tc>
          <w:tcPr>
            <w:tcW w:w="1559" w:type="dxa"/>
          </w:tcPr>
          <w:p w14:paraId="27C96B93"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6D57B7">
              <w:rPr>
                <w:rFonts w:cs="Arial"/>
                <w:b/>
                <w:bCs/>
                <w:color w:val="000000" w:themeColor="text1"/>
                <w:sz w:val="16"/>
                <w:szCs w:val="16"/>
              </w:rPr>
              <w:t>Accelerated Tax Depreciation</w:t>
            </w:r>
          </w:p>
          <w:p w14:paraId="7530A61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tc>
        <w:tc>
          <w:tcPr>
            <w:tcW w:w="1418" w:type="dxa"/>
          </w:tcPr>
          <w:p w14:paraId="6660A954"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6D57B7">
              <w:rPr>
                <w:rFonts w:cs="Arial"/>
                <w:b/>
                <w:bCs/>
                <w:color w:val="000000" w:themeColor="text1"/>
                <w:sz w:val="16"/>
                <w:szCs w:val="16"/>
              </w:rPr>
              <w:t>Other Temporary Differences</w:t>
            </w:r>
          </w:p>
          <w:p w14:paraId="254CE7CA"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tc>
        <w:tc>
          <w:tcPr>
            <w:tcW w:w="1139" w:type="dxa"/>
          </w:tcPr>
          <w:p w14:paraId="1264F5EB"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6D57B7">
              <w:rPr>
                <w:rFonts w:cs="Arial"/>
                <w:b/>
                <w:bCs/>
                <w:color w:val="000000" w:themeColor="text1"/>
                <w:sz w:val="16"/>
                <w:szCs w:val="16"/>
              </w:rPr>
              <w:t>Derivatives</w:t>
            </w:r>
          </w:p>
          <w:p w14:paraId="463B016D"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tc>
        <w:tc>
          <w:tcPr>
            <w:tcW w:w="845" w:type="dxa"/>
          </w:tcPr>
          <w:p w14:paraId="60B29042"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6D57B7">
              <w:rPr>
                <w:rFonts w:cs="Arial"/>
                <w:b/>
                <w:bCs/>
                <w:color w:val="000000" w:themeColor="text1"/>
                <w:sz w:val="16"/>
                <w:szCs w:val="16"/>
              </w:rPr>
              <w:t>Losses</w:t>
            </w:r>
          </w:p>
          <w:p w14:paraId="3D550FC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tc>
        <w:tc>
          <w:tcPr>
            <w:tcW w:w="1276" w:type="dxa"/>
          </w:tcPr>
          <w:p w14:paraId="034A993D"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Revaluation Investment Property £’000</w:t>
            </w:r>
          </w:p>
        </w:tc>
        <w:tc>
          <w:tcPr>
            <w:tcW w:w="1134" w:type="dxa"/>
          </w:tcPr>
          <w:p w14:paraId="5FE5742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Retirement Benefit Obligations</w:t>
            </w:r>
          </w:p>
          <w:p w14:paraId="00A4EDF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tc>
        <w:tc>
          <w:tcPr>
            <w:tcW w:w="1134" w:type="dxa"/>
          </w:tcPr>
          <w:p w14:paraId="5249A3EC"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p>
          <w:p w14:paraId="6E227F5B" w14:textId="77777777" w:rsidR="006D57B7" w:rsidRPr="006D57B7" w:rsidRDefault="006D57B7" w:rsidP="006D57B7">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6D57B7">
              <w:rPr>
                <w:rFonts w:cs="Arial"/>
                <w:b/>
                <w:bCs/>
                <w:color w:val="000000" w:themeColor="text1"/>
                <w:sz w:val="16"/>
                <w:szCs w:val="16"/>
              </w:rPr>
              <w:t>Total</w:t>
            </w:r>
          </w:p>
          <w:p w14:paraId="3C7CBD92"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£’000</w:t>
            </w:r>
          </w:p>
          <w:p w14:paraId="1881591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p>
        </w:tc>
      </w:tr>
      <w:tr w:rsidR="00552D08" w:rsidRPr="006D57B7" w14:paraId="5339C43D" w14:textId="77777777" w:rsidTr="00552D08">
        <w:trPr>
          <w:trHeight w:val="510"/>
        </w:trPr>
        <w:tc>
          <w:tcPr>
            <w:tcW w:w="1838" w:type="dxa"/>
          </w:tcPr>
          <w:p w14:paraId="7C6C8546"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6D57B7">
              <w:rPr>
                <w:rFonts w:cs="Arial"/>
                <w:b/>
                <w:bCs/>
                <w:color w:val="000000" w:themeColor="text1"/>
                <w:sz w:val="16"/>
                <w:szCs w:val="16"/>
              </w:rPr>
              <w:t>At</w:t>
            </w:r>
            <w:proofErr w:type="gramEnd"/>
            <w:r w:rsidRPr="006D57B7">
              <w:rPr>
                <w:rFonts w:cs="Arial"/>
                <w:b/>
                <w:bCs/>
                <w:color w:val="000000" w:themeColor="text1"/>
                <w:sz w:val="16"/>
                <w:szCs w:val="16"/>
              </w:rPr>
              <w:t xml:space="preserve"> 26 March 2023</w:t>
            </w:r>
          </w:p>
        </w:tc>
        <w:tc>
          <w:tcPr>
            <w:tcW w:w="1559" w:type="dxa"/>
          </w:tcPr>
          <w:p w14:paraId="6A41D9CB"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(2,477)</w:t>
            </w:r>
          </w:p>
        </w:tc>
        <w:tc>
          <w:tcPr>
            <w:tcW w:w="1418" w:type="dxa"/>
          </w:tcPr>
          <w:p w14:paraId="7B4D3B40"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2,065</w:t>
            </w:r>
          </w:p>
        </w:tc>
        <w:tc>
          <w:tcPr>
            <w:tcW w:w="1139" w:type="dxa"/>
          </w:tcPr>
          <w:p w14:paraId="5CE705C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(52)</w:t>
            </w:r>
          </w:p>
        </w:tc>
        <w:tc>
          <w:tcPr>
            <w:tcW w:w="845" w:type="dxa"/>
          </w:tcPr>
          <w:p w14:paraId="25D582FA"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11,149</w:t>
            </w:r>
          </w:p>
        </w:tc>
        <w:tc>
          <w:tcPr>
            <w:tcW w:w="1276" w:type="dxa"/>
          </w:tcPr>
          <w:p w14:paraId="0B0E88F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(76)</w:t>
            </w:r>
          </w:p>
        </w:tc>
        <w:tc>
          <w:tcPr>
            <w:tcW w:w="1134" w:type="dxa"/>
          </w:tcPr>
          <w:p w14:paraId="47A82A0A"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(24,741)</w:t>
            </w:r>
          </w:p>
        </w:tc>
        <w:tc>
          <w:tcPr>
            <w:tcW w:w="1134" w:type="dxa"/>
          </w:tcPr>
          <w:p w14:paraId="1961AD15"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(14,132)</w:t>
            </w:r>
          </w:p>
        </w:tc>
      </w:tr>
      <w:tr w:rsidR="00552D08" w:rsidRPr="006D57B7" w14:paraId="373A9EE9" w14:textId="77777777" w:rsidTr="00552D08">
        <w:trPr>
          <w:trHeight w:val="510"/>
        </w:trPr>
        <w:tc>
          <w:tcPr>
            <w:tcW w:w="1838" w:type="dxa"/>
          </w:tcPr>
          <w:p w14:paraId="6A2A282E"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6D57B7">
              <w:rPr>
                <w:rFonts w:cs="Arial"/>
                <w:color w:val="000000" w:themeColor="text1"/>
                <w:sz w:val="16"/>
                <w:szCs w:val="16"/>
              </w:rPr>
              <w:t>Credit/(charge) to income statement</w:t>
            </w:r>
          </w:p>
        </w:tc>
        <w:tc>
          <w:tcPr>
            <w:tcW w:w="1559" w:type="dxa"/>
          </w:tcPr>
          <w:p w14:paraId="6E546C9C"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(2,513)</w:t>
            </w:r>
          </w:p>
        </w:tc>
        <w:tc>
          <w:tcPr>
            <w:tcW w:w="1418" w:type="dxa"/>
          </w:tcPr>
          <w:p w14:paraId="37D79F3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(219)</w:t>
            </w:r>
          </w:p>
        </w:tc>
        <w:tc>
          <w:tcPr>
            <w:tcW w:w="1139" w:type="dxa"/>
          </w:tcPr>
          <w:p w14:paraId="66032B09"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(246)</w:t>
            </w:r>
          </w:p>
        </w:tc>
        <w:tc>
          <w:tcPr>
            <w:tcW w:w="845" w:type="dxa"/>
          </w:tcPr>
          <w:p w14:paraId="2296EB5D"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70</w:t>
            </w:r>
          </w:p>
        </w:tc>
        <w:tc>
          <w:tcPr>
            <w:tcW w:w="1276" w:type="dxa"/>
          </w:tcPr>
          <w:p w14:paraId="12D0024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4" w:type="dxa"/>
          </w:tcPr>
          <w:p w14:paraId="50F3960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(1,867)</w:t>
            </w:r>
          </w:p>
        </w:tc>
        <w:tc>
          <w:tcPr>
            <w:tcW w:w="1134" w:type="dxa"/>
          </w:tcPr>
          <w:p w14:paraId="2BCECA7B"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(4,775)</w:t>
            </w:r>
          </w:p>
        </w:tc>
      </w:tr>
      <w:tr w:rsidR="00552D08" w:rsidRPr="006D57B7" w14:paraId="567CAA9E" w14:textId="77777777" w:rsidTr="00552D08">
        <w:trPr>
          <w:trHeight w:val="510"/>
        </w:trPr>
        <w:tc>
          <w:tcPr>
            <w:tcW w:w="1838" w:type="dxa"/>
          </w:tcPr>
          <w:p w14:paraId="5EEF1C65"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6D57B7">
              <w:rPr>
                <w:rFonts w:cs="Arial"/>
                <w:color w:val="000000" w:themeColor="text1"/>
                <w:sz w:val="16"/>
                <w:szCs w:val="16"/>
              </w:rPr>
              <w:t>Credit to other comprehensive income</w:t>
            </w:r>
          </w:p>
        </w:tc>
        <w:tc>
          <w:tcPr>
            <w:tcW w:w="1559" w:type="dxa"/>
          </w:tcPr>
          <w:p w14:paraId="16214109"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418" w:type="dxa"/>
          </w:tcPr>
          <w:p w14:paraId="14C8B0CB"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9" w:type="dxa"/>
          </w:tcPr>
          <w:p w14:paraId="723309E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845" w:type="dxa"/>
          </w:tcPr>
          <w:p w14:paraId="2B0FB890"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276" w:type="dxa"/>
          </w:tcPr>
          <w:p w14:paraId="15283778"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4" w:type="dxa"/>
          </w:tcPr>
          <w:p w14:paraId="42E4B130"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(13,927)</w:t>
            </w:r>
          </w:p>
        </w:tc>
        <w:tc>
          <w:tcPr>
            <w:tcW w:w="1134" w:type="dxa"/>
          </w:tcPr>
          <w:p w14:paraId="5A6E59EC"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(13,927)</w:t>
            </w:r>
          </w:p>
        </w:tc>
      </w:tr>
      <w:tr w:rsidR="00552D08" w:rsidRPr="006D57B7" w14:paraId="3B428B18" w14:textId="77777777" w:rsidTr="00552D08">
        <w:trPr>
          <w:trHeight w:val="510"/>
        </w:trPr>
        <w:tc>
          <w:tcPr>
            <w:tcW w:w="1838" w:type="dxa"/>
          </w:tcPr>
          <w:p w14:paraId="07AA6138"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6D57B7">
              <w:rPr>
                <w:rFonts w:cs="Arial"/>
                <w:b/>
                <w:bCs/>
                <w:color w:val="000000" w:themeColor="text1"/>
                <w:sz w:val="16"/>
                <w:szCs w:val="16"/>
              </w:rPr>
              <w:t>At</w:t>
            </w:r>
            <w:proofErr w:type="gramEnd"/>
            <w:r w:rsidRPr="006D57B7">
              <w:rPr>
                <w:rFonts w:cs="Arial"/>
                <w:b/>
                <w:bCs/>
                <w:color w:val="000000" w:themeColor="text1"/>
                <w:sz w:val="16"/>
                <w:szCs w:val="16"/>
              </w:rPr>
              <w:t xml:space="preserve"> 31 March 2024</w:t>
            </w:r>
          </w:p>
        </w:tc>
        <w:tc>
          <w:tcPr>
            <w:tcW w:w="1559" w:type="dxa"/>
          </w:tcPr>
          <w:p w14:paraId="2E60517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(4,990)</w:t>
            </w:r>
          </w:p>
        </w:tc>
        <w:tc>
          <w:tcPr>
            <w:tcW w:w="1418" w:type="dxa"/>
          </w:tcPr>
          <w:p w14:paraId="402173C8"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1,846</w:t>
            </w:r>
          </w:p>
        </w:tc>
        <w:tc>
          <w:tcPr>
            <w:tcW w:w="1139" w:type="dxa"/>
          </w:tcPr>
          <w:p w14:paraId="5E6392AD"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(298)</w:t>
            </w:r>
          </w:p>
        </w:tc>
        <w:tc>
          <w:tcPr>
            <w:tcW w:w="845" w:type="dxa"/>
          </w:tcPr>
          <w:p w14:paraId="2CFEDA9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11,219</w:t>
            </w:r>
          </w:p>
        </w:tc>
        <w:tc>
          <w:tcPr>
            <w:tcW w:w="1276" w:type="dxa"/>
          </w:tcPr>
          <w:p w14:paraId="4814308A"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(76)</w:t>
            </w:r>
          </w:p>
        </w:tc>
        <w:tc>
          <w:tcPr>
            <w:tcW w:w="1134" w:type="dxa"/>
          </w:tcPr>
          <w:p w14:paraId="4996F0A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(40,535)</w:t>
            </w:r>
          </w:p>
        </w:tc>
        <w:tc>
          <w:tcPr>
            <w:tcW w:w="1134" w:type="dxa"/>
          </w:tcPr>
          <w:p w14:paraId="3E9A29CE"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(32,834)</w:t>
            </w:r>
          </w:p>
        </w:tc>
      </w:tr>
      <w:tr w:rsidR="00552D08" w:rsidRPr="006D57B7" w14:paraId="4E273086" w14:textId="77777777" w:rsidTr="00552D08">
        <w:trPr>
          <w:trHeight w:val="510"/>
        </w:trPr>
        <w:tc>
          <w:tcPr>
            <w:tcW w:w="1838" w:type="dxa"/>
          </w:tcPr>
          <w:p w14:paraId="02DEE799"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6D57B7">
              <w:rPr>
                <w:rFonts w:cs="Arial"/>
                <w:color w:val="000000" w:themeColor="text1"/>
                <w:sz w:val="16"/>
                <w:szCs w:val="16"/>
              </w:rPr>
              <w:t>Credit/(charge) to income statement</w:t>
            </w:r>
          </w:p>
        </w:tc>
        <w:tc>
          <w:tcPr>
            <w:tcW w:w="1559" w:type="dxa"/>
          </w:tcPr>
          <w:p w14:paraId="3C677DD2"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87</w:t>
            </w:r>
          </w:p>
        </w:tc>
        <w:tc>
          <w:tcPr>
            <w:tcW w:w="1418" w:type="dxa"/>
          </w:tcPr>
          <w:p w14:paraId="6952C5B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(210)</w:t>
            </w:r>
          </w:p>
        </w:tc>
        <w:tc>
          <w:tcPr>
            <w:tcW w:w="1139" w:type="dxa"/>
          </w:tcPr>
          <w:p w14:paraId="2777176E"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1,116</w:t>
            </w:r>
          </w:p>
        </w:tc>
        <w:tc>
          <w:tcPr>
            <w:tcW w:w="845" w:type="dxa"/>
          </w:tcPr>
          <w:p w14:paraId="1ECAA1AB"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(11,219)</w:t>
            </w:r>
          </w:p>
        </w:tc>
        <w:tc>
          <w:tcPr>
            <w:tcW w:w="1276" w:type="dxa"/>
          </w:tcPr>
          <w:p w14:paraId="5EA8D44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4" w:type="dxa"/>
          </w:tcPr>
          <w:p w14:paraId="0DE428EC"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(2,683)</w:t>
            </w:r>
          </w:p>
        </w:tc>
        <w:tc>
          <w:tcPr>
            <w:tcW w:w="1134" w:type="dxa"/>
          </w:tcPr>
          <w:p w14:paraId="05028EA6"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(12,909)</w:t>
            </w:r>
          </w:p>
        </w:tc>
      </w:tr>
      <w:tr w:rsidR="00552D08" w:rsidRPr="006D57B7" w14:paraId="638E155B" w14:textId="77777777" w:rsidTr="00552D08">
        <w:trPr>
          <w:trHeight w:val="510"/>
        </w:trPr>
        <w:tc>
          <w:tcPr>
            <w:tcW w:w="1838" w:type="dxa"/>
          </w:tcPr>
          <w:p w14:paraId="507D63B0"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6D57B7">
              <w:rPr>
                <w:rFonts w:cs="Arial"/>
                <w:color w:val="000000" w:themeColor="text1"/>
                <w:sz w:val="16"/>
                <w:szCs w:val="16"/>
              </w:rPr>
              <w:t>Credit to other comprehensive income</w:t>
            </w:r>
          </w:p>
        </w:tc>
        <w:tc>
          <w:tcPr>
            <w:tcW w:w="1559" w:type="dxa"/>
          </w:tcPr>
          <w:p w14:paraId="75663D10"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418" w:type="dxa"/>
          </w:tcPr>
          <w:p w14:paraId="6E417EC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9" w:type="dxa"/>
          </w:tcPr>
          <w:p w14:paraId="61A89A30"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845" w:type="dxa"/>
          </w:tcPr>
          <w:p w14:paraId="1C3008D1"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276" w:type="dxa"/>
          </w:tcPr>
          <w:p w14:paraId="79CF0A8C"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w:t>
            </w:r>
          </w:p>
        </w:tc>
        <w:tc>
          <w:tcPr>
            <w:tcW w:w="1134" w:type="dxa"/>
          </w:tcPr>
          <w:p w14:paraId="16D487C9"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(41,374)</w:t>
            </w:r>
          </w:p>
        </w:tc>
        <w:tc>
          <w:tcPr>
            <w:tcW w:w="1134" w:type="dxa"/>
          </w:tcPr>
          <w:p w14:paraId="7269E549"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color w:val="000000" w:themeColor="text1"/>
                <w:sz w:val="16"/>
                <w:szCs w:val="16"/>
              </w:rPr>
              <w:t>(41,374)</w:t>
            </w:r>
          </w:p>
        </w:tc>
      </w:tr>
      <w:tr w:rsidR="00552D08" w:rsidRPr="006D57B7" w14:paraId="0095B984" w14:textId="77777777" w:rsidTr="00552D08">
        <w:trPr>
          <w:trHeight w:val="510"/>
        </w:trPr>
        <w:tc>
          <w:tcPr>
            <w:tcW w:w="1838" w:type="dxa"/>
          </w:tcPr>
          <w:p w14:paraId="5CD63D37" w14:textId="77777777" w:rsidR="006D57B7" w:rsidRPr="006D57B7" w:rsidRDefault="006D57B7" w:rsidP="006D57B7">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6D57B7">
              <w:rPr>
                <w:rFonts w:cs="Arial"/>
                <w:b/>
                <w:bCs/>
                <w:color w:val="000000" w:themeColor="text1"/>
                <w:sz w:val="16"/>
                <w:szCs w:val="16"/>
              </w:rPr>
              <w:t>At</w:t>
            </w:r>
            <w:proofErr w:type="gramEnd"/>
            <w:r w:rsidRPr="006D57B7">
              <w:rPr>
                <w:rFonts w:cs="Arial"/>
                <w:b/>
                <w:bCs/>
                <w:color w:val="000000" w:themeColor="text1"/>
                <w:sz w:val="16"/>
                <w:szCs w:val="16"/>
              </w:rPr>
              <w:t xml:space="preserve"> 30 March 2025</w:t>
            </w:r>
          </w:p>
        </w:tc>
        <w:tc>
          <w:tcPr>
            <w:tcW w:w="1559" w:type="dxa"/>
          </w:tcPr>
          <w:p w14:paraId="21F75C2C"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(4,903)</w:t>
            </w:r>
          </w:p>
        </w:tc>
        <w:tc>
          <w:tcPr>
            <w:tcW w:w="1418" w:type="dxa"/>
          </w:tcPr>
          <w:p w14:paraId="2997BAC2"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1,636</w:t>
            </w:r>
          </w:p>
        </w:tc>
        <w:tc>
          <w:tcPr>
            <w:tcW w:w="1139" w:type="dxa"/>
          </w:tcPr>
          <w:p w14:paraId="3CE475D9"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818</w:t>
            </w:r>
          </w:p>
        </w:tc>
        <w:tc>
          <w:tcPr>
            <w:tcW w:w="845" w:type="dxa"/>
          </w:tcPr>
          <w:p w14:paraId="2389E9B7"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w:t>
            </w:r>
          </w:p>
        </w:tc>
        <w:tc>
          <w:tcPr>
            <w:tcW w:w="1276" w:type="dxa"/>
          </w:tcPr>
          <w:p w14:paraId="7CD7C9D3"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(76)</w:t>
            </w:r>
          </w:p>
        </w:tc>
        <w:tc>
          <w:tcPr>
            <w:tcW w:w="1134" w:type="dxa"/>
          </w:tcPr>
          <w:p w14:paraId="7D66944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(84,592)</w:t>
            </w:r>
          </w:p>
        </w:tc>
        <w:tc>
          <w:tcPr>
            <w:tcW w:w="1134" w:type="dxa"/>
          </w:tcPr>
          <w:p w14:paraId="6352F534" w14:textId="77777777" w:rsidR="006D57B7" w:rsidRPr="006D57B7" w:rsidRDefault="006D57B7" w:rsidP="006D57B7">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6D57B7">
              <w:rPr>
                <w:rFonts w:cs="Arial"/>
                <w:b/>
                <w:bCs/>
                <w:color w:val="000000" w:themeColor="text1"/>
                <w:sz w:val="16"/>
                <w:szCs w:val="16"/>
              </w:rPr>
              <w:t>(87,117)</w:t>
            </w:r>
          </w:p>
        </w:tc>
      </w:tr>
    </w:tbl>
    <w:p w14:paraId="7D92E989" w14:textId="77777777" w:rsidR="006D57B7" w:rsidRPr="00A06BD6" w:rsidRDefault="006D57B7" w:rsidP="00A06BD6">
      <w:pPr>
        <w:rPr>
          <w:b/>
          <w:bCs/>
          <w:sz w:val="28"/>
          <w:szCs w:val="28"/>
        </w:rPr>
      </w:pPr>
    </w:p>
    <w:tbl>
      <w:tblPr>
        <w:tblStyle w:val="TableGrid"/>
        <w:tblW w:w="0" w:type="auto"/>
        <w:tblLayout w:type="fixed"/>
        <w:tblLook w:val="0000" w:firstRow="0" w:lastRow="0" w:firstColumn="0" w:lastColumn="0" w:noHBand="0" w:noVBand="0"/>
      </w:tblPr>
      <w:tblGrid>
        <w:gridCol w:w="3397"/>
        <w:gridCol w:w="1682"/>
        <w:gridCol w:w="1180"/>
        <w:gridCol w:w="1249"/>
        <w:gridCol w:w="1701"/>
        <w:gridCol w:w="1134"/>
      </w:tblGrid>
      <w:tr w:rsidR="00552D08" w:rsidRPr="00552D08" w14:paraId="7A6AD5B1" w14:textId="77777777" w:rsidTr="00552D08">
        <w:trPr>
          <w:trHeight w:val="283"/>
        </w:trPr>
        <w:tc>
          <w:tcPr>
            <w:tcW w:w="3397" w:type="dxa"/>
          </w:tcPr>
          <w:p w14:paraId="0D630262" w14:textId="77777777" w:rsidR="00552D08" w:rsidRPr="00552D08" w:rsidRDefault="00552D08" w:rsidP="00552D08">
            <w:pPr>
              <w:tabs>
                <w:tab w:val="left" w:pos="198"/>
              </w:tabs>
              <w:suppressAutoHyphens/>
              <w:autoSpaceDE w:val="0"/>
              <w:autoSpaceDN w:val="0"/>
              <w:adjustRightInd w:val="0"/>
              <w:spacing w:line="160" w:lineRule="atLeast"/>
              <w:textAlignment w:val="center"/>
              <w:rPr>
                <w:rFonts w:cs="Arial"/>
                <w:b/>
                <w:bCs/>
                <w:color w:val="000000" w:themeColor="text1"/>
                <w:sz w:val="16"/>
                <w:szCs w:val="16"/>
              </w:rPr>
            </w:pPr>
            <w:r w:rsidRPr="00552D08">
              <w:rPr>
                <w:rFonts w:cs="Arial"/>
                <w:b/>
                <w:bCs/>
                <w:color w:val="000000" w:themeColor="text1"/>
                <w:sz w:val="16"/>
                <w:szCs w:val="16"/>
              </w:rPr>
              <w:t>Company</w:t>
            </w:r>
          </w:p>
        </w:tc>
        <w:tc>
          <w:tcPr>
            <w:tcW w:w="1682" w:type="dxa"/>
          </w:tcPr>
          <w:p w14:paraId="2A5F1297" w14:textId="77777777" w:rsidR="00552D08" w:rsidRPr="00552D08" w:rsidRDefault="00552D08" w:rsidP="00552D08">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552D08">
              <w:rPr>
                <w:rFonts w:cs="Arial"/>
                <w:b/>
                <w:bCs/>
                <w:color w:val="000000" w:themeColor="text1"/>
                <w:sz w:val="16"/>
                <w:szCs w:val="16"/>
              </w:rPr>
              <w:t xml:space="preserve">Accelerated </w:t>
            </w:r>
            <w:r w:rsidRPr="00552D08">
              <w:rPr>
                <w:rFonts w:cs="Arial"/>
                <w:b/>
                <w:bCs/>
                <w:color w:val="000000" w:themeColor="text1"/>
                <w:sz w:val="16"/>
                <w:szCs w:val="16"/>
              </w:rPr>
              <w:br/>
              <w:t xml:space="preserve">Tax </w:t>
            </w:r>
            <w:r w:rsidRPr="00552D08">
              <w:rPr>
                <w:rFonts w:cs="Arial"/>
                <w:b/>
                <w:bCs/>
                <w:color w:val="000000" w:themeColor="text1"/>
                <w:sz w:val="16"/>
                <w:szCs w:val="16"/>
              </w:rPr>
              <w:br/>
              <w:t>Depreciation</w:t>
            </w:r>
          </w:p>
          <w:p w14:paraId="1C58EC0C"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£’000</w:t>
            </w:r>
          </w:p>
        </w:tc>
        <w:tc>
          <w:tcPr>
            <w:tcW w:w="1180" w:type="dxa"/>
          </w:tcPr>
          <w:p w14:paraId="1A643CE3" w14:textId="77777777" w:rsidR="00552D08" w:rsidRPr="00552D08" w:rsidRDefault="00552D08" w:rsidP="00552D08">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552D08">
              <w:rPr>
                <w:rFonts w:cs="Arial"/>
                <w:b/>
                <w:bCs/>
                <w:color w:val="000000" w:themeColor="text1"/>
                <w:sz w:val="16"/>
                <w:szCs w:val="16"/>
              </w:rPr>
              <w:t>Other Temporary Differences</w:t>
            </w:r>
          </w:p>
          <w:p w14:paraId="1280909B"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£’000</w:t>
            </w:r>
          </w:p>
        </w:tc>
        <w:tc>
          <w:tcPr>
            <w:tcW w:w="1249" w:type="dxa"/>
          </w:tcPr>
          <w:p w14:paraId="6938505D"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 xml:space="preserve">Revaluation Investment Property </w:t>
            </w:r>
          </w:p>
          <w:p w14:paraId="306FF99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£’000</w:t>
            </w:r>
          </w:p>
        </w:tc>
        <w:tc>
          <w:tcPr>
            <w:tcW w:w="1701" w:type="dxa"/>
          </w:tcPr>
          <w:p w14:paraId="52C80993"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Retirement Benefit Obligations</w:t>
            </w:r>
          </w:p>
          <w:p w14:paraId="5F242AC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£’000</w:t>
            </w:r>
          </w:p>
        </w:tc>
        <w:tc>
          <w:tcPr>
            <w:tcW w:w="1134" w:type="dxa"/>
          </w:tcPr>
          <w:p w14:paraId="098B424F" w14:textId="77777777" w:rsidR="00552D08" w:rsidRPr="00552D08" w:rsidRDefault="00552D08" w:rsidP="00552D08">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p>
          <w:p w14:paraId="3E7B94E2" w14:textId="77777777" w:rsidR="00552D08" w:rsidRPr="00552D08" w:rsidRDefault="00552D08" w:rsidP="00552D08">
            <w:pPr>
              <w:tabs>
                <w:tab w:val="left" w:pos="198"/>
              </w:tabs>
              <w:suppressAutoHyphens/>
              <w:autoSpaceDE w:val="0"/>
              <w:autoSpaceDN w:val="0"/>
              <w:adjustRightInd w:val="0"/>
              <w:spacing w:line="160" w:lineRule="atLeast"/>
              <w:jc w:val="right"/>
              <w:textAlignment w:val="center"/>
              <w:rPr>
                <w:rFonts w:cs="Arial"/>
                <w:b/>
                <w:bCs/>
                <w:color w:val="000000" w:themeColor="text1"/>
                <w:sz w:val="16"/>
                <w:szCs w:val="16"/>
              </w:rPr>
            </w:pPr>
            <w:r w:rsidRPr="00552D08">
              <w:rPr>
                <w:rFonts w:cs="Arial"/>
                <w:b/>
                <w:bCs/>
                <w:color w:val="000000" w:themeColor="text1"/>
                <w:sz w:val="16"/>
                <w:szCs w:val="16"/>
              </w:rPr>
              <w:t>Total</w:t>
            </w:r>
          </w:p>
          <w:p w14:paraId="260B872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£’000</w:t>
            </w:r>
          </w:p>
          <w:p w14:paraId="234DCAD3"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p>
        </w:tc>
      </w:tr>
      <w:tr w:rsidR="00552D08" w:rsidRPr="00552D08" w14:paraId="0DD69809" w14:textId="77777777" w:rsidTr="00552D08">
        <w:trPr>
          <w:trHeight w:val="283"/>
        </w:trPr>
        <w:tc>
          <w:tcPr>
            <w:tcW w:w="3397" w:type="dxa"/>
          </w:tcPr>
          <w:p w14:paraId="6F94EDB8"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552D08">
              <w:rPr>
                <w:rFonts w:cs="Arial"/>
                <w:b/>
                <w:bCs/>
                <w:color w:val="000000" w:themeColor="text1"/>
                <w:sz w:val="16"/>
                <w:szCs w:val="16"/>
              </w:rPr>
              <w:t>At</w:t>
            </w:r>
            <w:proofErr w:type="gramEnd"/>
            <w:r w:rsidRPr="00552D08">
              <w:rPr>
                <w:rFonts w:cs="Arial"/>
                <w:b/>
                <w:bCs/>
                <w:color w:val="000000" w:themeColor="text1"/>
                <w:sz w:val="16"/>
                <w:szCs w:val="16"/>
              </w:rPr>
              <w:t xml:space="preserve"> 26 March 2023</w:t>
            </w:r>
          </w:p>
        </w:tc>
        <w:tc>
          <w:tcPr>
            <w:tcW w:w="1682" w:type="dxa"/>
          </w:tcPr>
          <w:p w14:paraId="3F70A6CD"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(2,566)</w:t>
            </w:r>
          </w:p>
        </w:tc>
        <w:tc>
          <w:tcPr>
            <w:tcW w:w="1180" w:type="dxa"/>
          </w:tcPr>
          <w:p w14:paraId="5FBBE328"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3</w:t>
            </w:r>
          </w:p>
        </w:tc>
        <w:tc>
          <w:tcPr>
            <w:tcW w:w="1249" w:type="dxa"/>
          </w:tcPr>
          <w:p w14:paraId="460669D2"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w:t>
            </w:r>
          </w:p>
        </w:tc>
        <w:tc>
          <w:tcPr>
            <w:tcW w:w="1701" w:type="dxa"/>
          </w:tcPr>
          <w:p w14:paraId="7F167387"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(643)</w:t>
            </w:r>
          </w:p>
        </w:tc>
        <w:tc>
          <w:tcPr>
            <w:tcW w:w="1134" w:type="dxa"/>
          </w:tcPr>
          <w:p w14:paraId="1B5B04D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(3,206)</w:t>
            </w:r>
          </w:p>
        </w:tc>
      </w:tr>
      <w:tr w:rsidR="00552D08" w:rsidRPr="00552D08" w14:paraId="306A7836" w14:textId="77777777" w:rsidTr="00552D08">
        <w:trPr>
          <w:trHeight w:val="283"/>
        </w:trPr>
        <w:tc>
          <w:tcPr>
            <w:tcW w:w="3397" w:type="dxa"/>
          </w:tcPr>
          <w:p w14:paraId="7C934D82"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552D08">
              <w:rPr>
                <w:rFonts w:cs="Arial"/>
                <w:color w:val="000000" w:themeColor="text1"/>
                <w:sz w:val="16"/>
                <w:szCs w:val="16"/>
              </w:rPr>
              <w:t>Credit/(charge) to income statement</w:t>
            </w:r>
          </w:p>
        </w:tc>
        <w:tc>
          <w:tcPr>
            <w:tcW w:w="1682" w:type="dxa"/>
          </w:tcPr>
          <w:p w14:paraId="3A1175EE"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(1,554)</w:t>
            </w:r>
          </w:p>
        </w:tc>
        <w:tc>
          <w:tcPr>
            <w:tcW w:w="1180" w:type="dxa"/>
          </w:tcPr>
          <w:p w14:paraId="4AE5EF1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11</w:t>
            </w:r>
          </w:p>
        </w:tc>
        <w:tc>
          <w:tcPr>
            <w:tcW w:w="1249" w:type="dxa"/>
          </w:tcPr>
          <w:p w14:paraId="721352EC"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701" w:type="dxa"/>
          </w:tcPr>
          <w:p w14:paraId="6A611FB1"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(32)</w:t>
            </w:r>
          </w:p>
        </w:tc>
        <w:tc>
          <w:tcPr>
            <w:tcW w:w="1134" w:type="dxa"/>
          </w:tcPr>
          <w:p w14:paraId="2B09C229"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(1,575)</w:t>
            </w:r>
          </w:p>
        </w:tc>
      </w:tr>
      <w:tr w:rsidR="00552D08" w:rsidRPr="00552D08" w14:paraId="1A805E5E" w14:textId="77777777" w:rsidTr="00552D08">
        <w:trPr>
          <w:trHeight w:val="283"/>
        </w:trPr>
        <w:tc>
          <w:tcPr>
            <w:tcW w:w="3397" w:type="dxa"/>
          </w:tcPr>
          <w:p w14:paraId="7F9276DF"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552D08">
              <w:rPr>
                <w:rFonts w:cs="Arial"/>
                <w:color w:val="000000" w:themeColor="text1"/>
                <w:sz w:val="16"/>
                <w:szCs w:val="16"/>
              </w:rPr>
              <w:t>Credit to other comprehensive income</w:t>
            </w:r>
          </w:p>
        </w:tc>
        <w:tc>
          <w:tcPr>
            <w:tcW w:w="1682" w:type="dxa"/>
          </w:tcPr>
          <w:p w14:paraId="30E73F40"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180" w:type="dxa"/>
          </w:tcPr>
          <w:p w14:paraId="327245DB"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249" w:type="dxa"/>
          </w:tcPr>
          <w:p w14:paraId="64EEA099"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701" w:type="dxa"/>
          </w:tcPr>
          <w:p w14:paraId="3193F6B5"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(243)</w:t>
            </w:r>
          </w:p>
        </w:tc>
        <w:tc>
          <w:tcPr>
            <w:tcW w:w="1134" w:type="dxa"/>
          </w:tcPr>
          <w:p w14:paraId="146C5187"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(243)</w:t>
            </w:r>
          </w:p>
        </w:tc>
      </w:tr>
      <w:tr w:rsidR="00552D08" w:rsidRPr="00552D08" w14:paraId="56896565" w14:textId="77777777" w:rsidTr="00552D08">
        <w:trPr>
          <w:trHeight w:val="283"/>
        </w:trPr>
        <w:tc>
          <w:tcPr>
            <w:tcW w:w="3397" w:type="dxa"/>
          </w:tcPr>
          <w:p w14:paraId="49B10A13"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552D08">
              <w:rPr>
                <w:rFonts w:cs="Arial"/>
                <w:b/>
                <w:bCs/>
                <w:color w:val="000000" w:themeColor="text1"/>
                <w:sz w:val="16"/>
                <w:szCs w:val="16"/>
              </w:rPr>
              <w:t>At</w:t>
            </w:r>
            <w:proofErr w:type="gramEnd"/>
            <w:r w:rsidRPr="00552D08">
              <w:rPr>
                <w:rFonts w:cs="Arial"/>
                <w:b/>
                <w:bCs/>
                <w:color w:val="000000" w:themeColor="text1"/>
                <w:sz w:val="16"/>
                <w:szCs w:val="16"/>
              </w:rPr>
              <w:t xml:space="preserve"> 31 March 2024</w:t>
            </w:r>
          </w:p>
        </w:tc>
        <w:tc>
          <w:tcPr>
            <w:tcW w:w="1682" w:type="dxa"/>
          </w:tcPr>
          <w:p w14:paraId="27DC5126"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(4,120)</w:t>
            </w:r>
          </w:p>
        </w:tc>
        <w:tc>
          <w:tcPr>
            <w:tcW w:w="1180" w:type="dxa"/>
          </w:tcPr>
          <w:p w14:paraId="4A21D4E7"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14</w:t>
            </w:r>
          </w:p>
        </w:tc>
        <w:tc>
          <w:tcPr>
            <w:tcW w:w="1249" w:type="dxa"/>
          </w:tcPr>
          <w:p w14:paraId="0EF1814E"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w:t>
            </w:r>
          </w:p>
        </w:tc>
        <w:tc>
          <w:tcPr>
            <w:tcW w:w="1701" w:type="dxa"/>
          </w:tcPr>
          <w:p w14:paraId="61FA4994"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(918)</w:t>
            </w:r>
          </w:p>
        </w:tc>
        <w:tc>
          <w:tcPr>
            <w:tcW w:w="1134" w:type="dxa"/>
          </w:tcPr>
          <w:p w14:paraId="59E58E1A"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(5,024)</w:t>
            </w:r>
          </w:p>
        </w:tc>
      </w:tr>
      <w:tr w:rsidR="00552D08" w:rsidRPr="00552D08" w14:paraId="342FEDDD" w14:textId="77777777" w:rsidTr="00552D08">
        <w:trPr>
          <w:trHeight w:val="283"/>
        </w:trPr>
        <w:tc>
          <w:tcPr>
            <w:tcW w:w="3397" w:type="dxa"/>
          </w:tcPr>
          <w:p w14:paraId="7003A762"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552D08">
              <w:rPr>
                <w:rFonts w:cs="Arial"/>
                <w:color w:val="000000" w:themeColor="text1"/>
                <w:sz w:val="16"/>
                <w:szCs w:val="16"/>
              </w:rPr>
              <w:t>Credit/(charge) to income statement</w:t>
            </w:r>
          </w:p>
        </w:tc>
        <w:tc>
          <w:tcPr>
            <w:tcW w:w="1682" w:type="dxa"/>
          </w:tcPr>
          <w:p w14:paraId="573956A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7</w:t>
            </w:r>
          </w:p>
        </w:tc>
        <w:tc>
          <w:tcPr>
            <w:tcW w:w="1180" w:type="dxa"/>
          </w:tcPr>
          <w:p w14:paraId="4DBF499F"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33</w:t>
            </w:r>
          </w:p>
        </w:tc>
        <w:tc>
          <w:tcPr>
            <w:tcW w:w="1249" w:type="dxa"/>
          </w:tcPr>
          <w:p w14:paraId="3E782EA1"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701" w:type="dxa"/>
          </w:tcPr>
          <w:p w14:paraId="23A1B679"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(47)</w:t>
            </w:r>
          </w:p>
        </w:tc>
        <w:tc>
          <w:tcPr>
            <w:tcW w:w="1134" w:type="dxa"/>
          </w:tcPr>
          <w:p w14:paraId="0DE20D96"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(7)</w:t>
            </w:r>
          </w:p>
        </w:tc>
      </w:tr>
      <w:tr w:rsidR="00552D08" w:rsidRPr="00552D08" w14:paraId="06101671" w14:textId="77777777" w:rsidTr="00552D08">
        <w:trPr>
          <w:trHeight w:val="283"/>
        </w:trPr>
        <w:tc>
          <w:tcPr>
            <w:tcW w:w="3397" w:type="dxa"/>
          </w:tcPr>
          <w:p w14:paraId="2DC4FDDE"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r w:rsidRPr="00552D08">
              <w:rPr>
                <w:rFonts w:cs="Arial"/>
                <w:color w:val="000000" w:themeColor="text1"/>
                <w:sz w:val="16"/>
                <w:szCs w:val="16"/>
              </w:rPr>
              <w:t>Credit to other comprehensive income</w:t>
            </w:r>
          </w:p>
        </w:tc>
        <w:tc>
          <w:tcPr>
            <w:tcW w:w="1682" w:type="dxa"/>
          </w:tcPr>
          <w:p w14:paraId="794C0B88"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180" w:type="dxa"/>
          </w:tcPr>
          <w:p w14:paraId="75635118"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249" w:type="dxa"/>
          </w:tcPr>
          <w:p w14:paraId="7E2B0D1C"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w:t>
            </w:r>
          </w:p>
        </w:tc>
        <w:tc>
          <w:tcPr>
            <w:tcW w:w="1701" w:type="dxa"/>
          </w:tcPr>
          <w:p w14:paraId="54A2F411"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(653)</w:t>
            </w:r>
          </w:p>
        </w:tc>
        <w:tc>
          <w:tcPr>
            <w:tcW w:w="1134" w:type="dxa"/>
          </w:tcPr>
          <w:p w14:paraId="0A7A04A0"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color w:val="000000" w:themeColor="text1"/>
                <w:sz w:val="16"/>
                <w:szCs w:val="16"/>
              </w:rPr>
              <w:t>(653)</w:t>
            </w:r>
          </w:p>
        </w:tc>
      </w:tr>
      <w:tr w:rsidR="00552D08" w:rsidRPr="00552D08" w14:paraId="1A81CF80" w14:textId="77777777" w:rsidTr="00552D08">
        <w:trPr>
          <w:trHeight w:val="283"/>
        </w:trPr>
        <w:tc>
          <w:tcPr>
            <w:tcW w:w="3397" w:type="dxa"/>
          </w:tcPr>
          <w:p w14:paraId="323995E3" w14:textId="77777777" w:rsidR="00552D08" w:rsidRPr="00552D08" w:rsidRDefault="00552D08" w:rsidP="00552D08">
            <w:pPr>
              <w:tabs>
                <w:tab w:val="left" w:pos="198"/>
              </w:tabs>
              <w:suppressAutoHyphens/>
              <w:autoSpaceDE w:val="0"/>
              <w:autoSpaceDN w:val="0"/>
              <w:adjustRightInd w:val="0"/>
              <w:spacing w:line="180" w:lineRule="atLeast"/>
              <w:textAlignment w:val="center"/>
              <w:rPr>
                <w:rFonts w:cs="Arial"/>
                <w:b/>
                <w:bCs/>
                <w:color w:val="000000" w:themeColor="text1"/>
                <w:sz w:val="16"/>
                <w:szCs w:val="16"/>
              </w:rPr>
            </w:pPr>
            <w:proofErr w:type="gramStart"/>
            <w:r w:rsidRPr="00552D08">
              <w:rPr>
                <w:rFonts w:cs="Arial"/>
                <w:b/>
                <w:bCs/>
                <w:color w:val="000000" w:themeColor="text1"/>
                <w:sz w:val="16"/>
                <w:szCs w:val="16"/>
              </w:rPr>
              <w:t>At</w:t>
            </w:r>
            <w:proofErr w:type="gramEnd"/>
            <w:r w:rsidRPr="00552D08">
              <w:rPr>
                <w:rFonts w:cs="Arial"/>
                <w:b/>
                <w:bCs/>
                <w:color w:val="000000" w:themeColor="text1"/>
                <w:sz w:val="16"/>
                <w:szCs w:val="16"/>
              </w:rPr>
              <w:t xml:space="preserve"> 30 March 2025</w:t>
            </w:r>
          </w:p>
        </w:tc>
        <w:tc>
          <w:tcPr>
            <w:tcW w:w="1682" w:type="dxa"/>
          </w:tcPr>
          <w:p w14:paraId="6637FF14"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(4,113)</w:t>
            </w:r>
          </w:p>
        </w:tc>
        <w:tc>
          <w:tcPr>
            <w:tcW w:w="1180" w:type="dxa"/>
          </w:tcPr>
          <w:p w14:paraId="0D418566"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47</w:t>
            </w:r>
          </w:p>
        </w:tc>
        <w:tc>
          <w:tcPr>
            <w:tcW w:w="1249" w:type="dxa"/>
          </w:tcPr>
          <w:p w14:paraId="25A75972"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w:t>
            </w:r>
          </w:p>
        </w:tc>
        <w:tc>
          <w:tcPr>
            <w:tcW w:w="1701" w:type="dxa"/>
          </w:tcPr>
          <w:p w14:paraId="201F3784"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(1,618)</w:t>
            </w:r>
          </w:p>
        </w:tc>
        <w:tc>
          <w:tcPr>
            <w:tcW w:w="1134" w:type="dxa"/>
          </w:tcPr>
          <w:p w14:paraId="68A19945" w14:textId="77777777" w:rsidR="00552D08" w:rsidRPr="00552D08" w:rsidRDefault="00552D08" w:rsidP="00552D08">
            <w:pPr>
              <w:tabs>
                <w:tab w:val="left" w:pos="198"/>
              </w:tabs>
              <w:suppressAutoHyphens/>
              <w:autoSpaceDE w:val="0"/>
              <w:autoSpaceDN w:val="0"/>
              <w:adjustRightInd w:val="0"/>
              <w:spacing w:line="180" w:lineRule="atLeast"/>
              <w:jc w:val="right"/>
              <w:textAlignment w:val="center"/>
              <w:rPr>
                <w:rFonts w:cs="Arial"/>
                <w:b/>
                <w:bCs/>
                <w:color w:val="000000" w:themeColor="text1"/>
                <w:sz w:val="16"/>
                <w:szCs w:val="16"/>
              </w:rPr>
            </w:pPr>
            <w:r w:rsidRPr="00552D08">
              <w:rPr>
                <w:rFonts w:cs="Arial"/>
                <w:b/>
                <w:bCs/>
                <w:color w:val="000000" w:themeColor="text1"/>
                <w:sz w:val="16"/>
                <w:szCs w:val="16"/>
              </w:rPr>
              <w:t>(5,684)</w:t>
            </w:r>
          </w:p>
        </w:tc>
      </w:tr>
    </w:tbl>
    <w:p w14:paraId="0DA6AAC3" w14:textId="77777777" w:rsidR="00A06BD6" w:rsidRPr="00A06BD6" w:rsidRDefault="00A06BD6" w:rsidP="00A06BD6">
      <w:pPr>
        <w:rPr>
          <w:b/>
          <w:bCs/>
          <w:sz w:val="28"/>
          <w:szCs w:val="28"/>
        </w:rPr>
      </w:pPr>
    </w:p>
    <w:p w14:paraId="0C65D8D7" w14:textId="1648F8A4" w:rsidR="00552D08" w:rsidRDefault="00552D08" w:rsidP="00552D08">
      <w:r w:rsidRPr="00552D08">
        <w:t>Deferred tax assets and liabilities are offset where the Group has a legally enforceable right to do so. The following is the analysis of the deferred tax balance (after offset) for financial reporting purposes:</w:t>
      </w:r>
    </w:p>
    <w:tbl>
      <w:tblPr>
        <w:tblStyle w:val="TableGrid"/>
        <w:tblW w:w="0" w:type="auto"/>
        <w:tblLayout w:type="fixed"/>
        <w:tblLook w:val="0000" w:firstRow="0" w:lastRow="0" w:firstColumn="0" w:lastColumn="0" w:noHBand="0" w:noVBand="0"/>
      </w:tblPr>
      <w:tblGrid>
        <w:gridCol w:w="5807"/>
        <w:gridCol w:w="2410"/>
        <w:gridCol w:w="2126"/>
      </w:tblGrid>
      <w:tr w:rsidR="00552D08" w:rsidRPr="001F06C8" w14:paraId="5C506229" w14:textId="77777777" w:rsidTr="00552D08">
        <w:trPr>
          <w:trHeight w:val="283"/>
        </w:trPr>
        <w:tc>
          <w:tcPr>
            <w:tcW w:w="5807" w:type="dxa"/>
          </w:tcPr>
          <w:p w14:paraId="1D465E9F" w14:textId="77777777" w:rsidR="00552D08" w:rsidRPr="001F06C8" w:rsidRDefault="00552D08" w:rsidP="001F06C8">
            <w:pPr>
              <w:rPr>
                <w:sz w:val="18"/>
                <w:szCs w:val="18"/>
              </w:rPr>
            </w:pPr>
            <w:r w:rsidRPr="001F06C8">
              <w:rPr>
                <w:sz w:val="18"/>
                <w:szCs w:val="18"/>
              </w:rPr>
              <w:t>Group</w:t>
            </w:r>
          </w:p>
        </w:tc>
        <w:tc>
          <w:tcPr>
            <w:tcW w:w="2410" w:type="dxa"/>
          </w:tcPr>
          <w:p w14:paraId="2FA8C5BE" w14:textId="77777777" w:rsidR="00552D08" w:rsidRPr="001F06C8" w:rsidRDefault="00552D08" w:rsidP="001F06C8">
            <w:pPr>
              <w:rPr>
                <w:sz w:val="18"/>
                <w:szCs w:val="18"/>
              </w:rPr>
            </w:pPr>
            <w:r w:rsidRPr="001F06C8">
              <w:rPr>
                <w:sz w:val="18"/>
                <w:szCs w:val="18"/>
              </w:rPr>
              <w:t xml:space="preserve">2025 </w:t>
            </w:r>
          </w:p>
          <w:p w14:paraId="78B6C48A" w14:textId="77777777" w:rsidR="00552D08" w:rsidRPr="001F06C8" w:rsidRDefault="00552D08" w:rsidP="001F06C8">
            <w:pPr>
              <w:rPr>
                <w:sz w:val="18"/>
                <w:szCs w:val="18"/>
              </w:rPr>
            </w:pPr>
            <w:r w:rsidRPr="001F06C8">
              <w:rPr>
                <w:sz w:val="18"/>
                <w:szCs w:val="18"/>
              </w:rPr>
              <w:t>£’000</w:t>
            </w:r>
          </w:p>
        </w:tc>
        <w:tc>
          <w:tcPr>
            <w:tcW w:w="2126" w:type="dxa"/>
          </w:tcPr>
          <w:p w14:paraId="169EDD05" w14:textId="77777777" w:rsidR="00552D08" w:rsidRPr="001F06C8" w:rsidRDefault="00552D08" w:rsidP="001F06C8">
            <w:pPr>
              <w:rPr>
                <w:sz w:val="18"/>
                <w:szCs w:val="18"/>
              </w:rPr>
            </w:pPr>
            <w:r w:rsidRPr="001F06C8">
              <w:rPr>
                <w:sz w:val="18"/>
                <w:szCs w:val="18"/>
              </w:rPr>
              <w:t>2024</w:t>
            </w:r>
          </w:p>
          <w:p w14:paraId="6791B818" w14:textId="77777777" w:rsidR="00552D08" w:rsidRPr="001F06C8" w:rsidRDefault="00552D08" w:rsidP="001F06C8">
            <w:pPr>
              <w:rPr>
                <w:sz w:val="18"/>
                <w:szCs w:val="18"/>
              </w:rPr>
            </w:pPr>
            <w:r w:rsidRPr="001F06C8">
              <w:rPr>
                <w:sz w:val="18"/>
                <w:szCs w:val="18"/>
              </w:rPr>
              <w:t>£’000</w:t>
            </w:r>
          </w:p>
        </w:tc>
      </w:tr>
      <w:tr w:rsidR="00552D08" w:rsidRPr="001F06C8" w14:paraId="7529B7AD" w14:textId="77777777" w:rsidTr="00552D08">
        <w:trPr>
          <w:trHeight w:val="283"/>
        </w:trPr>
        <w:tc>
          <w:tcPr>
            <w:tcW w:w="5807" w:type="dxa"/>
          </w:tcPr>
          <w:p w14:paraId="12D298E3" w14:textId="77777777" w:rsidR="00552D08" w:rsidRPr="001F06C8" w:rsidRDefault="00552D08" w:rsidP="001F06C8">
            <w:pPr>
              <w:rPr>
                <w:sz w:val="18"/>
                <w:szCs w:val="18"/>
              </w:rPr>
            </w:pPr>
            <w:r w:rsidRPr="001F06C8">
              <w:rPr>
                <w:sz w:val="18"/>
                <w:szCs w:val="18"/>
              </w:rPr>
              <w:t>Deferred tax asset</w:t>
            </w:r>
          </w:p>
        </w:tc>
        <w:tc>
          <w:tcPr>
            <w:tcW w:w="2410" w:type="dxa"/>
          </w:tcPr>
          <w:p w14:paraId="343FF5B6" w14:textId="77777777" w:rsidR="00552D08" w:rsidRPr="001F06C8" w:rsidRDefault="00552D08" w:rsidP="001F06C8">
            <w:pPr>
              <w:rPr>
                <w:sz w:val="18"/>
                <w:szCs w:val="18"/>
              </w:rPr>
            </w:pPr>
            <w:r w:rsidRPr="001F06C8">
              <w:rPr>
                <w:sz w:val="18"/>
                <w:szCs w:val="18"/>
              </w:rPr>
              <w:t>2,454</w:t>
            </w:r>
          </w:p>
        </w:tc>
        <w:tc>
          <w:tcPr>
            <w:tcW w:w="2126" w:type="dxa"/>
          </w:tcPr>
          <w:p w14:paraId="14C21844" w14:textId="77777777" w:rsidR="00552D08" w:rsidRPr="001F06C8" w:rsidRDefault="00552D08" w:rsidP="001F06C8">
            <w:pPr>
              <w:rPr>
                <w:sz w:val="18"/>
                <w:szCs w:val="18"/>
              </w:rPr>
            </w:pPr>
            <w:r w:rsidRPr="001F06C8">
              <w:rPr>
                <w:sz w:val="18"/>
                <w:szCs w:val="18"/>
              </w:rPr>
              <w:t>13,065</w:t>
            </w:r>
          </w:p>
        </w:tc>
      </w:tr>
      <w:tr w:rsidR="00552D08" w:rsidRPr="001F06C8" w14:paraId="60BE7C90" w14:textId="77777777" w:rsidTr="00552D08">
        <w:trPr>
          <w:trHeight w:val="283"/>
        </w:trPr>
        <w:tc>
          <w:tcPr>
            <w:tcW w:w="5807" w:type="dxa"/>
          </w:tcPr>
          <w:p w14:paraId="5C7852EB" w14:textId="77777777" w:rsidR="00552D08" w:rsidRPr="001F06C8" w:rsidRDefault="00552D08" w:rsidP="001F06C8">
            <w:pPr>
              <w:rPr>
                <w:sz w:val="18"/>
                <w:szCs w:val="18"/>
              </w:rPr>
            </w:pPr>
            <w:r w:rsidRPr="001F06C8">
              <w:rPr>
                <w:sz w:val="18"/>
                <w:szCs w:val="18"/>
              </w:rPr>
              <w:t>Deferred tax liabilities</w:t>
            </w:r>
          </w:p>
        </w:tc>
        <w:tc>
          <w:tcPr>
            <w:tcW w:w="2410" w:type="dxa"/>
          </w:tcPr>
          <w:p w14:paraId="0F11F0F1" w14:textId="77777777" w:rsidR="00552D08" w:rsidRPr="001F06C8" w:rsidRDefault="00552D08" w:rsidP="001F06C8">
            <w:pPr>
              <w:rPr>
                <w:sz w:val="18"/>
                <w:szCs w:val="18"/>
              </w:rPr>
            </w:pPr>
            <w:r w:rsidRPr="001F06C8">
              <w:rPr>
                <w:sz w:val="18"/>
                <w:szCs w:val="18"/>
              </w:rPr>
              <w:t>(89,571)</w:t>
            </w:r>
          </w:p>
        </w:tc>
        <w:tc>
          <w:tcPr>
            <w:tcW w:w="2126" w:type="dxa"/>
          </w:tcPr>
          <w:p w14:paraId="3E5512C9" w14:textId="77777777" w:rsidR="00552D08" w:rsidRPr="001F06C8" w:rsidRDefault="00552D08" w:rsidP="001F06C8">
            <w:pPr>
              <w:rPr>
                <w:sz w:val="18"/>
                <w:szCs w:val="18"/>
              </w:rPr>
            </w:pPr>
            <w:r w:rsidRPr="001F06C8">
              <w:rPr>
                <w:sz w:val="18"/>
                <w:szCs w:val="18"/>
              </w:rPr>
              <w:t>(45,899)</w:t>
            </w:r>
          </w:p>
        </w:tc>
      </w:tr>
      <w:tr w:rsidR="00552D08" w:rsidRPr="001F06C8" w14:paraId="7F3CFD4F" w14:textId="77777777" w:rsidTr="00552D08">
        <w:trPr>
          <w:trHeight w:val="283"/>
        </w:trPr>
        <w:tc>
          <w:tcPr>
            <w:tcW w:w="5807" w:type="dxa"/>
          </w:tcPr>
          <w:p w14:paraId="06BD8E76" w14:textId="77777777" w:rsidR="00552D08" w:rsidRPr="001F06C8" w:rsidRDefault="00552D08" w:rsidP="001F06C8">
            <w:pPr>
              <w:rPr>
                <w:sz w:val="18"/>
                <w:szCs w:val="18"/>
              </w:rPr>
            </w:pPr>
          </w:p>
        </w:tc>
        <w:tc>
          <w:tcPr>
            <w:tcW w:w="2410" w:type="dxa"/>
          </w:tcPr>
          <w:p w14:paraId="310EF8CB" w14:textId="77777777" w:rsidR="00552D08" w:rsidRPr="001F06C8" w:rsidRDefault="00552D08" w:rsidP="001F06C8">
            <w:pPr>
              <w:rPr>
                <w:sz w:val="18"/>
                <w:szCs w:val="18"/>
              </w:rPr>
            </w:pPr>
            <w:r w:rsidRPr="001F06C8">
              <w:rPr>
                <w:sz w:val="18"/>
                <w:szCs w:val="18"/>
              </w:rPr>
              <w:t>(87,117)</w:t>
            </w:r>
          </w:p>
        </w:tc>
        <w:tc>
          <w:tcPr>
            <w:tcW w:w="2126" w:type="dxa"/>
          </w:tcPr>
          <w:p w14:paraId="266B58DE" w14:textId="77777777" w:rsidR="00552D08" w:rsidRPr="001F06C8" w:rsidRDefault="00552D08" w:rsidP="001F06C8">
            <w:pPr>
              <w:rPr>
                <w:sz w:val="18"/>
                <w:szCs w:val="18"/>
              </w:rPr>
            </w:pPr>
            <w:r w:rsidRPr="001F06C8">
              <w:rPr>
                <w:sz w:val="18"/>
                <w:szCs w:val="18"/>
              </w:rPr>
              <w:t>(32,834)</w:t>
            </w:r>
          </w:p>
        </w:tc>
      </w:tr>
    </w:tbl>
    <w:p w14:paraId="3A6335B0" w14:textId="77777777" w:rsidR="00552D08" w:rsidRPr="001F06C8" w:rsidRDefault="00552D08" w:rsidP="001F06C8"/>
    <w:tbl>
      <w:tblPr>
        <w:tblStyle w:val="TableGrid"/>
        <w:tblW w:w="0" w:type="auto"/>
        <w:tblLayout w:type="fixed"/>
        <w:tblLook w:val="0000" w:firstRow="0" w:lastRow="0" w:firstColumn="0" w:lastColumn="0" w:noHBand="0" w:noVBand="0"/>
      </w:tblPr>
      <w:tblGrid>
        <w:gridCol w:w="5807"/>
        <w:gridCol w:w="2406"/>
        <w:gridCol w:w="2130"/>
      </w:tblGrid>
      <w:tr w:rsidR="00552D08" w:rsidRPr="00552D08" w14:paraId="00129B33" w14:textId="77777777" w:rsidTr="00552D08">
        <w:trPr>
          <w:trHeight w:val="283"/>
        </w:trPr>
        <w:tc>
          <w:tcPr>
            <w:tcW w:w="5807" w:type="dxa"/>
          </w:tcPr>
          <w:p w14:paraId="3A1105C3" w14:textId="77777777" w:rsidR="00552D08" w:rsidRPr="001F06C8" w:rsidRDefault="00552D08" w:rsidP="001F06C8">
            <w:pPr>
              <w:rPr>
                <w:sz w:val="18"/>
                <w:szCs w:val="18"/>
              </w:rPr>
            </w:pPr>
            <w:r w:rsidRPr="001F06C8">
              <w:rPr>
                <w:sz w:val="18"/>
                <w:szCs w:val="18"/>
              </w:rPr>
              <w:t>Company</w:t>
            </w:r>
          </w:p>
        </w:tc>
        <w:tc>
          <w:tcPr>
            <w:tcW w:w="2406" w:type="dxa"/>
          </w:tcPr>
          <w:p w14:paraId="3A16DFB5" w14:textId="77777777" w:rsidR="00552D08" w:rsidRPr="001F06C8" w:rsidRDefault="00552D08" w:rsidP="001F06C8">
            <w:pPr>
              <w:rPr>
                <w:sz w:val="18"/>
                <w:szCs w:val="18"/>
              </w:rPr>
            </w:pPr>
            <w:r w:rsidRPr="001F06C8">
              <w:rPr>
                <w:sz w:val="18"/>
                <w:szCs w:val="18"/>
              </w:rPr>
              <w:t xml:space="preserve">2025 </w:t>
            </w:r>
          </w:p>
          <w:p w14:paraId="1A9102BD" w14:textId="77777777" w:rsidR="00552D08" w:rsidRPr="001F06C8" w:rsidRDefault="00552D08" w:rsidP="001F06C8">
            <w:pPr>
              <w:rPr>
                <w:sz w:val="18"/>
                <w:szCs w:val="18"/>
              </w:rPr>
            </w:pPr>
            <w:r w:rsidRPr="001F06C8">
              <w:rPr>
                <w:sz w:val="18"/>
                <w:szCs w:val="18"/>
              </w:rPr>
              <w:t>£’000</w:t>
            </w:r>
          </w:p>
        </w:tc>
        <w:tc>
          <w:tcPr>
            <w:tcW w:w="2130" w:type="dxa"/>
          </w:tcPr>
          <w:p w14:paraId="4822DA49" w14:textId="77777777" w:rsidR="00552D08" w:rsidRPr="001F06C8" w:rsidRDefault="00552D08" w:rsidP="001F06C8">
            <w:pPr>
              <w:rPr>
                <w:sz w:val="18"/>
                <w:szCs w:val="18"/>
              </w:rPr>
            </w:pPr>
            <w:r w:rsidRPr="001F06C8">
              <w:rPr>
                <w:sz w:val="18"/>
                <w:szCs w:val="18"/>
              </w:rPr>
              <w:t>2024</w:t>
            </w:r>
          </w:p>
          <w:p w14:paraId="7C1D0340" w14:textId="77777777" w:rsidR="00552D08" w:rsidRPr="001F06C8" w:rsidRDefault="00552D08" w:rsidP="001F06C8">
            <w:pPr>
              <w:rPr>
                <w:sz w:val="18"/>
                <w:szCs w:val="18"/>
              </w:rPr>
            </w:pPr>
            <w:r w:rsidRPr="001F06C8">
              <w:rPr>
                <w:sz w:val="18"/>
                <w:szCs w:val="18"/>
              </w:rPr>
              <w:t>£’000</w:t>
            </w:r>
          </w:p>
        </w:tc>
      </w:tr>
      <w:tr w:rsidR="00552D08" w:rsidRPr="00552D08" w14:paraId="76D85A07" w14:textId="77777777" w:rsidTr="00552D08">
        <w:trPr>
          <w:trHeight w:val="283"/>
        </w:trPr>
        <w:tc>
          <w:tcPr>
            <w:tcW w:w="5807" w:type="dxa"/>
          </w:tcPr>
          <w:p w14:paraId="64D8AB0C" w14:textId="77777777" w:rsidR="00552D08" w:rsidRPr="001F06C8" w:rsidRDefault="00552D08" w:rsidP="001F06C8">
            <w:pPr>
              <w:rPr>
                <w:sz w:val="18"/>
                <w:szCs w:val="18"/>
              </w:rPr>
            </w:pPr>
            <w:r w:rsidRPr="001F06C8">
              <w:rPr>
                <w:sz w:val="18"/>
                <w:szCs w:val="18"/>
              </w:rPr>
              <w:t>Deferred tax asset</w:t>
            </w:r>
          </w:p>
        </w:tc>
        <w:tc>
          <w:tcPr>
            <w:tcW w:w="2406" w:type="dxa"/>
          </w:tcPr>
          <w:p w14:paraId="6726DC0D" w14:textId="77777777" w:rsidR="00552D08" w:rsidRPr="001F06C8" w:rsidRDefault="00552D08" w:rsidP="001F06C8">
            <w:pPr>
              <w:rPr>
                <w:sz w:val="18"/>
                <w:szCs w:val="18"/>
              </w:rPr>
            </w:pPr>
            <w:r w:rsidRPr="001F06C8">
              <w:rPr>
                <w:sz w:val="18"/>
                <w:szCs w:val="18"/>
              </w:rPr>
              <w:t>47</w:t>
            </w:r>
          </w:p>
        </w:tc>
        <w:tc>
          <w:tcPr>
            <w:tcW w:w="2130" w:type="dxa"/>
          </w:tcPr>
          <w:p w14:paraId="58D4CD64" w14:textId="77777777" w:rsidR="00552D08" w:rsidRPr="001F06C8" w:rsidRDefault="00552D08" w:rsidP="001F06C8">
            <w:pPr>
              <w:rPr>
                <w:sz w:val="18"/>
                <w:szCs w:val="18"/>
              </w:rPr>
            </w:pPr>
            <w:r w:rsidRPr="001F06C8">
              <w:rPr>
                <w:sz w:val="18"/>
                <w:szCs w:val="18"/>
              </w:rPr>
              <w:t>14</w:t>
            </w:r>
          </w:p>
        </w:tc>
      </w:tr>
      <w:tr w:rsidR="00552D08" w:rsidRPr="00552D08" w14:paraId="6107A432" w14:textId="77777777" w:rsidTr="00552D08">
        <w:trPr>
          <w:trHeight w:val="283"/>
        </w:trPr>
        <w:tc>
          <w:tcPr>
            <w:tcW w:w="5807" w:type="dxa"/>
          </w:tcPr>
          <w:p w14:paraId="6502C38A" w14:textId="77777777" w:rsidR="00552D08" w:rsidRPr="001F06C8" w:rsidRDefault="00552D08" w:rsidP="001F06C8">
            <w:pPr>
              <w:rPr>
                <w:sz w:val="18"/>
                <w:szCs w:val="18"/>
              </w:rPr>
            </w:pPr>
            <w:r w:rsidRPr="001F06C8">
              <w:rPr>
                <w:sz w:val="18"/>
                <w:szCs w:val="18"/>
              </w:rPr>
              <w:t>Deferred tax liabilities</w:t>
            </w:r>
          </w:p>
        </w:tc>
        <w:tc>
          <w:tcPr>
            <w:tcW w:w="2406" w:type="dxa"/>
          </w:tcPr>
          <w:p w14:paraId="36146EDC" w14:textId="77777777" w:rsidR="00552D08" w:rsidRPr="001F06C8" w:rsidRDefault="00552D08" w:rsidP="001F06C8">
            <w:pPr>
              <w:rPr>
                <w:sz w:val="18"/>
                <w:szCs w:val="18"/>
              </w:rPr>
            </w:pPr>
            <w:r w:rsidRPr="001F06C8">
              <w:rPr>
                <w:sz w:val="18"/>
                <w:szCs w:val="18"/>
              </w:rPr>
              <w:t>(5,731)</w:t>
            </w:r>
          </w:p>
        </w:tc>
        <w:tc>
          <w:tcPr>
            <w:tcW w:w="2130" w:type="dxa"/>
          </w:tcPr>
          <w:p w14:paraId="48EDACB6" w14:textId="77777777" w:rsidR="00552D08" w:rsidRPr="001F06C8" w:rsidRDefault="00552D08" w:rsidP="001F06C8">
            <w:pPr>
              <w:rPr>
                <w:sz w:val="18"/>
                <w:szCs w:val="18"/>
              </w:rPr>
            </w:pPr>
            <w:r w:rsidRPr="001F06C8">
              <w:rPr>
                <w:sz w:val="18"/>
                <w:szCs w:val="18"/>
              </w:rPr>
              <w:t>(5,038)</w:t>
            </w:r>
          </w:p>
        </w:tc>
      </w:tr>
      <w:tr w:rsidR="00552D08" w:rsidRPr="00552D08" w14:paraId="31899F2E" w14:textId="77777777" w:rsidTr="00552D08">
        <w:trPr>
          <w:trHeight w:val="283"/>
        </w:trPr>
        <w:tc>
          <w:tcPr>
            <w:tcW w:w="5807" w:type="dxa"/>
          </w:tcPr>
          <w:p w14:paraId="7D330972" w14:textId="77777777" w:rsidR="00552D08" w:rsidRPr="001F06C8" w:rsidRDefault="00552D08" w:rsidP="001F06C8">
            <w:pPr>
              <w:rPr>
                <w:sz w:val="18"/>
                <w:szCs w:val="18"/>
              </w:rPr>
            </w:pPr>
          </w:p>
        </w:tc>
        <w:tc>
          <w:tcPr>
            <w:tcW w:w="2406" w:type="dxa"/>
          </w:tcPr>
          <w:p w14:paraId="29FE6136" w14:textId="77777777" w:rsidR="00552D08" w:rsidRPr="001F06C8" w:rsidRDefault="00552D08" w:rsidP="001F06C8">
            <w:pPr>
              <w:rPr>
                <w:sz w:val="18"/>
                <w:szCs w:val="18"/>
              </w:rPr>
            </w:pPr>
            <w:r w:rsidRPr="001F06C8">
              <w:rPr>
                <w:sz w:val="18"/>
                <w:szCs w:val="18"/>
              </w:rPr>
              <w:t>(5,684)</w:t>
            </w:r>
          </w:p>
        </w:tc>
        <w:tc>
          <w:tcPr>
            <w:tcW w:w="2130" w:type="dxa"/>
          </w:tcPr>
          <w:p w14:paraId="1EE425C4" w14:textId="77777777" w:rsidR="00552D08" w:rsidRPr="001F06C8" w:rsidRDefault="00552D08" w:rsidP="001F06C8">
            <w:pPr>
              <w:rPr>
                <w:sz w:val="18"/>
                <w:szCs w:val="18"/>
              </w:rPr>
            </w:pPr>
            <w:r w:rsidRPr="001F06C8">
              <w:rPr>
                <w:sz w:val="18"/>
                <w:szCs w:val="18"/>
              </w:rPr>
              <w:t>(5,024)</w:t>
            </w:r>
          </w:p>
        </w:tc>
      </w:tr>
    </w:tbl>
    <w:p w14:paraId="46D4DDDF" w14:textId="332DFBCC" w:rsidR="00552D08" w:rsidRDefault="00552D08" w:rsidP="006675EF">
      <w:pPr>
        <w:rPr>
          <w:rFonts w:cs="Arial"/>
          <w:color w:val="000000" w:themeColor="text1"/>
        </w:rPr>
      </w:pPr>
    </w:p>
    <w:p w14:paraId="0F778B27" w14:textId="77777777" w:rsidR="00552D08" w:rsidRPr="00552D08" w:rsidRDefault="00552D08" w:rsidP="003F4D72">
      <w:pPr>
        <w:pStyle w:val="Heading2"/>
      </w:pPr>
      <w:bookmarkStart w:id="281" w:name="_Toc213058713"/>
      <w:r w:rsidRPr="00552D08">
        <w:t>10. Profit of Parent Company</w:t>
      </w:r>
      <w:bookmarkEnd w:id="281"/>
    </w:p>
    <w:p w14:paraId="782207B8" w14:textId="00167F08" w:rsidR="00552D08" w:rsidRPr="00552D08" w:rsidRDefault="00552D08" w:rsidP="003F4D72">
      <w:pPr>
        <w:rPr>
          <w:rFonts w:ascii="Axiforma Light" w:hAnsi="Axiforma Light" w:cs="Axiforma Light"/>
        </w:rPr>
      </w:pPr>
      <w:r w:rsidRPr="00552D08">
        <w:t>As permitted by s408 of the Companies Act 2006, the profit and loss account of the parent Company is not presented as</w:t>
      </w:r>
      <w:r>
        <w:t xml:space="preserve"> </w:t>
      </w:r>
      <w:r w:rsidRPr="00552D08">
        <w:t xml:space="preserve">part of these financial statements.  The parent Company’s loss for the financial period amounted to £122,000 (2024: Loss of £1,490,000). </w:t>
      </w:r>
    </w:p>
    <w:p w14:paraId="4C8F12A8" w14:textId="77777777" w:rsidR="00552D08" w:rsidRPr="00552D08" w:rsidRDefault="00552D08" w:rsidP="00552D08"/>
    <w:p w14:paraId="427C3C9C" w14:textId="27CB97C4" w:rsidR="00A06BD6" w:rsidRPr="003F4D72" w:rsidRDefault="00552D08" w:rsidP="003F4D72">
      <w:pPr>
        <w:pStyle w:val="Heading2"/>
      </w:pPr>
      <w:bookmarkStart w:id="282" w:name="_Toc213058714"/>
      <w:r w:rsidRPr="003F4D72">
        <w:t>11. Property, Plant and Equipment</w:t>
      </w:r>
      <w:bookmarkEnd w:id="282"/>
    </w:p>
    <w:tbl>
      <w:tblPr>
        <w:tblStyle w:val="TableGrid"/>
        <w:tblW w:w="0" w:type="auto"/>
        <w:tblLayout w:type="fixed"/>
        <w:tblLook w:val="0000" w:firstRow="0" w:lastRow="0" w:firstColumn="0" w:lastColumn="0" w:noHBand="0" w:noVBand="0"/>
      </w:tblPr>
      <w:tblGrid>
        <w:gridCol w:w="3539"/>
        <w:gridCol w:w="1843"/>
        <w:gridCol w:w="1843"/>
        <w:gridCol w:w="1477"/>
        <w:gridCol w:w="1159"/>
      </w:tblGrid>
      <w:tr w:rsidR="00E82101" w:rsidRPr="00E82101" w14:paraId="7258B53C" w14:textId="77777777" w:rsidTr="00E82101">
        <w:trPr>
          <w:trHeight w:val="283"/>
        </w:trPr>
        <w:tc>
          <w:tcPr>
            <w:tcW w:w="3539" w:type="dxa"/>
          </w:tcPr>
          <w:p w14:paraId="78AA79F0" w14:textId="77777777" w:rsidR="00E82101" w:rsidRPr="00E82101" w:rsidRDefault="00E82101" w:rsidP="00E82101">
            <w:pPr>
              <w:tabs>
                <w:tab w:val="left" w:pos="198"/>
              </w:tabs>
              <w:suppressAutoHyphens/>
              <w:autoSpaceDE w:val="0"/>
              <w:autoSpaceDN w:val="0"/>
              <w:adjustRightInd w:val="0"/>
              <w:spacing w:line="160" w:lineRule="atLeast"/>
              <w:textAlignment w:val="center"/>
              <w:rPr>
                <w:rFonts w:cs="Arial"/>
                <w:b/>
                <w:bCs/>
                <w:color w:val="000000" w:themeColor="text1"/>
                <w:sz w:val="20"/>
                <w:szCs w:val="20"/>
              </w:rPr>
            </w:pPr>
            <w:r w:rsidRPr="00E82101">
              <w:rPr>
                <w:rFonts w:cs="Arial"/>
                <w:b/>
                <w:bCs/>
                <w:color w:val="000000" w:themeColor="text1"/>
                <w:sz w:val="20"/>
                <w:szCs w:val="20"/>
              </w:rPr>
              <w:t>Group</w:t>
            </w:r>
          </w:p>
          <w:p w14:paraId="3F14DD54" w14:textId="77777777" w:rsidR="00E82101" w:rsidRPr="00E82101" w:rsidRDefault="00E82101" w:rsidP="00E82101">
            <w:pPr>
              <w:tabs>
                <w:tab w:val="left" w:pos="198"/>
              </w:tabs>
              <w:suppressAutoHyphens/>
              <w:autoSpaceDE w:val="0"/>
              <w:autoSpaceDN w:val="0"/>
              <w:adjustRightInd w:val="0"/>
              <w:spacing w:line="160" w:lineRule="atLeast"/>
              <w:textAlignment w:val="center"/>
              <w:rPr>
                <w:rFonts w:cs="Arial"/>
                <w:b/>
                <w:bCs/>
                <w:color w:val="000000" w:themeColor="text1"/>
                <w:sz w:val="20"/>
                <w:szCs w:val="20"/>
              </w:rPr>
            </w:pPr>
            <w:r w:rsidRPr="00E82101">
              <w:rPr>
                <w:rFonts w:cs="Arial"/>
                <w:b/>
                <w:bCs/>
                <w:color w:val="000000" w:themeColor="text1"/>
                <w:sz w:val="20"/>
                <w:szCs w:val="20"/>
              </w:rPr>
              <w:t>2025</w:t>
            </w:r>
          </w:p>
        </w:tc>
        <w:tc>
          <w:tcPr>
            <w:tcW w:w="1843" w:type="dxa"/>
          </w:tcPr>
          <w:p w14:paraId="1E7BC3FF"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Land and</w:t>
            </w:r>
          </w:p>
          <w:p w14:paraId="0D1AD75F"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Buildings</w:t>
            </w:r>
          </w:p>
          <w:p w14:paraId="59C500C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843" w:type="dxa"/>
          </w:tcPr>
          <w:p w14:paraId="75BC6F2B"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Permanent</w:t>
            </w:r>
          </w:p>
          <w:p w14:paraId="5901B563"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Way Signalling</w:t>
            </w:r>
          </w:p>
          <w:p w14:paraId="31987F0B"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and Bridges</w:t>
            </w:r>
          </w:p>
          <w:p w14:paraId="424E87F0"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477" w:type="dxa"/>
          </w:tcPr>
          <w:p w14:paraId="59C1CBD7"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Vehicles</w:t>
            </w:r>
          </w:p>
          <w:p w14:paraId="7AB5E625"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Plant and</w:t>
            </w:r>
          </w:p>
          <w:p w14:paraId="2F4B20FD"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Equipment</w:t>
            </w:r>
          </w:p>
          <w:p w14:paraId="703D5403"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159" w:type="dxa"/>
          </w:tcPr>
          <w:p w14:paraId="7BCCE994"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p>
          <w:p w14:paraId="7F29C195" w14:textId="77777777" w:rsidR="00E82101" w:rsidRPr="00E82101" w:rsidRDefault="00E82101" w:rsidP="00E82101">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E82101">
              <w:rPr>
                <w:rFonts w:cs="Arial"/>
                <w:b/>
                <w:bCs/>
                <w:color w:val="000000" w:themeColor="text1"/>
                <w:sz w:val="20"/>
                <w:szCs w:val="20"/>
              </w:rPr>
              <w:t>Total</w:t>
            </w:r>
          </w:p>
          <w:p w14:paraId="7FF463D7"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£’000</w:t>
            </w:r>
          </w:p>
          <w:p w14:paraId="5DA732E7"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p>
        </w:tc>
      </w:tr>
      <w:tr w:rsidR="00E82101" w:rsidRPr="00E82101" w14:paraId="7CC59C59" w14:textId="77777777" w:rsidTr="00E82101">
        <w:trPr>
          <w:trHeight w:val="283"/>
        </w:trPr>
        <w:tc>
          <w:tcPr>
            <w:tcW w:w="3539" w:type="dxa"/>
          </w:tcPr>
          <w:p w14:paraId="502DBF86"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b/>
                <w:bCs/>
                <w:color w:val="000000" w:themeColor="text1"/>
                <w:sz w:val="20"/>
                <w:szCs w:val="20"/>
              </w:rPr>
              <w:t>Cost or valuation:</w:t>
            </w:r>
          </w:p>
        </w:tc>
        <w:tc>
          <w:tcPr>
            <w:tcW w:w="1843" w:type="dxa"/>
          </w:tcPr>
          <w:p w14:paraId="061953C5"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14AF691D"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28602805"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0BEC2149"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77636792" w14:textId="77777777" w:rsidTr="00E82101">
        <w:trPr>
          <w:trHeight w:val="283"/>
        </w:trPr>
        <w:tc>
          <w:tcPr>
            <w:tcW w:w="3539" w:type="dxa"/>
          </w:tcPr>
          <w:p w14:paraId="440BF054"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31 March 2024</w:t>
            </w:r>
          </w:p>
        </w:tc>
        <w:tc>
          <w:tcPr>
            <w:tcW w:w="1843" w:type="dxa"/>
          </w:tcPr>
          <w:p w14:paraId="190F92DF"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622,161</w:t>
            </w:r>
          </w:p>
        </w:tc>
        <w:tc>
          <w:tcPr>
            <w:tcW w:w="1843" w:type="dxa"/>
          </w:tcPr>
          <w:p w14:paraId="05822C03"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750,201</w:t>
            </w:r>
          </w:p>
        </w:tc>
        <w:tc>
          <w:tcPr>
            <w:tcW w:w="1477" w:type="dxa"/>
          </w:tcPr>
          <w:p w14:paraId="6DDF2F00"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956,016</w:t>
            </w:r>
          </w:p>
        </w:tc>
        <w:tc>
          <w:tcPr>
            <w:tcW w:w="1159" w:type="dxa"/>
          </w:tcPr>
          <w:p w14:paraId="261B10E2"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2,328,378</w:t>
            </w:r>
          </w:p>
        </w:tc>
      </w:tr>
      <w:tr w:rsidR="00E82101" w:rsidRPr="00E82101" w14:paraId="2C2FDC0F" w14:textId="77777777" w:rsidTr="00E82101">
        <w:trPr>
          <w:trHeight w:val="283"/>
        </w:trPr>
        <w:tc>
          <w:tcPr>
            <w:tcW w:w="3539" w:type="dxa"/>
          </w:tcPr>
          <w:p w14:paraId="3B893218"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Additions</w:t>
            </w:r>
          </w:p>
        </w:tc>
        <w:tc>
          <w:tcPr>
            <w:tcW w:w="1843" w:type="dxa"/>
          </w:tcPr>
          <w:p w14:paraId="19538555"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126,270</w:t>
            </w:r>
          </w:p>
        </w:tc>
        <w:tc>
          <w:tcPr>
            <w:tcW w:w="1843" w:type="dxa"/>
          </w:tcPr>
          <w:p w14:paraId="342ED3B7"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62,013</w:t>
            </w:r>
          </w:p>
        </w:tc>
        <w:tc>
          <w:tcPr>
            <w:tcW w:w="1477" w:type="dxa"/>
          </w:tcPr>
          <w:p w14:paraId="037CD20D"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61,258</w:t>
            </w:r>
          </w:p>
        </w:tc>
        <w:tc>
          <w:tcPr>
            <w:tcW w:w="1159" w:type="dxa"/>
          </w:tcPr>
          <w:p w14:paraId="6692E389"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249,541</w:t>
            </w:r>
          </w:p>
        </w:tc>
      </w:tr>
      <w:tr w:rsidR="00E82101" w:rsidRPr="00E82101" w14:paraId="53447696" w14:textId="77777777" w:rsidTr="00E82101">
        <w:trPr>
          <w:trHeight w:val="283"/>
        </w:trPr>
        <w:tc>
          <w:tcPr>
            <w:tcW w:w="3539" w:type="dxa"/>
          </w:tcPr>
          <w:p w14:paraId="4319E465"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Disposals</w:t>
            </w:r>
          </w:p>
        </w:tc>
        <w:tc>
          <w:tcPr>
            <w:tcW w:w="1843" w:type="dxa"/>
          </w:tcPr>
          <w:p w14:paraId="535BD254"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(1,497)</w:t>
            </w:r>
          </w:p>
        </w:tc>
        <w:tc>
          <w:tcPr>
            <w:tcW w:w="1843" w:type="dxa"/>
          </w:tcPr>
          <w:p w14:paraId="04A0BFFA"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(192)</w:t>
            </w:r>
          </w:p>
        </w:tc>
        <w:tc>
          <w:tcPr>
            <w:tcW w:w="1477" w:type="dxa"/>
          </w:tcPr>
          <w:p w14:paraId="25F19D08"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(12,393)</w:t>
            </w:r>
          </w:p>
        </w:tc>
        <w:tc>
          <w:tcPr>
            <w:tcW w:w="1159" w:type="dxa"/>
          </w:tcPr>
          <w:p w14:paraId="4122131F"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(14,082)</w:t>
            </w:r>
          </w:p>
        </w:tc>
      </w:tr>
      <w:tr w:rsidR="00E82101" w:rsidRPr="00E82101" w14:paraId="69CD42C3" w14:textId="77777777" w:rsidTr="00E82101">
        <w:trPr>
          <w:trHeight w:val="283"/>
        </w:trPr>
        <w:tc>
          <w:tcPr>
            <w:tcW w:w="3539" w:type="dxa"/>
          </w:tcPr>
          <w:p w14:paraId="048628AB"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1843" w:type="dxa"/>
          </w:tcPr>
          <w:p w14:paraId="29D2E93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746,934</w:t>
            </w:r>
          </w:p>
        </w:tc>
        <w:tc>
          <w:tcPr>
            <w:tcW w:w="1843" w:type="dxa"/>
          </w:tcPr>
          <w:p w14:paraId="1B4A76B8" w14:textId="77777777" w:rsidR="00E82101" w:rsidRPr="00E82101" w:rsidRDefault="00E82101" w:rsidP="00E82101">
            <w:pPr>
              <w:autoSpaceDE w:val="0"/>
              <w:autoSpaceDN w:val="0"/>
              <w:adjustRightInd w:val="0"/>
              <w:spacing w:line="288" w:lineRule="auto"/>
              <w:jc w:val="right"/>
              <w:textAlignment w:val="center"/>
              <w:rPr>
                <w:rFonts w:cs="Arial"/>
                <w:color w:val="000000" w:themeColor="text1"/>
                <w:sz w:val="20"/>
                <w:szCs w:val="20"/>
              </w:rPr>
            </w:pPr>
            <w:r w:rsidRPr="00E82101">
              <w:rPr>
                <w:rFonts w:cs="Arial"/>
                <w:b/>
                <w:bCs/>
                <w:color w:val="000000" w:themeColor="text1"/>
                <w:sz w:val="20"/>
                <w:szCs w:val="20"/>
              </w:rPr>
              <w:t>812,022</w:t>
            </w:r>
          </w:p>
        </w:tc>
        <w:tc>
          <w:tcPr>
            <w:tcW w:w="1477" w:type="dxa"/>
          </w:tcPr>
          <w:p w14:paraId="12B9351B"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1,004,881</w:t>
            </w:r>
          </w:p>
        </w:tc>
        <w:tc>
          <w:tcPr>
            <w:tcW w:w="1159" w:type="dxa"/>
          </w:tcPr>
          <w:p w14:paraId="6637127D"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2,563,837</w:t>
            </w:r>
          </w:p>
        </w:tc>
      </w:tr>
      <w:tr w:rsidR="00E82101" w:rsidRPr="00E82101" w14:paraId="095BDB25" w14:textId="77777777" w:rsidTr="00E82101">
        <w:trPr>
          <w:trHeight w:val="283"/>
        </w:trPr>
        <w:tc>
          <w:tcPr>
            <w:tcW w:w="3539" w:type="dxa"/>
          </w:tcPr>
          <w:p w14:paraId="02872EA0"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1714664D"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04A557F8"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562C6DDB"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017F3D35"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532FC33E" w14:textId="77777777" w:rsidTr="00E82101">
        <w:trPr>
          <w:trHeight w:val="283"/>
        </w:trPr>
        <w:tc>
          <w:tcPr>
            <w:tcW w:w="3539" w:type="dxa"/>
          </w:tcPr>
          <w:p w14:paraId="23F2D976"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b/>
                <w:bCs/>
                <w:color w:val="000000" w:themeColor="text1"/>
                <w:sz w:val="20"/>
                <w:szCs w:val="20"/>
              </w:rPr>
              <w:t>Depreciation and impairment:</w:t>
            </w:r>
          </w:p>
        </w:tc>
        <w:tc>
          <w:tcPr>
            <w:tcW w:w="1843" w:type="dxa"/>
          </w:tcPr>
          <w:p w14:paraId="368D39A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62E8A8B2"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129C96AC"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1C4D0E7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44241EFB" w14:textId="77777777" w:rsidTr="00E82101">
        <w:trPr>
          <w:trHeight w:val="283"/>
        </w:trPr>
        <w:tc>
          <w:tcPr>
            <w:tcW w:w="3539" w:type="dxa"/>
          </w:tcPr>
          <w:p w14:paraId="6A61F238"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31 March 2024</w:t>
            </w:r>
          </w:p>
        </w:tc>
        <w:tc>
          <w:tcPr>
            <w:tcW w:w="1843" w:type="dxa"/>
          </w:tcPr>
          <w:p w14:paraId="4A96403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202,035</w:t>
            </w:r>
          </w:p>
        </w:tc>
        <w:tc>
          <w:tcPr>
            <w:tcW w:w="1843" w:type="dxa"/>
          </w:tcPr>
          <w:p w14:paraId="012B1B3D"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307,072</w:t>
            </w:r>
          </w:p>
        </w:tc>
        <w:tc>
          <w:tcPr>
            <w:tcW w:w="1477" w:type="dxa"/>
          </w:tcPr>
          <w:p w14:paraId="6DC093AD"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491,975</w:t>
            </w:r>
          </w:p>
        </w:tc>
        <w:tc>
          <w:tcPr>
            <w:tcW w:w="1159" w:type="dxa"/>
          </w:tcPr>
          <w:p w14:paraId="0FEE4D9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1,001,082</w:t>
            </w:r>
          </w:p>
        </w:tc>
      </w:tr>
      <w:tr w:rsidR="00E82101" w:rsidRPr="00E82101" w14:paraId="280FD5B8" w14:textId="77777777" w:rsidTr="00E82101">
        <w:trPr>
          <w:trHeight w:val="283"/>
        </w:trPr>
        <w:tc>
          <w:tcPr>
            <w:tcW w:w="3539" w:type="dxa"/>
          </w:tcPr>
          <w:p w14:paraId="38C55DB3"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Charge for period</w:t>
            </w:r>
          </w:p>
        </w:tc>
        <w:tc>
          <w:tcPr>
            <w:tcW w:w="1843" w:type="dxa"/>
          </w:tcPr>
          <w:p w14:paraId="06A85FB1"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19,771</w:t>
            </w:r>
          </w:p>
        </w:tc>
        <w:tc>
          <w:tcPr>
            <w:tcW w:w="1843" w:type="dxa"/>
          </w:tcPr>
          <w:p w14:paraId="046BBD9B"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33,509</w:t>
            </w:r>
          </w:p>
        </w:tc>
        <w:tc>
          <w:tcPr>
            <w:tcW w:w="1477" w:type="dxa"/>
          </w:tcPr>
          <w:p w14:paraId="34558E8B"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65,517</w:t>
            </w:r>
          </w:p>
        </w:tc>
        <w:tc>
          <w:tcPr>
            <w:tcW w:w="1159" w:type="dxa"/>
          </w:tcPr>
          <w:p w14:paraId="514A3CEB"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118,797</w:t>
            </w:r>
          </w:p>
        </w:tc>
      </w:tr>
      <w:tr w:rsidR="00E82101" w:rsidRPr="00E82101" w14:paraId="119B36DD" w14:textId="77777777" w:rsidTr="00E82101">
        <w:trPr>
          <w:trHeight w:val="283"/>
        </w:trPr>
        <w:tc>
          <w:tcPr>
            <w:tcW w:w="3539" w:type="dxa"/>
          </w:tcPr>
          <w:p w14:paraId="0286BF3A"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Impairment</w:t>
            </w:r>
          </w:p>
        </w:tc>
        <w:tc>
          <w:tcPr>
            <w:tcW w:w="1843" w:type="dxa"/>
          </w:tcPr>
          <w:p w14:paraId="0662BD36"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w:t>
            </w:r>
          </w:p>
        </w:tc>
        <w:tc>
          <w:tcPr>
            <w:tcW w:w="1843" w:type="dxa"/>
          </w:tcPr>
          <w:p w14:paraId="15016962"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189</w:t>
            </w:r>
          </w:p>
        </w:tc>
        <w:tc>
          <w:tcPr>
            <w:tcW w:w="1477" w:type="dxa"/>
          </w:tcPr>
          <w:p w14:paraId="723497E1"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435</w:t>
            </w:r>
          </w:p>
        </w:tc>
        <w:tc>
          <w:tcPr>
            <w:tcW w:w="1159" w:type="dxa"/>
          </w:tcPr>
          <w:p w14:paraId="66B38FA9"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624</w:t>
            </w:r>
          </w:p>
        </w:tc>
      </w:tr>
      <w:tr w:rsidR="00E82101" w:rsidRPr="00E82101" w14:paraId="2FD09CC1" w14:textId="77777777" w:rsidTr="00E82101">
        <w:trPr>
          <w:trHeight w:val="283"/>
        </w:trPr>
        <w:tc>
          <w:tcPr>
            <w:tcW w:w="3539" w:type="dxa"/>
          </w:tcPr>
          <w:p w14:paraId="0A94886A"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Disposals</w:t>
            </w:r>
          </w:p>
        </w:tc>
        <w:tc>
          <w:tcPr>
            <w:tcW w:w="1843" w:type="dxa"/>
          </w:tcPr>
          <w:p w14:paraId="7F4212F6"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(800)</w:t>
            </w:r>
          </w:p>
        </w:tc>
        <w:tc>
          <w:tcPr>
            <w:tcW w:w="1843" w:type="dxa"/>
          </w:tcPr>
          <w:p w14:paraId="24DE5A02"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(95)</w:t>
            </w:r>
          </w:p>
        </w:tc>
        <w:tc>
          <w:tcPr>
            <w:tcW w:w="1477" w:type="dxa"/>
          </w:tcPr>
          <w:p w14:paraId="012FD51F"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(12,299)</w:t>
            </w:r>
          </w:p>
        </w:tc>
        <w:tc>
          <w:tcPr>
            <w:tcW w:w="1159" w:type="dxa"/>
          </w:tcPr>
          <w:p w14:paraId="230FCA4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color w:val="000000" w:themeColor="text1"/>
                <w:sz w:val="20"/>
                <w:szCs w:val="20"/>
              </w:rPr>
              <w:t>(13,194)</w:t>
            </w:r>
          </w:p>
        </w:tc>
      </w:tr>
      <w:tr w:rsidR="00E82101" w:rsidRPr="00E82101" w14:paraId="2C3EFAF4" w14:textId="77777777" w:rsidTr="00E82101">
        <w:trPr>
          <w:trHeight w:val="283"/>
        </w:trPr>
        <w:tc>
          <w:tcPr>
            <w:tcW w:w="3539" w:type="dxa"/>
          </w:tcPr>
          <w:p w14:paraId="711A609B"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1843" w:type="dxa"/>
          </w:tcPr>
          <w:p w14:paraId="1BF8FD41"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221,006</w:t>
            </w:r>
          </w:p>
        </w:tc>
        <w:tc>
          <w:tcPr>
            <w:tcW w:w="1843" w:type="dxa"/>
          </w:tcPr>
          <w:p w14:paraId="3A1867BA"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340,675</w:t>
            </w:r>
          </w:p>
        </w:tc>
        <w:tc>
          <w:tcPr>
            <w:tcW w:w="1477" w:type="dxa"/>
          </w:tcPr>
          <w:p w14:paraId="55501E7D"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545,628</w:t>
            </w:r>
          </w:p>
        </w:tc>
        <w:tc>
          <w:tcPr>
            <w:tcW w:w="1159" w:type="dxa"/>
          </w:tcPr>
          <w:p w14:paraId="7DAE8C08"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1,107,309</w:t>
            </w:r>
          </w:p>
        </w:tc>
      </w:tr>
      <w:tr w:rsidR="00E82101" w:rsidRPr="00E82101" w14:paraId="0F00586F" w14:textId="77777777" w:rsidTr="00E82101">
        <w:trPr>
          <w:trHeight w:val="283"/>
        </w:trPr>
        <w:tc>
          <w:tcPr>
            <w:tcW w:w="3539" w:type="dxa"/>
          </w:tcPr>
          <w:p w14:paraId="072E39A3"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b/>
                <w:bCs/>
                <w:color w:val="000000" w:themeColor="text1"/>
                <w:sz w:val="20"/>
                <w:szCs w:val="20"/>
              </w:rPr>
              <w:t xml:space="preserve">Net book value </w:t>
            </w: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1843" w:type="dxa"/>
          </w:tcPr>
          <w:p w14:paraId="1365D146"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525,928</w:t>
            </w:r>
          </w:p>
        </w:tc>
        <w:tc>
          <w:tcPr>
            <w:tcW w:w="1843" w:type="dxa"/>
          </w:tcPr>
          <w:p w14:paraId="441A209A"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471,347</w:t>
            </w:r>
          </w:p>
        </w:tc>
        <w:tc>
          <w:tcPr>
            <w:tcW w:w="1477" w:type="dxa"/>
          </w:tcPr>
          <w:p w14:paraId="39619A4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459,253</w:t>
            </w:r>
          </w:p>
        </w:tc>
        <w:tc>
          <w:tcPr>
            <w:tcW w:w="1159" w:type="dxa"/>
          </w:tcPr>
          <w:p w14:paraId="70693417"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1,456,528</w:t>
            </w:r>
          </w:p>
        </w:tc>
      </w:tr>
    </w:tbl>
    <w:p w14:paraId="6F7C11F8" w14:textId="77777777" w:rsidR="00552D08" w:rsidRDefault="00552D08" w:rsidP="00552D08">
      <w:pPr>
        <w:rPr>
          <w:rFonts w:cs="Arial"/>
          <w:b/>
          <w:bCs/>
          <w:color w:val="000000" w:themeColor="text1"/>
          <w:sz w:val="28"/>
          <w:szCs w:val="28"/>
        </w:rPr>
      </w:pPr>
    </w:p>
    <w:tbl>
      <w:tblPr>
        <w:tblStyle w:val="TableGrid"/>
        <w:tblW w:w="0" w:type="auto"/>
        <w:tblLayout w:type="fixed"/>
        <w:tblLook w:val="0000" w:firstRow="0" w:lastRow="0" w:firstColumn="0" w:lastColumn="0" w:noHBand="0" w:noVBand="0"/>
      </w:tblPr>
      <w:tblGrid>
        <w:gridCol w:w="3539"/>
        <w:gridCol w:w="1843"/>
        <w:gridCol w:w="1843"/>
        <w:gridCol w:w="1477"/>
        <w:gridCol w:w="1159"/>
      </w:tblGrid>
      <w:tr w:rsidR="00E82101" w:rsidRPr="00E82101" w14:paraId="73EC4C00" w14:textId="77777777" w:rsidTr="00E82101">
        <w:trPr>
          <w:trHeight w:val="283"/>
        </w:trPr>
        <w:tc>
          <w:tcPr>
            <w:tcW w:w="3539" w:type="dxa"/>
          </w:tcPr>
          <w:p w14:paraId="4B6CE1EE"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Group</w:t>
            </w:r>
            <w:r w:rsidRPr="00E82101">
              <w:rPr>
                <w:rFonts w:cs="Arial"/>
                <w:b/>
                <w:bCs/>
                <w:color w:val="000000" w:themeColor="text1"/>
                <w:sz w:val="20"/>
                <w:szCs w:val="20"/>
              </w:rPr>
              <w:br/>
              <w:t>2024</w:t>
            </w:r>
          </w:p>
        </w:tc>
        <w:tc>
          <w:tcPr>
            <w:tcW w:w="1843" w:type="dxa"/>
          </w:tcPr>
          <w:p w14:paraId="2B243AA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Land and</w:t>
            </w:r>
          </w:p>
          <w:p w14:paraId="27EA242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Buildings</w:t>
            </w:r>
          </w:p>
          <w:p w14:paraId="5C79DB0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843" w:type="dxa"/>
          </w:tcPr>
          <w:p w14:paraId="49D5C80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Permanent</w:t>
            </w:r>
          </w:p>
          <w:p w14:paraId="2968B9B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Way Signalling</w:t>
            </w:r>
          </w:p>
          <w:p w14:paraId="31A9B29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and Bridges</w:t>
            </w:r>
          </w:p>
          <w:p w14:paraId="56362B0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477" w:type="dxa"/>
          </w:tcPr>
          <w:p w14:paraId="771D2D9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Vehicles</w:t>
            </w:r>
          </w:p>
          <w:p w14:paraId="3569E9D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Plant and</w:t>
            </w:r>
          </w:p>
          <w:p w14:paraId="3B3CD8F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Equipment</w:t>
            </w:r>
          </w:p>
          <w:p w14:paraId="285C38E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159" w:type="dxa"/>
          </w:tcPr>
          <w:p w14:paraId="74FEA53D"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p w14:paraId="68161A6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Total</w:t>
            </w:r>
          </w:p>
          <w:p w14:paraId="32FEF9C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p w14:paraId="7AC1B29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tc>
      </w:tr>
      <w:tr w:rsidR="00E82101" w:rsidRPr="00E82101" w14:paraId="74E29936" w14:textId="77777777" w:rsidTr="00E82101">
        <w:trPr>
          <w:trHeight w:val="283"/>
        </w:trPr>
        <w:tc>
          <w:tcPr>
            <w:tcW w:w="3539" w:type="dxa"/>
          </w:tcPr>
          <w:p w14:paraId="4B2C886C"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Cost or valuation:</w:t>
            </w:r>
          </w:p>
        </w:tc>
        <w:tc>
          <w:tcPr>
            <w:tcW w:w="1843" w:type="dxa"/>
          </w:tcPr>
          <w:p w14:paraId="067A6AC9"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215F427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5E849CF9"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2086F7F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199F801E" w14:textId="77777777" w:rsidTr="00E82101">
        <w:trPr>
          <w:trHeight w:val="283"/>
        </w:trPr>
        <w:tc>
          <w:tcPr>
            <w:tcW w:w="3539" w:type="dxa"/>
          </w:tcPr>
          <w:p w14:paraId="341CA374"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26 March 2023</w:t>
            </w:r>
          </w:p>
        </w:tc>
        <w:tc>
          <w:tcPr>
            <w:tcW w:w="1843" w:type="dxa"/>
          </w:tcPr>
          <w:p w14:paraId="49B7762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506,454</w:t>
            </w:r>
          </w:p>
        </w:tc>
        <w:tc>
          <w:tcPr>
            <w:tcW w:w="1843" w:type="dxa"/>
          </w:tcPr>
          <w:p w14:paraId="1E3B936D"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644,683</w:t>
            </w:r>
          </w:p>
        </w:tc>
        <w:tc>
          <w:tcPr>
            <w:tcW w:w="1477" w:type="dxa"/>
          </w:tcPr>
          <w:p w14:paraId="6E93825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912,066</w:t>
            </w:r>
          </w:p>
        </w:tc>
        <w:tc>
          <w:tcPr>
            <w:tcW w:w="1159" w:type="dxa"/>
          </w:tcPr>
          <w:p w14:paraId="2BFCBB0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2,063,203</w:t>
            </w:r>
          </w:p>
        </w:tc>
      </w:tr>
      <w:tr w:rsidR="00E82101" w:rsidRPr="00E82101" w14:paraId="5B7A4F0B" w14:textId="77777777" w:rsidTr="00E82101">
        <w:trPr>
          <w:trHeight w:val="283"/>
        </w:trPr>
        <w:tc>
          <w:tcPr>
            <w:tcW w:w="3539" w:type="dxa"/>
          </w:tcPr>
          <w:p w14:paraId="1702B57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Additions</w:t>
            </w:r>
          </w:p>
        </w:tc>
        <w:tc>
          <w:tcPr>
            <w:tcW w:w="1843" w:type="dxa"/>
          </w:tcPr>
          <w:p w14:paraId="5DF7B93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117,114</w:t>
            </w:r>
          </w:p>
        </w:tc>
        <w:tc>
          <w:tcPr>
            <w:tcW w:w="1843" w:type="dxa"/>
          </w:tcPr>
          <w:p w14:paraId="038A6FC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108,804</w:t>
            </w:r>
          </w:p>
        </w:tc>
        <w:tc>
          <w:tcPr>
            <w:tcW w:w="1477" w:type="dxa"/>
          </w:tcPr>
          <w:p w14:paraId="70EE8FC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49,629</w:t>
            </w:r>
          </w:p>
        </w:tc>
        <w:tc>
          <w:tcPr>
            <w:tcW w:w="1159" w:type="dxa"/>
          </w:tcPr>
          <w:p w14:paraId="0B0F0D3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275,547</w:t>
            </w:r>
          </w:p>
        </w:tc>
      </w:tr>
      <w:tr w:rsidR="00E82101" w:rsidRPr="00E82101" w14:paraId="047E5171" w14:textId="77777777" w:rsidTr="00E82101">
        <w:trPr>
          <w:trHeight w:val="283"/>
        </w:trPr>
        <w:tc>
          <w:tcPr>
            <w:tcW w:w="3539" w:type="dxa"/>
          </w:tcPr>
          <w:p w14:paraId="7E3739F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Disposals</w:t>
            </w:r>
          </w:p>
        </w:tc>
        <w:tc>
          <w:tcPr>
            <w:tcW w:w="1843" w:type="dxa"/>
          </w:tcPr>
          <w:p w14:paraId="27B7212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(1,407)</w:t>
            </w:r>
          </w:p>
        </w:tc>
        <w:tc>
          <w:tcPr>
            <w:tcW w:w="1843" w:type="dxa"/>
          </w:tcPr>
          <w:p w14:paraId="377EC09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(3,286)</w:t>
            </w:r>
          </w:p>
        </w:tc>
        <w:tc>
          <w:tcPr>
            <w:tcW w:w="1477" w:type="dxa"/>
          </w:tcPr>
          <w:p w14:paraId="14AF0CE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(5,679)</w:t>
            </w:r>
          </w:p>
        </w:tc>
        <w:tc>
          <w:tcPr>
            <w:tcW w:w="1159" w:type="dxa"/>
          </w:tcPr>
          <w:p w14:paraId="1A8F3F5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(10,372)</w:t>
            </w:r>
          </w:p>
        </w:tc>
      </w:tr>
      <w:tr w:rsidR="00E82101" w:rsidRPr="00E82101" w14:paraId="19EE67E6" w14:textId="77777777" w:rsidTr="00E82101">
        <w:trPr>
          <w:trHeight w:val="283"/>
        </w:trPr>
        <w:tc>
          <w:tcPr>
            <w:tcW w:w="3539" w:type="dxa"/>
          </w:tcPr>
          <w:p w14:paraId="7D07052F"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31 March 2024</w:t>
            </w:r>
          </w:p>
        </w:tc>
        <w:tc>
          <w:tcPr>
            <w:tcW w:w="1843" w:type="dxa"/>
          </w:tcPr>
          <w:p w14:paraId="115ED19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622,161</w:t>
            </w:r>
          </w:p>
        </w:tc>
        <w:tc>
          <w:tcPr>
            <w:tcW w:w="1843" w:type="dxa"/>
          </w:tcPr>
          <w:p w14:paraId="7D9A53F4" w14:textId="77777777" w:rsidR="00E82101" w:rsidRPr="00E82101" w:rsidRDefault="00E82101" w:rsidP="00E82101">
            <w:pPr>
              <w:autoSpaceDE w:val="0"/>
              <w:autoSpaceDN w:val="0"/>
              <w:adjustRightInd w:val="0"/>
              <w:spacing w:line="240" w:lineRule="auto"/>
              <w:jc w:val="right"/>
              <w:textAlignment w:val="center"/>
              <w:rPr>
                <w:rFonts w:cs="Arial"/>
                <w:color w:val="000000" w:themeColor="text1"/>
                <w:sz w:val="20"/>
                <w:szCs w:val="20"/>
              </w:rPr>
            </w:pPr>
            <w:r w:rsidRPr="00E82101">
              <w:rPr>
                <w:rFonts w:cs="Arial"/>
                <w:b/>
                <w:bCs/>
                <w:color w:val="000000" w:themeColor="text1"/>
                <w:sz w:val="20"/>
                <w:szCs w:val="20"/>
              </w:rPr>
              <w:t>750,201</w:t>
            </w:r>
          </w:p>
        </w:tc>
        <w:tc>
          <w:tcPr>
            <w:tcW w:w="1477" w:type="dxa"/>
          </w:tcPr>
          <w:p w14:paraId="2493C54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956,016</w:t>
            </w:r>
          </w:p>
        </w:tc>
        <w:tc>
          <w:tcPr>
            <w:tcW w:w="1159" w:type="dxa"/>
          </w:tcPr>
          <w:p w14:paraId="540333F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2,328,378</w:t>
            </w:r>
          </w:p>
        </w:tc>
      </w:tr>
      <w:tr w:rsidR="00E82101" w:rsidRPr="00E82101" w14:paraId="2D1C5128" w14:textId="77777777" w:rsidTr="00E82101">
        <w:trPr>
          <w:trHeight w:val="283"/>
        </w:trPr>
        <w:tc>
          <w:tcPr>
            <w:tcW w:w="3539" w:type="dxa"/>
          </w:tcPr>
          <w:p w14:paraId="6A14A71D"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355BE518"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2170903A"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7659D7FC"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6FBFD35C"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7ADD73CB" w14:textId="77777777" w:rsidTr="00E82101">
        <w:trPr>
          <w:trHeight w:val="283"/>
        </w:trPr>
        <w:tc>
          <w:tcPr>
            <w:tcW w:w="3539" w:type="dxa"/>
          </w:tcPr>
          <w:p w14:paraId="32623231"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Depreciation and impairment:</w:t>
            </w:r>
          </w:p>
        </w:tc>
        <w:tc>
          <w:tcPr>
            <w:tcW w:w="1843" w:type="dxa"/>
          </w:tcPr>
          <w:p w14:paraId="7C2C404A"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3" w:type="dxa"/>
          </w:tcPr>
          <w:p w14:paraId="48AB4374"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477" w:type="dxa"/>
          </w:tcPr>
          <w:p w14:paraId="6D479A9F"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159" w:type="dxa"/>
          </w:tcPr>
          <w:p w14:paraId="6F03ABA9"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0E5FB167" w14:textId="77777777" w:rsidTr="00E82101">
        <w:trPr>
          <w:trHeight w:val="283"/>
        </w:trPr>
        <w:tc>
          <w:tcPr>
            <w:tcW w:w="3539" w:type="dxa"/>
          </w:tcPr>
          <w:p w14:paraId="1CB0274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26 March 2023</w:t>
            </w:r>
          </w:p>
        </w:tc>
        <w:tc>
          <w:tcPr>
            <w:tcW w:w="1843" w:type="dxa"/>
          </w:tcPr>
          <w:p w14:paraId="2CDEFA3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190,799</w:t>
            </w:r>
          </w:p>
        </w:tc>
        <w:tc>
          <w:tcPr>
            <w:tcW w:w="1843" w:type="dxa"/>
          </w:tcPr>
          <w:p w14:paraId="01314D9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285,413</w:t>
            </w:r>
          </w:p>
        </w:tc>
        <w:tc>
          <w:tcPr>
            <w:tcW w:w="1477" w:type="dxa"/>
          </w:tcPr>
          <w:p w14:paraId="5B7A9C9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444,516</w:t>
            </w:r>
          </w:p>
        </w:tc>
        <w:tc>
          <w:tcPr>
            <w:tcW w:w="1159" w:type="dxa"/>
          </w:tcPr>
          <w:p w14:paraId="09D6BEB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920,728</w:t>
            </w:r>
          </w:p>
        </w:tc>
      </w:tr>
      <w:tr w:rsidR="00E82101" w:rsidRPr="00E82101" w14:paraId="1416AC9E" w14:textId="77777777" w:rsidTr="00E82101">
        <w:trPr>
          <w:trHeight w:val="283"/>
        </w:trPr>
        <w:tc>
          <w:tcPr>
            <w:tcW w:w="3539" w:type="dxa"/>
          </w:tcPr>
          <w:p w14:paraId="08256901"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Charge for period</w:t>
            </w:r>
          </w:p>
        </w:tc>
        <w:tc>
          <w:tcPr>
            <w:tcW w:w="1843" w:type="dxa"/>
          </w:tcPr>
          <w:p w14:paraId="1E3A01C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12,618</w:t>
            </w:r>
          </w:p>
        </w:tc>
        <w:tc>
          <w:tcPr>
            <w:tcW w:w="1843" w:type="dxa"/>
          </w:tcPr>
          <w:p w14:paraId="32626AB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24,632</w:t>
            </w:r>
          </w:p>
        </w:tc>
        <w:tc>
          <w:tcPr>
            <w:tcW w:w="1477" w:type="dxa"/>
          </w:tcPr>
          <w:p w14:paraId="04A5806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53,084</w:t>
            </w:r>
          </w:p>
        </w:tc>
        <w:tc>
          <w:tcPr>
            <w:tcW w:w="1159" w:type="dxa"/>
          </w:tcPr>
          <w:p w14:paraId="5C3C65B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90,334</w:t>
            </w:r>
          </w:p>
        </w:tc>
      </w:tr>
      <w:tr w:rsidR="00E82101" w:rsidRPr="00E82101" w14:paraId="48CD7542" w14:textId="77777777" w:rsidTr="00E82101">
        <w:trPr>
          <w:trHeight w:val="283"/>
        </w:trPr>
        <w:tc>
          <w:tcPr>
            <w:tcW w:w="3539" w:type="dxa"/>
          </w:tcPr>
          <w:p w14:paraId="44E8F766"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Impairment</w:t>
            </w:r>
          </w:p>
        </w:tc>
        <w:tc>
          <w:tcPr>
            <w:tcW w:w="1843" w:type="dxa"/>
          </w:tcPr>
          <w:p w14:paraId="3867E14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w:t>
            </w:r>
          </w:p>
        </w:tc>
        <w:tc>
          <w:tcPr>
            <w:tcW w:w="1843" w:type="dxa"/>
          </w:tcPr>
          <w:p w14:paraId="0439C60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209</w:t>
            </w:r>
          </w:p>
        </w:tc>
        <w:tc>
          <w:tcPr>
            <w:tcW w:w="1477" w:type="dxa"/>
          </w:tcPr>
          <w:p w14:paraId="376F73C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w:t>
            </w:r>
          </w:p>
        </w:tc>
        <w:tc>
          <w:tcPr>
            <w:tcW w:w="1159" w:type="dxa"/>
          </w:tcPr>
          <w:p w14:paraId="49B8923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218</w:t>
            </w:r>
          </w:p>
        </w:tc>
      </w:tr>
      <w:tr w:rsidR="00E82101" w:rsidRPr="00E82101" w14:paraId="5C22BBEE" w14:textId="77777777" w:rsidTr="00E82101">
        <w:trPr>
          <w:trHeight w:val="283"/>
        </w:trPr>
        <w:tc>
          <w:tcPr>
            <w:tcW w:w="3539" w:type="dxa"/>
          </w:tcPr>
          <w:p w14:paraId="0D1850CD"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Disposals</w:t>
            </w:r>
          </w:p>
        </w:tc>
        <w:tc>
          <w:tcPr>
            <w:tcW w:w="1843" w:type="dxa"/>
          </w:tcPr>
          <w:p w14:paraId="78E08A8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(1,382)</w:t>
            </w:r>
          </w:p>
        </w:tc>
        <w:tc>
          <w:tcPr>
            <w:tcW w:w="1843" w:type="dxa"/>
          </w:tcPr>
          <w:p w14:paraId="593071B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(3,182)</w:t>
            </w:r>
          </w:p>
        </w:tc>
        <w:tc>
          <w:tcPr>
            <w:tcW w:w="1477" w:type="dxa"/>
          </w:tcPr>
          <w:p w14:paraId="3287EE6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(5,634)</w:t>
            </w:r>
          </w:p>
        </w:tc>
        <w:tc>
          <w:tcPr>
            <w:tcW w:w="1159" w:type="dxa"/>
          </w:tcPr>
          <w:p w14:paraId="23D276C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(10,198)</w:t>
            </w:r>
          </w:p>
        </w:tc>
      </w:tr>
      <w:tr w:rsidR="00E82101" w:rsidRPr="00E82101" w14:paraId="481F7C80" w14:textId="77777777" w:rsidTr="00E82101">
        <w:trPr>
          <w:trHeight w:val="283"/>
        </w:trPr>
        <w:tc>
          <w:tcPr>
            <w:tcW w:w="3539" w:type="dxa"/>
          </w:tcPr>
          <w:p w14:paraId="3B906FEE"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31 March 2024</w:t>
            </w:r>
          </w:p>
        </w:tc>
        <w:tc>
          <w:tcPr>
            <w:tcW w:w="1843" w:type="dxa"/>
          </w:tcPr>
          <w:p w14:paraId="2F22C877"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202,035</w:t>
            </w:r>
          </w:p>
        </w:tc>
        <w:tc>
          <w:tcPr>
            <w:tcW w:w="1843" w:type="dxa"/>
          </w:tcPr>
          <w:p w14:paraId="6471504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307,072</w:t>
            </w:r>
          </w:p>
        </w:tc>
        <w:tc>
          <w:tcPr>
            <w:tcW w:w="1477" w:type="dxa"/>
          </w:tcPr>
          <w:p w14:paraId="6A208AF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491,975</w:t>
            </w:r>
          </w:p>
        </w:tc>
        <w:tc>
          <w:tcPr>
            <w:tcW w:w="1159" w:type="dxa"/>
          </w:tcPr>
          <w:p w14:paraId="7D808FF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1,001,082</w:t>
            </w:r>
          </w:p>
        </w:tc>
      </w:tr>
      <w:tr w:rsidR="00E82101" w:rsidRPr="00E82101" w14:paraId="1BB31C1D" w14:textId="77777777" w:rsidTr="00E82101">
        <w:trPr>
          <w:trHeight w:val="283"/>
        </w:trPr>
        <w:tc>
          <w:tcPr>
            <w:tcW w:w="3539" w:type="dxa"/>
          </w:tcPr>
          <w:p w14:paraId="7AF813E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 xml:space="preserve">Net book value </w:t>
            </w: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31 March 2024</w:t>
            </w:r>
          </w:p>
        </w:tc>
        <w:tc>
          <w:tcPr>
            <w:tcW w:w="1843" w:type="dxa"/>
          </w:tcPr>
          <w:p w14:paraId="1A1FE00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420,126</w:t>
            </w:r>
          </w:p>
        </w:tc>
        <w:tc>
          <w:tcPr>
            <w:tcW w:w="1843" w:type="dxa"/>
          </w:tcPr>
          <w:p w14:paraId="53E344D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443,129</w:t>
            </w:r>
          </w:p>
        </w:tc>
        <w:tc>
          <w:tcPr>
            <w:tcW w:w="1477" w:type="dxa"/>
          </w:tcPr>
          <w:p w14:paraId="50D4B81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464,041</w:t>
            </w:r>
          </w:p>
        </w:tc>
        <w:tc>
          <w:tcPr>
            <w:tcW w:w="1159" w:type="dxa"/>
          </w:tcPr>
          <w:p w14:paraId="0BA6DE8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1,327,296</w:t>
            </w:r>
          </w:p>
        </w:tc>
      </w:tr>
    </w:tbl>
    <w:p w14:paraId="6B50411B" w14:textId="77777777" w:rsidR="00E82101" w:rsidRPr="00552D08" w:rsidRDefault="00E82101" w:rsidP="00552D08">
      <w:pPr>
        <w:rPr>
          <w:rFonts w:cs="Arial"/>
          <w:b/>
          <w:bCs/>
          <w:color w:val="000000" w:themeColor="text1"/>
          <w:sz w:val="28"/>
          <w:szCs w:val="28"/>
        </w:rPr>
      </w:pPr>
    </w:p>
    <w:p w14:paraId="7731808B" w14:textId="77777777" w:rsidR="00E82101" w:rsidRDefault="00E82101" w:rsidP="00E82101">
      <w:r w:rsidRPr="00E82101">
        <w:lastRenderedPageBreak/>
        <w:t xml:space="preserve">Included within the categories above are assets </w:t>
      </w:r>
      <w:proofErr w:type="gramStart"/>
      <w:r w:rsidRPr="00E82101">
        <w:t>in the course of</w:t>
      </w:r>
      <w:proofErr w:type="gramEnd"/>
      <w:r w:rsidRPr="00E82101">
        <w:t xml:space="preserve"> construction totalling £306m (2024: £492m), which are not being depreciated as they were not fully commissioned at the balance sheet date.</w:t>
      </w:r>
    </w:p>
    <w:p w14:paraId="5F5FF174" w14:textId="77777777" w:rsidR="003F4D72" w:rsidRDefault="003F4D72" w:rsidP="00E82101">
      <w:pPr>
        <w:rPr>
          <w:b/>
          <w:bCs/>
        </w:rPr>
      </w:pPr>
    </w:p>
    <w:p w14:paraId="0B011A9F" w14:textId="31492D69" w:rsidR="00E82101" w:rsidRPr="00E82101" w:rsidRDefault="00E82101" w:rsidP="003F4D72">
      <w:pPr>
        <w:pStyle w:val="Heading3"/>
      </w:pPr>
      <w:bookmarkStart w:id="283" w:name="_Toc213058715"/>
      <w:r w:rsidRPr="00E82101">
        <w:t>Right-of-Use Assets</w:t>
      </w:r>
      <w:bookmarkEnd w:id="283"/>
    </w:p>
    <w:p w14:paraId="4466EEAC" w14:textId="77777777" w:rsidR="00E82101" w:rsidRPr="00E82101" w:rsidRDefault="00E82101" w:rsidP="00E82101">
      <w:pPr>
        <w:rPr>
          <w:color w:val="000000"/>
        </w:rPr>
      </w:pPr>
      <w:proofErr w:type="gramStart"/>
      <w:r w:rsidRPr="00E82101">
        <w:rPr>
          <w:color w:val="000000"/>
        </w:rPr>
        <w:t>At</w:t>
      </w:r>
      <w:proofErr w:type="gramEnd"/>
      <w:r w:rsidRPr="00E82101">
        <w:rPr>
          <w:color w:val="000000"/>
        </w:rPr>
        <w:t xml:space="preserve"> 30 March 2025, property, plant and equipment </w:t>
      </w:r>
      <w:proofErr w:type="gramStart"/>
      <w:r w:rsidRPr="00E82101">
        <w:rPr>
          <w:color w:val="000000"/>
        </w:rPr>
        <w:t>includes</w:t>
      </w:r>
      <w:proofErr w:type="gramEnd"/>
      <w:r w:rsidRPr="00E82101">
        <w:rPr>
          <w:color w:val="000000"/>
        </w:rPr>
        <w:t xml:space="preserve"> right-of-use assets as follows: Vehicles net book value £nil </w:t>
      </w:r>
      <w:r w:rsidRPr="00E82101">
        <w:rPr>
          <w:color w:val="000000"/>
        </w:rPr>
        <w:br/>
        <w:t>(2024: £nil).</w:t>
      </w:r>
    </w:p>
    <w:p w14:paraId="3BDF1D11" w14:textId="77777777" w:rsidR="00E82101" w:rsidRPr="00E82101" w:rsidRDefault="00E82101" w:rsidP="00E82101">
      <w:pPr>
        <w:rPr>
          <w:color w:val="000000"/>
        </w:rPr>
      </w:pPr>
    </w:p>
    <w:p w14:paraId="796AF42F" w14:textId="77777777" w:rsidR="00E82101" w:rsidRDefault="00E82101" w:rsidP="00E82101">
      <w:pPr>
        <w:rPr>
          <w:color w:val="000000"/>
        </w:rPr>
      </w:pPr>
      <w:r w:rsidRPr="00E82101">
        <w:rPr>
          <w:color w:val="000000"/>
        </w:rPr>
        <w:t>In accordance with the transitional provisions of IFRS, prior valuations of property, plant and equipment of the Group (other than investment properties) have not been updated.  Due to the age of the property, plant and equipment included at valuation and the fact that a substantial portion were inherited, it is not practicable to state the difference between such valuation and the historical cost of these assets.</w:t>
      </w:r>
    </w:p>
    <w:p w14:paraId="1FBF0BA0" w14:textId="77777777" w:rsidR="00E82101" w:rsidRDefault="00E82101" w:rsidP="00E82101">
      <w:pPr>
        <w:rPr>
          <w:color w:val="000000"/>
        </w:rPr>
      </w:pPr>
    </w:p>
    <w:tbl>
      <w:tblPr>
        <w:tblStyle w:val="TableGrid"/>
        <w:tblW w:w="10632" w:type="dxa"/>
        <w:tblLayout w:type="fixed"/>
        <w:tblLook w:val="0000" w:firstRow="0" w:lastRow="0" w:firstColumn="0" w:lastColumn="0" w:noHBand="0" w:noVBand="0"/>
      </w:tblPr>
      <w:tblGrid>
        <w:gridCol w:w="4498"/>
        <w:gridCol w:w="2160"/>
        <w:gridCol w:w="2126"/>
        <w:gridCol w:w="1848"/>
      </w:tblGrid>
      <w:tr w:rsidR="00E82101" w:rsidRPr="00E82101" w14:paraId="3DCA729F" w14:textId="77777777" w:rsidTr="00E82101">
        <w:trPr>
          <w:trHeight w:val="283"/>
        </w:trPr>
        <w:tc>
          <w:tcPr>
            <w:tcW w:w="4498" w:type="dxa"/>
          </w:tcPr>
          <w:p w14:paraId="334F34D7"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Company</w:t>
            </w:r>
          </w:p>
          <w:p w14:paraId="00AAF3B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2025</w:t>
            </w:r>
          </w:p>
        </w:tc>
        <w:tc>
          <w:tcPr>
            <w:tcW w:w="2160" w:type="dxa"/>
          </w:tcPr>
          <w:p w14:paraId="3953DA77"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Land and</w:t>
            </w:r>
          </w:p>
          <w:p w14:paraId="60F0E92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Buildings</w:t>
            </w:r>
          </w:p>
          <w:p w14:paraId="152DBEB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2126" w:type="dxa"/>
          </w:tcPr>
          <w:p w14:paraId="16FA066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Vehicles</w:t>
            </w:r>
          </w:p>
          <w:p w14:paraId="10D4D02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Plant and</w:t>
            </w:r>
          </w:p>
          <w:p w14:paraId="4F41174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Equipment</w:t>
            </w:r>
          </w:p>
          <w:p w14:paraId="0F267C0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848" w:type="dxa"/>
          </w:tcPr>
          <w:p w14:paraId="5270B05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p w14:paraId="482AFD3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Total</w:t>
            </w:r>
          </w:p>
          <w:p w14:paraId="3440CC2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p w14:paraId="34E484E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tc>
      </w:tr>
      <w:tr w:rsidR="00E82101" w:rsidRPr="00E82101" w14:paraId="1D7D0F90" w14:textId="77777777" w:rsidTr="00E82101">
        <w:trPr>
          <w:trHeight w:val="283"/>
        </w:trPr>
        <w:tc>
          <w:tcPr>
            <w:tcW w:w="4498" w:type="dxa"/>
          </w:tcPr>
          <w:p w14:paraId="1A9C1129"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Cost or valuation:</w:t>
            </w:r>
          </w:p>
        </w:tc>
        <w:tc>
          <w:tcPr>
            <w:tcW w:w="2160" w:type="dxa"/>
          </w:tcPr>
          <w:p w14:paraId="704B0BBD"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0A0E3432"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5DF5103E"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4AB55A24" w14:textId="77777777" w:rsidTr="00E82101">
        <w:trPr>
          <w:trHeight w:val="283"/>
        </w:trPr>
        <w:tc>
          <w:tcPr>
            <w:tcW w:w="4498" w:type="dxa"/>
          </w:tcPr>
          <w:p w14:paraId="61CAD683"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31 March 2024</w:t>
            </w:r>
          </w:p>
        </w:tc>
        <w:tc>
          <w:tcPr>
            <w:tcW w:w="2160" w:type="dxa"/>
          </w:tcPr>
          <w:p w14:paraId="3D94393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213,524</w:t>
            </w:r>
          </w:p>
        </w:tc>
        <w:tc>
          <w:tcPr>
            <w:tcW w:w="2126" w:type="dxa"/>
          </w:tcPr>
          <w:p w14:paraId="7A63630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30,625</w:t>
            </w:r>
          </w:p>
        </w:tc>
        <w:tc>
          <w:tcPr>
            <w:tcW w:w="1848" w:type="dxa"/>
          </w:tcPr>
          <w:p w14:paraId="51DA9C9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244,149</w:t>
            </w:r>
          </w:p>
        </w:tc>
      </w:tr>
      <w:tr w:rsidR="00E82101" w:rsidRPr="00E82101" w14:paraId="38DF0136" w14:textId="77777777" w:rsidTr="00E82101">
        <w:trPr>
          <w:trHeight w:val="283"/>
        </w:trPr>
        <w:tc>
          <w:tcPr>
            <w:tcW w:w="4498" w:type="dxa"/>
          </w:tcPr>
          <w:p w14:paraId="2A4FED66"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Additions</w:t>
            </w:r>
          </w:p>
        </w:tc>
        <w:tc>
          <w:tcPr>
            <w:tcW w:w="2160" w:type="dxa"/>
          </w:tcPr>
          <w:p w14:paraId="57531F1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78,072</w:t>
            </w:r>
          </w:p>
        </w:tc>
        <w:tc>
          <w:tcPr>
            <w:tcW w:w="2126" w:type="dxa"/>
          </w:tcPr>
          <w:p w14:paraId="2ADDC387"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12,233</w:t>
            </w:r>
          </w:p>
        </w:tc>
        <w:tc>
          <w:tcPr>
            <w:tcW w:w="1848" w:type="dxa"/>
          </w:tcPr>
          <w:p w14:paraId="18A2CEA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90,305</w:t>
            </w:r>
          </w:p>
        </w:tc>
      </w:tr>
      <w:tr w:rsidR="00E82101" w:rsidRPr="00E82101" w14:paraId="1630F515" w14:textId="77777777" w:rsidTr="00E82101">
        <w:trPr>
          <w:trHeight w:val="283"/>
        </w:trPr>
        <w:tc>
          <w:tcPr>
            <w:tcW w:w="4498" w:type="dxa"/>
          </w:tcPr>
          <w:p w14:paraId="5E3E49F6"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Transfers</w:t>
            </w:r>
          </w:p>
        </w:tc>
        <w:tc>
          <w:tcPr>
            <w:tcW w:w="2160" w:type="dxa"/>
          </w:tcPr>
          <w:p w14:paraId="16A837F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(211,844)</w:t>
            </w:r>
          </w:p>
        </w:tc>
        <w:tc>
          <w:tcPr>
            <w:tcW w:w="2126" w:type="dxa"/>
          </w:tcPr>
          <w:p w14:paraId="4E76B64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(41,053)</w:t>
            </w:r>
          </w:p>
        </w:tc>
        <w:tc>
          <w:tcPr>
            <w:tcW w:w="1848" w:type="dxa"/>
          </w:tcPr>
          <w:p w14:paraId="3B3C5FB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(252,897)</w:t>
            </w:r>
          </w:p>
        </w:tc>
      </w:tr>
      <w:tr w:rsidR="00E82101" w:rsidRPr="00E82101" w14:paraId="7BA9992B" w14:textId="77777777" w:rsidTr="00E82101">
        <w:trPr>
          <w:trHeight w:val="283"/>
        </w:trPr>
        <w:tc>
          <w:tcPr>
            <w:tcW w:w="4498" w:type="dxa"/>
          </w:tcPr>
          <w:p w14:paraId="6F36D4EF"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2160" w:type="dxa"/>
          </w:tcPr>
          <w:p w14:paraId="2593B86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79,752</w:t>
            </w:r>
          </w:p>
        </w:tc>
        <w:tc>
          <w:tcPr>
            <w:tcW w:w="2126" w:type="dxa"/>
          </w:tcPr>
          <w:p w14:paraId="2F1630B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1,805</w:t>
            </w:r>
          </w:p>
        </w:tc>
        <w:tc>
          <w:tcPr>
            <w:tcW w:w="1848" w:type="dxa"/>
          </w:tcPr>
          <w:p w14:paraId="0156D80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81,557</w:t>
            </w:r>
          </w:p>
        </w:tc>
      </w:tr>
      <w:tr w:rsidR="00E82101" w:rsidRPr="00E82101" w14:paraId="2089AB35" w14:textId="77777777" w:rsidTr="00E82101">
        <w:trPr>
          <w:trHeight w:val="283"/>
        </w:trPr>
        <w:tc>
          <w:tcPr>
            <w:tcW w:w="4498" w:type="dxa"/>
          </w:tcPr>
          <w:p w14:paraId="3465FBA9"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60" w:type="dxa"/>
          </w:tcPr>
          <w:p w14:paraId="47745D22"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5625B9EA"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005A3AAD"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7E7E52A9" w14:textId="77777777" w:rsidTr="00E82101">
        <w:trPr>
          <w:trHeight w:val="283"/>
        </w:trPr>
        <w:tc>
          <w:tcPr>
            <w:tcW w:w="4498" w:type="dxa"/>
          </w:tcPr>
          <w:p w14:paraId="5C79D81C"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Depreciation and impairment:</w:t>
            </w:r>
          </w:p>
        </w:tc>
        <w:tc>
          <w:tcPr>
            <w:tcW w:w="2160" w:type="dxa"/>
          </w:tcPr>
          <w:p w14:paraId="496499D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336DB32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127DC86A"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5948897A" w14:textId="77777777" w:rsidTr="00E82101">
        <w:trPr>
          <w:trHeight w:val="283"/>
        </w:trPr>
        <w:tc>
          <w:tcPr>
            <w:tcW w:w="4498" w:type="dxa"/>
          </w:tcPr>
          <w:p w14:paraId="4F361A86"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31 March 2024</w:t>
            </w:r>
          </w:p>
        </w:tc>
        <w:tc>
          <w:tcPr>
            <w:tcW w:w="2160" w:type="dxa"/>
          </w:tcPr>
          <w:p w14:paraId="69A46D8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17,427</w:t>
            </w:r>
          </w:p>
        </w:tc>
        <w:tc>
          <w:tcPr>
            <w:tcW w:w="2126" w:type="dxa"/>
          </w:tcPr>
          <w:p w14:paraId="640BC97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1,055</w:t>
            </w:r>
          </w:p>
        </w:tc>
        <w:tc>
          <w:tcPr>
            <w:tcW w:w="1848" w:type="dxa"/>
          </w:tcPr>
          <w:p w14:paraId="333D7F47"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18,482</w:t>
            </w:r>
          </w:p>
        </w:tc>
      </w:tr>
      <w:tr w:rsidR="00E82101" w:rsidRPr="00E82101" w14:paraId="483FC0C3" w14:textId="77777777" w:rsidTr="00E82101">
        <w:trPr>
          <w:trHeight w:val="283"/>
        </w:trPr>
        <w:tc>
          <w:tcPr>
            <w:tcW w:w="4498" w:type="dxa"/>
          </w:tcPr>
          <w:p w14:paraId="4ECF007C"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Charge for period</w:t>
            </w:r>
          </w:p>
        </w:tc>
        <w:tc>
          <w:tcPr>
            <w:tcW w:w="2160" w:type="dxa"/>
          </w:tcPr>
          <w:p w14:paraId="765275D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1,822</w:t>
            </w:r>
          </w:p>
        </w:tc>
        <w:tc>
          <w:tcPr>
            <w:tcW w:w="2126" w:type="dxa"/>
          </w:tcPr>
          <w:p w14:paraId="5480201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78</w:t>
            </w:r>
          </w:p>
        </w:tc>
        <w:tc>
          <w:tcPr>
            <w:tcW w:w="1848" w:type="dxa"/>
          </w:tcPr>
          <w:p w14:paraId="525CAC0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1,900</w:t>
            </w:r>
          </w:p>
        </w:tc>
      </w:tr>
      <w:tr w:rsidR="00E82101" w:rsidRPr="00E82101" w14:paraId="4431448A" w14:textId="77777777" w:rsidTr="00E82101">
        <w:trPr>
          <w:trHeight w:val="283"/>
        </w:trPr>
        <w:tc>
          <w:tcPr>
            <w:tcW w:w="4498" w:type="dxa"/>
          </w:tcPr>
          <w:p w14:paraId="50D2D23B"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2160" w:type="dxa"/>
          </w:tcPr>
          <w:p w14:paraId="42D7EFA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19,249</w:t>
            </w:r>
          </w:p>
        </w:tc>
        <w:tc>
          <w:tcPr>
            <w:tcW w:w="2126" w:type="dxa"/>
          </w:tcPr>
          <w:p w14:paraId="7111F22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1,133</w:t>
            </w:r>
          </w:p>
        </w:tc>
        <w:tc>
          <w:tcPr>
            <w:tcW w:w="1848" w:type="dxa"/>
          </w:tcPr>
          <w:p w14:paraId="588367C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20,382</w:t>
            </w:r>
          </w:p>
        </w:tc>
      </w:tr>
      <w:tr w:rsidR="00E82101" w:rsidRPr="00E82101" w14:paraId="48F9B8DC" w14:textId="77777777" w:rsidTr="00E82101">
        <w:trPr>
          <w:trHeight w:val="283"/>
        </w:trPr>
        <w:tc>
          <w:tcPr>
            <w:tcW w:w="4498" w:type="dxa"/>
          </w:tcPr>
          <w:p w14:paraId="311F36A7"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 xml:space="preserve">Net book value </w:t>
            </w: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30 March 2025</w:t>
            </w:r>
          </w:p>
        </w:tc>
        <w:tc>
          <w:tcPr>
            <w:tcW w:w="2160" w:type="dxa"/>
          </w:tcPr>
          <w:p w14:paraId="15807A5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60,503</w:t>
            </w:r>
          </w:p>
        </w:tc>
        <w:tc>
          <w:tcPr>
            <w:tcW w:w="2126" w:type="dxa"/>
          </w:tcPr>
          <w:p w14:paraId="7CE11A2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672</w:t>
            </w:r>
          </w:p>
        </w:tc>
        <w:tc>
          <w:tcPr>
            <w:tcW w:w="1848" w:type="dxa"/>
          </w:tcPr>
          <w:p w14:paraId="62B4B111"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61,175</w:t>
            </w:r>
          </w:p>
        </w:tc>
      </w:tr>
    </w:tbl>
    <w:p w14:paraId="1765B48F" w14:textId="77777777" w:rsidR="00E82101" w:rsidRPr="00E82101" w:rsidRDefault="00E82101" w:rsidP="00E82101">
      <w:pPr>
        <w:rPr>
          <w:color w:val="000000"/>
        </w:rPr>
      </w:pPr>
    </w:p>
    <w:tbl>
      <w:tblPr>
        <w:tblStyle w:val="TableGrid"/>
        <w:tblW w:w="10632" w:type="dxa"/>
        <w:tblLayout w:type="fixed"/>
        <w:tblLook w:val="0000" w:firstRow="0" w:lastRow="0" w:firstColumn="0" w:lastColumn="0" w:noHBand="0" w:noVBand="0"/>
      </w:tblPr>
      <w:tblGrid>
        <w:gridCol w:w="4498"/>
        <w:gridCol w:w="2160"/>
        <w:gridCol w:w="2126"/>
        <w:gridCol w:w="1848"/>
      </w:tblGrid>
      <w:tr w:rsidR="00E82101" w:rsidRPr="00E82101" w14:paraId="36D928D4" w14:textId="77777777" w:rsidTr="00E82101">
        <w:trPr>
          <w:trHeight w:val="283"/>
        </w:trPr>
        <w:tc>
          <w:tcPr>
            <w:tcW w:w="4498" w:type="dxa"/>
          </w:tcPr>
          <w:p w14:paraId="0E3C7150"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Company</w:t>
            </w:r>
          </w:p>
          <w:p w14:paraId="3FD3CC26"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2024</w:t>
            </w:r>
          </w:p>
        </w:tc>
        <w:tc>
          <w:tcPr>
            <w:tcW w:w="2160" w:type="dxa"/>
          </w:tcPr>
          <w:p w14:paraId="3B4BAF9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Land and</w:t>
            </w:r>
          </w:p>
          <w:p w14:paraId="619BE8E7"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Buildings</w:t>
            </w:r>
          </w:p>
          <w:p w14:paraId="3542D6D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2126" w:type="dxa"/>
          </w:tcPr>
          <w:p w14:paraId="60389F5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Vehicles</w:t>
            </w:r>
          </w:p>
          <w:p w14:paraId="7744BC8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Plant and</w:t>
            </w:r>
          </w:p>
          <w:p w14:paraId="230108D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Equipment</w:t>
            </w:r>
          </w:p>
          <w:p w14:paraId="79BD07B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tc>
        <w:tc>
          <w:tcPr>
            <w:tcW w:w="1848" w:type="dxa"/>
          </w:tcPr>
          <w:p w14:paraId="63DE72C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p w14:paraId="67E691C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Total</w:t>
            </w:r>
          </w:p>
          <w:p w14:paraId="1372D2A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£’000</w:t>
            </w:r>
          </w:p>
          <w:p w14:paraId="3707872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p>
        </w:tc>
      </w:tr>
      <w:tr w:rsidR="00E82101" w:rsidRPr="00E82101" w14:paraId="3EFE7E3A" w14:textId="77777777" w:rsidTr="00E82101">
        <w:trPr>
          <w:trHeight w:val="283"/>
        </w:trPr>
        <w:tc>
          <w:tcPr>
            <w:tcW w:w="4498" w:type="dxa"/>
          </w:tcPr>
          <w:p w14:paraId="44002D4C"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Cost or valuation:</w:t>
            </w:r>
          </w:p>
        </w:tc>
        <w:tc>
          <w:tcPr>
            <w:tcW w:w="2160" w:type="dxa"/>
          </w:tcPr>
          <w:p w14:paraId="55D6A61B"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26AF506C"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2EAD0751"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17C3067F" w14:textId="77777777" w:rsidTr="00E82101">
        <w:trPr>
          <w:trHeight w:val="283"/>
        </w:trPr>
        <w:tc>
          <w:tcPr>
            <w:tcW w:w="4498" w:type="dxa"/>
          </w:tcPr>
          <w:p w14:paraId="443D3BB4"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26 March 2023</w:t>
            </w:r>
          </w:p>
        </w:tc>
        <w:tc>
          <w:tcPr>
            <w:tcW w:w="2160" w:type="dxa"/>
          </w:tcPr>
          <w:p w14:paraId="7C2850E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154,493</w:t>
            </w:r>
          </w:p>
        </w:tc>
        <w:tc>
          <w:tcPr>
            <w:tcW w:w="2126" w:type="dxa"/>
          </w:tcPr>
          <w:p w14:paraId="31B509C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10,537</w:t>
            </w:r>
          </w:p>
        </w:tc>
        <w:tc>
          <w:tcPr>
            <w:tcW w:w="1848" w:type="dxa"/>
          </w:tcPr>
          <w:p w14:paraId="09442EC6"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165,030</w:t>
            </w:r>
          </w:p>
        </w:tc>
      </w:tr>
      <w:tr w:rsidR="00E82101" w:rsidRPr="00E82101" w14:paraId="4DE123E7" w14:textId="77777777" w:rsidTr="00E82101">
        <w:trPr>
          <w:trHeight w:val="283"/>
        </w:trPr>
        <w:tc>
          <w:tcPr>
            <w:tcW w:w="4498" w:type="dxa"/>
          </w:tcPr>
          <w:p w14:paraId="2FDD0231"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Additions</w:t>
            </w:r>
          </w:p>
        </w:tc>
        <w:tc>
          <w:tcPr>
            <w:tcW w:w="2160" w:type="dxa"/>
          </w:tcPr>
          <w:p w14:paraId="4CA9D34A"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79,468</w:t>
            </w:r>
          </w:p>
        </w:tc>
        <w:tc>
          <w:tcPr>
            <w:tcW w:w="2126" w:type="dxa"/>
          </w:tcPr>
          <w:p w14:paraId="2A1B8E4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20,088</w:t>
            </w:r>
          </w:p>
        </w:tc>
        <w:tc>
          <w:tcPr>
            <w:tcW w:w="1848" w:type="dxa"/>
          </w:tcPr>
          <w:p w14:paraId="7E2E362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99,556</w:t>
            </w:r>
          </w:p>
        </w:tc>
      </w:tr>
      <w:tr w:rsidR="00E82101" w:rsidRPr="00E82101" w14:paraId="646F71A4" w14:textId="77777777" w:rsidTr="00E82101">
        <w:trPr>
          <w:trHeight w:val="283"/>
        </w:trPr>
        <w:tc>
          <w:tcPr>
            <w:tcW w:w="4498" w:type="dxa"/>
          </w:tcPr>
          <w:p w14:paraId="512B40BD"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Transfers</w:t>
            </w:r>
          </w:p>
        </w:tc>
        <w:tc>
          <w:tcPr>
            <w:tcW w:w="2160" w:type="dxa"/>
          </w:tcPr>
          <w:p w14:paraId="035F7B1D"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(20,437)</w:t>
            </w:r>
          </w:p>
        </w:tc>
        <w:tc>
          <w:tcPr>
            <w:tcW w:w="2126" w:type="dxa"/>
          </w:tcPr>
          <w:p w14:paraId="0102C2F5"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w:t>
            </w:r>
          </w:p>
        </w:tc>
        <w:tc>
          <w:tcPr>
            <w:tcW w:w="1848" w:type="dxa"/>
          </w:tcPr>
          <w:p w14:paraId="61FDE60D"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(20,437)</w:t>
            </w:r>
          </w:p>
        </w:tc>
      </w:tr>
      <w:tr w:rsidR="00E82101" w:rsidRPr="00E82101" w14:paraId="4E00A2D4" w14:textId="77777777" w:rsidTr="00E82101">
        <w:trPr>
          <w:trHeight w:val="283"/>
        </w:trPr>
        <w:tc>
          <w:tcPr>
            <w:tcW w:w="4498" w:type="dxa"/>
          </w:tcPr>
          <w:p w14:paraId="22677B9E"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31 March 2024</w:t>
            </w:r>
          </w:p>
        </w:tc>
        <w:tc>
          <w:tcPr>
            <w:tcW w:w="2160" w:type="dxa"/>
          </w:tcPr>
          <w:p w14:paraId="76FE2A7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213,524</w:t>
            </w:r>
          </w:p>
        </w:tc>
        <w:tc>
          <w:tcPr>
            <w:tcW w:w="2126" w:type="dxa"/>
          </w:tcPr>
          <w:p w14:paraId="0FB04824"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30,625</w:t>
            </w:r>
          </w:p>
        </w:tc>
        <w:tc>
          <w:tcPr>
            <w:tcW w:w="1848" w:type="dxa"/>
          </w:tcPr>
          <w:p w14:paraId="78CC3B0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244,149</w:t>
            </w:r>
          </w:p>
        </w:tc>
      </w:tr>
      <w:tr w:rsidR="00E82101" w:rsidRPr="00E82101" w14:paraId="09FF2AB0" w14:textId="77777777" w:rsidTr="00E82101">
        <w:trPr>
          <w:trHeight w:val="283"/>
        </w:trPr>
        <w:tc>
          <w:tcPr>
            <w:tcW w:w="4498" w:type="dxa"/>
          </w:tcPr>
          <w:p w14:paraId="09737676"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60" w:type="dxa"/>
          </w:tcPr>
          <w:p w14:paraId="2D943F5F"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2B4FE353"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32D0A964"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7871D065" w14:textId="77777777" w:rsidTr="00E82101">
        <w:trPr>
          <w:trHeight w:val="283"/>
        </w:trPr>
        <w:tc>
          <w:tcPr>
            <w:tcW w:w="4498" w:type="dxa"/>
          </w:tcPr>
          <w:p w14:paraId="1D154EBF"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Depreciation and impairment:</w:t>
            </w:r>
          </w:p>
        </w:tc>
        <w:tc>
          <w:tcPr>
            <w:tcW w:w="2160" w:type="dxa"/>
          </w:tcPr>
          <w:p w14:paraId="557AC0B0"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2126" w:type="dxa"/>
          </w:tcPr>
          <w:p w14:paraId="613F0ED4"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848" w:type="dxa"/>
          </w:tcPr>
          <w:p w14:paraId="4B28D4A0"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r>
      <w:tr w:rsidR="00E82101" w:rsidRPr="00E82101" w14:paraId="6D303353" w14:textId="77777777" w:rsidTr="00E82101">
        <w:trPr>
          <w:trHeight w:val="283"/>
        </w:trPr>
        <w:tc>
          <w:tcPr>
            <w:tcW w:w="4498" w:type="dxa"/>
          </w:tcPr>
          <w:p w14:paraId="41549D77"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color w:val="000000" w:themeColor="text1"/>
                <w:sz w:val="20"/>
                <w:szCs w:val="20"/>
              </w:rPr>
              <w:t>At</w:t>
            </w:r>
            <w:proofErr w:type="gramEnd"/>
            <w:r w:rsidRPr="00E82101">
              <w:rPr>
                <w:rFonts w:cs="Arial"/>
                <w:color w:val="000000" w:themeColor="text1"/>
                <w:sz w:val="20"/>
                <w:szCs w:val="20"/>
              </w:rPr>
              <w:t xml:space="preserve"> 26 March 2023</w:t>
            </w:r>
          </w:p>
        </w:tc>
        <w:tc>
          <w:tcPr>
            <w:tcW w:w="2160" w:type="dxa"/>
          </w:tcPr>
          <w:p w14:paraId="6629B1EC"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15,963</w:t>
            </w:r>
          </w:p>
        </w:tc>
        <w:tc>
          <w:tcPr>
            <w:tcW w:w="2126" w:type="dxa"/>
          </w:tcPr>
          <w:p w14:paraId="689BA6D0"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970</w:t>
            </w:r>
          </w:p>
        </w:tc>
        <w:tc>
          <w:tcPr>
            <w:tcW w:w="1848" w:type="dxa"/>
          </w:tcPr>
          <w:p w14:paraId="365B71F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16,933</w:t>
            </w:r>
          </w:p>
        </w:tc>
      </w:tr>
      <w:tr w:rsidR="00E82101" w:rsidRPr="00E82101" w14:paraId="31A9D66B" w14:textId="77777777" w:rsidTr="00E82101">
        <w:trPr>
          <w:trHeight w:val="283"/>
        </w:trPr>
        <w:tc>
          <w:tcPr>
            <w:tcW w:w="4498" w:type="dxa"/>
          </w:tcPr>
          <w:p w14:paraId="6D2DD722"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color w:val="000000" w:themeColor="text1"/>
                <w:sz w:val="20"/>
                <w:szCs w:val="20"/>
              </w:rPr>
              <w:t>Charge for period</w:t>
            </w:r>
          </w:p>
        </w:tc>
        <w:tc>
          <w:tcPr>
            <w:tcW w:w="2160" w:type="dxa"/>
          </w:tcPr>
          <w:p w14:paraId="12A3276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1,464</w:t>
            </w:r>
          </w:p>
        </w:tc>
        <w:tc>
          <w:tcPr>
            <w:tcW w:w="2126" w:type="dxa"/>
          </w:tcPr>
          <w:p w14:paraId="182BF549"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85</w:t>
            </w:r>
          </w:p>
        </w:tc>
        <w:tc>
          <w:tcPr>
            <w:tcW w:w="1848" w:type="dxa"/>
          </w:tcPr>
          <w:p w14:paraId="696DBAF2"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color w:val="000000" w:themeColor="text1"/>
                <w:sz w:val="20"/>
                <w:szCs w:val="20"/>
              </w:rPr>
              <w:t>1,549</w:t>
            </w:r>
          </w:p>
        </w:tc>
      </w:tr>
      <w:tr w:rsidR="00E82101" w:rsidRPr="00E82101" w14:paraId="58D2427A" w14:textId="77777777" w:rsidTr="00E82101">
        <w:trPr>
          <w:trHeight w:val="283"/>
        </w:trPr>
        <w:tc>
          <w:tcPr>
            <w:tcW w:w="4498" w:type="dxa"/>
          </w:tcPr>
          <w:p w14:paraId="5B938E0D"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roofErr w:type="gramStart"/>
            <w:r w:rsidRPr="00E82101">
              <w:rPr>
                <w:rFonts w:cs="Arial"/>
                <w:b/>
                <w:bCs/>
                <w:color w:val="000000" w:themeColor="text1"/>
                <w:sz w:val="20"/>
                <w:szCs w:val="20"/>
              </w:rPr>
              <w:lastRenderedPageBreak/>
              <w:t>At</w:t>
            </w:r>
            <w:proofErr w:type="gramEnd"/>
            <w:r w:rsidRPr="00E82101">
              <w:rPr>
                <w:rFonts w:cs="Arial"/>
                <w:b/>
                <w:bCs/>
                <w:color w:val="000000" w:themeColor="text1"/>
                <w:sz w:val="20"/>
                <w:szCs w:val="20"/>
              </w:rPr>
              <w:t xml:space="preserve"> 31 March 2024</w:t>
            </w:r>
          </w:p>
        </w:tc>
        <w:tc>
          <w:tcPr>
            <w:tcW w:w="2160" w:type="dxa"/>
          </w:tcPr>
          <w:p w14:paraId="46BD77FE"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17,427</w:t>
            </w:r>
          </w:p>
        </w:tc>
        <w:tc>
          <w:tcPr>
            <w:tcW w:w="2126" w:type="dxa"/>
          </w:tcPr>
          <w:p w14:paraId="6DB11AF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1,055</w:t>
            </w:r>
          </w:p>
        </w:tc>
        <w:tc>
          <w:tcPr>
            <w:tcW w:w="1848" w:type="dxa"/>
          </w:tcPr>
          <w:p w14:paraId="3E658CAB"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18,482</w:t>
            </w:r>
          </w:p>
        </w:tc>
      </w:tr>
      <w:tr w:rsidR="00E82101" w:rsidRPr="00E82101" w14:paraId="6A8E3E25" w14:textId="77777777" w:rsidTr="00E82101">
        <w:trPr>
          <w:trHeight w:val="283"/>
        </w:trPr>
        <w:tc>
          <w:tcPr>
            <w:tcW w:w="4498" w:type="dxa"/>
          </w:tcPr>
          <w:p w14:paraId="154D31AB" w14:textId="77777777" w:rsidR="00E82101" w:rsidRPr="00E82101" w:rsidRDefault="00E82101" w:rsidP="00E82101">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E82101">
              <w:rPr>
                <w:rFonts w:cs="Arial"/>
                <w:b/>
                <w:bCs/>
                <w:color w:val="000000" w:themeColor="text1"/>
                <w:sz w:val="20"/>
                <w:szCs w:val="20"/>
              </w:rPr>
              <w:t xml:space="preserve">Net book value </w:t>
            </w:r>
            <w:proofErr w:type="gramStart"/>
            <w:r w:rsidRPr="00E82101">
              <w:rPr>
                <w:rFonts w:cs="Arial"/>
                <w:b/>
                <w:bCs/>
                <w:color w:val="000000" w:themeColor="text1"/>
                <w:sz w:val="20"/>
                <w:szCs w:val="20"/>
              </w:rPr>
              <w:t>at</w:t>
            </w:r>
            <w:proofErr w:type="gramEnd"/>
            <w:r w:rsidRPr="00E82101">
              <w:rPr>
                <w:rFonts w:cs="Arial"/>
                <w:b/>
                <w:bCs/>
                <w:color w:val="000000" w:themeColor="text1"/>
                <w:sz w:val="20"/>
                <w:szCs w:val="20"/>
              </w:rPr>
              <w:t xml:space="preserve"> 31 March 2024</w:t>
            </w:r>
          </w:p>
        </w:tc>
        <w:tc>
          <w:tcPr>
            <w:tcW w:w="2160" w:type="dxa"/>
          </w:tcPr>
          <w:p w14:paraId="4D771D73"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196,097</w:t>
            </w:r>
          </w:p>
        </w:tc>
        <w:tc>
          <w:tcPr>
            <w:tcW w:w="2126" w:type="dxa"/>
          </w:tcPr>
          <w:p w14:paraId="6DB1A4AF"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29,570</w:t>
            </w:r>
          </w:p>
        </w:tc>
        <w:tc>
          <w:tcPr>
            <w:tcW w:w="1848" w:type="dxa"/>
          </w:tcPr>
          <w:p w14:paraId="5307BA98" w14:textId="77777777" w:rsidR="00E82101" w:rsidRPr="00E82101" w:rsidRDefault="00E82101" w:rsidP="00E82101">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E82101">
              <w:rPr>
                <w:rFonts w:cs="Arial"/>
                <w:b/>
                <w:bCs/>
                <w:color w:val="000000" w:themeColor="text1"/>
                <w:sz w:val="20"/>
                <w:szCs w:val="20"/>
              </w:rPr>
              <w:t>225,667</w:t>
            </w:r>
          </w:p>
        </w:tc>
      </w:tr>
    </w:tbl>
    <w:p w14:paraId="22861FE0" w14:textId="77777777" w:rsidR="00E82101" w:rsidRPr="00E82101" w:rsidRDefault="00E82101" w:rsidP="00E82101"/>
    <w:p w14:paraId="2AC29061" w14:textId="77777777" w:rsidR="00E82101" w:rsidRDefault="00E82101" w:rsidP="00E82101">
      <w:r w:rsidRPr="00E82101">
        <w:t>In accordance with the transitional provisions of International Accounting Standard 16 Property, Plant and Equipment, prior valuations of property, plant and equipment of the Company (other than investment properties) have not been updated. Due to the age of the tangible assets included at valuation and the fact that a substantial portion were inherited, it is not practicable to state the difference between such valuation and the historical cost of these assets.</w:t>
      </w:r>
    </w:p>
    <w:p w14:paraId="65A5963A" w14:textId="77777777" w:rsidR="00E82101" w:rsidRDefault="00E82101" w:rsidP="00E82101"/>
    <w:p w14:paraId="4D73956C" w14:textId="77777777" w:rsidR="00E82101" w:rsidRPr="00E82101" w:rsidRDefault="00E82101" w:rsidP="003F4D72">
      <w:pPr>
        <w:pStyle w:val="Heading3"/>
      </w:pPr>
      <w:bookmarkStart w:id="284" w:name="_Toc213058716"/>
      <w:r w:rsidRPr="00E82101">
        <w:t>Capital Commitments</w:t>
      </w:r>
      <w:bookmarkEnd w:id="284"/>
    </w:p>
    <w:tbl>
      <w:tblPr>
        <w:tblStyle w:val="TableGrid"/>
        <w:tblW w:w="0" w:type="auto"/>
        <w:tblLayout w:type="fixed"/>
        <w:tblLook w:val="0000" w:firstRow="0" w:lastRow="0" w:firstColumn="0" w:lastColumn="0" w:noHBand="0" w:noVBand="0"/>
      </w:tblPr>
      <w:tblGrid>
        <w:gridCol w:w="3383"/>
        <w:gridCol w:w="1793"/>
        <w:gridCol w:w="1564"/>
        <w:gridCol w:w="1564"/>
        <w:gridCol w:w="1564"/>
      </w:tblGrid>
      <w:tr w:rsidR="00E82101" w:rsidRPr="00E82101" w14:paraId="5A409522" w14:textId="77777777" w:rsidTr="00C975E5">
        <w:trPr>
          <w:trHeight w:val="397"/>
        </w:trPr>
        <w:tc>
          <w:tcPr>
            <w:tcW w:w="3383" w:type="dxa"/>
          </w:tcPr>
          <w:p w14:paraId="258159B0" w14:textId="77777777" w:rsidR="00E82101" w:rsidRPr="00E82101" w:rsidRDefault="00E82101" w:rsidP="00E82101">
            <w:pPr>
              <w:autoSpaceDE w:val="0"/>
              <w:autoSpaceDN w:val="0"/>
              <w:adjustRightInd w:val="0"/>
              <w:spacing w:line="240" w:lineRule="auto"/>
              <w:rPr>
                <w:rFonts w:cs="Arial"/>
                <w:color w:val="000000" w:themeColor="text1"/>
                <w:sz w:val="20"/>
                <w:szCs w:val="20"/>
              </w:rPr>
            </w:pPr>
          </w:p>
        </w:tc>
        <w:tc>
          <w:tcPr>
            <w:tcW w:w="1793" w:type="dxa"/>
          </w:tcPr>
          <w:p w14:paraId="6E5A68EF"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Group</w:t>
            </w:r>
          </w:p>
          <w:p w14:paraId="1D789B47"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 xml:space="preserve">2025 </w:t>
            </w:r>
          </w:p>
          <w:p w14:paraId="36E9AF69"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E82101">
              <w:rPr>
                <w:rFonts w:cs="Arial"/>
                <w:b/>
                <w:bCs/>
                <w:color w:val="000000" w:themeColor="text1"/>
                <w:sz w:val="20"/>
                <w:szCs w:val="20"/>
              </w:rPr>
              <w:t>£’000</w:t>
            </w:r>
          </w:p>
        </w:tc>
        <w:tc>
          <w:tcPr>
            <w:tcW w:w="1564" w:type="dxa"/>
          </w:tcPr>
          <w:p w14:paraId="3DFB26F6"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Group</w:t>
            </w:r>
          </w:p>
          <w:p w14:paraId="671280B5"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2024</w:t>
            </w:r>
          </w:p>
          <w:p w14:paraId="4BE09BAF"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E82101">
              <w:rPr>
                <w:rFonts w:cs="Arial"/>
                <w:b/>
                <w:bCs/>
                <w:color w:val="000000" w:themeColor="text1"/>
                <w:sz w:val="20"/>
                <w:szCs w:val="20"/>
              </w:rPr>
              <w:t>£’000</w:t>
            </w:r>
          </w:p>
        </w:tc>
        <w:tc>
          <w:tcPr>
            <w:tcW w:w="1564" w:type="dxa"/>
          </w:tcPr>
          <w:p w14:paraId="02C1730D"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Company</w:t>
            </w:r>
          </w:p>
          <w:p w14:paraId="52677178"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 xml:space="preserve">2025 </w:t>
            </w:r>
          </w:p>
          <w:p w14:paraId="6578E7D4"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E82101">
              <w:rPr>
                <w:rFonts w:cs="Arial"/>
                <w:b/>
                <w:bCs/>
                <w:color w:val="000000" w:themeColor="text1"/>
                <w:sz w:val="20"/>
                <w:szCs w:val="20"/>
              </w:rPr>
              <w:t>£’000</w:t>
            </w:r>
          </w:p>
        </w:tc>
        <w:tc>
          <w:tcPr>
            <w:tcW w:w="1564" w:type="dxa"/>
          </w:tcPr>
          <w:p w14:paraId="6A629BAF"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Company</w:t>
            </w:r>
          </w:p>
          <w:p w14:paraId="63FB8973"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b/>
                <w:bCs/>
                <w:color w:val="000000" w:themeColor="text1"/>
                <w:sz w:val="20"/>
                <w:szCs w:val="20"/>
              </w:rPr>
            </w:pPr>
            <w:r w:rsidRPr="00E82101">
              <w:rPr>
                <w:rFonts w:cs="Arial"/>
                <w:b/>
                <w:bCs/>
                <w:color w:val="000000" w:themeColor="text1"/>
                <w:sz w:val="20"/>
                <w:szCs w:val="20"/>
              </w:rPr>
              <w:t>2024</w:t>
            </w:r>
          </w:p>
          <w:p w14:paraId="43D4EACD" w14:textId="77777777" w:rsidR="00E82101" w:rsidRPr="00E82101" w:rsidRDefault="00E82101" w:rsidP="00E82101">
            <w:pPr>
              <w:tabs>
                <w:tab w:val="left" w:pos="198"/>
              </w:tabs>
              <w:suppressAutoHyphens/>
              <w:autoSpaceDE w:val="0"/>
              <w:autoSpaceDN w:val="0"/>
              <w:adjustRightInd w:val="0"/>
              <w:spacing w:line="240" w:lineRule="atLeast"/>
              <w:jc w:val="right"/>
              <w:textAlignment w:val="center"/>
              <w:rPr>
                <w:rFonts w:cs="Arial"/>
                <w:color w:val="000000" w:themeColor="text1"/>
                <w:sz w:val="20"/>
                <w:szCs w:val="20"/>
              </w:rPr>
            </w:pPr>
            <w:r w:rsidRPr="00E82101">
              <w:rPr>
                <w:rFonts w:cs="Arial"/>
                <w:b/>
                <w:bCs/>
                <w:color w:val="000000" w:themeColor="text1"/>
                <w:sz w:val="20"/>
                <w:szCs w:val="20"/>
              </w:rPr>
              <w:t>£’000</w:t>
            </w:r>
          </w:p>
        </w:tc>
      </w:tr>
      <w:tr w:rsidR="00E82101" w:rsidRPr="00E82101" w14:paraId="0C16C5C3" w14:textId="77777777" w:rsidTr="00C975E5">
        <w:trPr>
          <w:trHeight w:val="397"/>
        </w:trPr>
        <w:tc>
          <w:tcPr>
            <w:tcW w:w="3383" w:type="dxa"/>
          </w:tcPr>
          <w:p w14:paraId="7AA6314F" w14:textId="77777777" w:rsidR="00E82101" w:rsidRPr="00E82101" w:rsidRDefault="00E82101" w:rsidP="00E82101">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E82101">
              <w:rPr>
                <w:rFonts w:cs="Arial"/>
                <w:color w:val="000000" w:themeColor="text1"/>
                <w:sz w:val="20"/>
                <w:szCs w:val="20"/>
              </w:rPr>
              <w:t xml:space="preserve">Contracted for but not provided </w:t>
            </w:r>
            <w:r w:rsidRPr="00E82101">
              <w:rPr>
                <w:rFonts w:cs="Arial"/>
                <w:color w:val="000000" w:themeColor="text1"/>
                <w:sz w:val="20"/>
                <w:szCs w:val="20"/>
              </w:rPr>
              <w:br/>
              <w:t>in the financial statements</w:t>
            </w:r>
          </w:p>
        </w:tc>
        <w:tc>
          <w:tcPr>
            <w:tcW w:w="1793" w:type="dxa"/>
          </w:tcPr>
          <w:p w14:paraId="54BE9C7C"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116,752</w:t>
            </w:r>
          </w:p>
        </w:tc>
        <w:tc>
          <w:tcPr>
            <w:tcW w:w="1564" w:type="dxa"/>
          </w:tcPr>
          <w:p w14:paraId="2F861365"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152,600</w:t>
            </w:r>
          </w:p>
        </w:tc>
        <w:tc>
          <w:tcPr>
            <w:tcW w:w="1564" w:type="dxa"/>
          </w:tcPr>
          <w:p w14:paraId="45A2D512"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17,925</w:t>
            </w:r>
          </w:p>
        </w:tc>
        <w:tc>
          <w:tcPr>
            <w:tcW w:w="1564" w:type="dxa"/>
          </w:tcPr>
          <w:p w14:paraId="12D4E30B" w14:textId="77777777" w:rsidR="00E82101" w:rsidRPr="00E82101" w:rsidRDefault="00E82101" w:rsidP="00E82101">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E82101">
              <w:rPr>
                <w:rFonts w:cs="Arial"/>
                <w:b/>
                <w:bCs/>
                <w:color w:val="000000" w:themeColor="text1"/>
                <w:sz w:val="20"/>
                <w:szCs w:val="20"/>
              </w:rPr>
              <w:t>48,246</w:t>
            </w:r>
          </w:p>
        </w:tc>
      </w:tr>
    </w:tbl>
    <w:p w14:paraId="1D8A60F5" w14:textId="77777777" w:rsidR="00E82101" w:rsidRPr="00C975E5" w:rsidRDefault="00E82101" w:rsidP="00C975E5">
      <w:pPr>
        <w:rPr>
          <w:rFonts w:cs="Arial"/>
          <w:color w:val="000000" w:themeColor="text1"/>
        </w:rPr>
      </w:pPr>
    </w:p>
    <w:p w14:paraId="01FF4782" w14:textId="77777777" w:rsidR="00C975E5" w:rsidRPr="00C975E5" w:rsidRDefault="00C975E5" w:rsidP="003F4D72">
      <w:pPr>
        <w:pStyle w:val="Heading2"/>
      </w:pPr>
      <w:bookmarkStart w:id="285" w:name="_Toc213058717"/>
      <w:r w:rsidRPr="00C975E5">
        <w:t>12. Investment Property</w:t>
      </w:r>
      <w:bookmarkEnd w:id="285"/>
    </w:p>
    <w:p w14:paraId="39670AA3" w14:textId="77777777" w:rsidR="00C975E5" w:rsidRDefault="00C975E5" w:rsidP="003F4D72">
      <w:pPr>
        <w:pStyle w:val="Heading3"/>
      </w:pPr>
      <w:bookmarkStart w:id="286" w:name="_Toc213058718"/>
      <w:r w:rsidRPr="00C975E5">
        <w:t>Fair Value</w:t>
      </w:r>
      <w:bookmarkEnd w:id="286"/>
    </w:p>
    <w:tbl>
      <w:tblPr>
        <w:tblStyle w:val="TableGrid"/>
        <w:tblW w:w="9781" w:type="dxa"/>
        <w:tblLayout w:type="fixed"/>
        <w:tblLook w:val="0000" w:firstRow="0" w:lastRow="0" w:firstColumn="0" w:lastColumn="0" w:noHBand="0" w:noVBand="0"/>
      </w:tblPr>
      <w:tblGrid>
        <w:gridCol w:w="7590"/>
        <w:gridCol w:w="2191"/>
      </w:tblGrid>
      <w:tr w:rsidR="00C975E5" w:rsidRPr="00C975E5" w14:paraId="05A33F38" w14:textId="77777777" w:rsidTr="00C975E5">
        <w:trPr>
          <w:trHeight w:val="283"/>
        </w:trPr>
        <w:tc>
          <w:tcPr>
            <w:tcW w:w="7590" w:type="dxa"/>
          </w:tcPr>
          <w:p w14:paraId="42E94EA2" w14:textId="77777777" w:rsidR="00C975E5" w:rsidRPr="00C975E5" w:rsidRDefault="00C975E5" w:rsidP="00C975E5">
            <w:pPr>
              <w:spacing w:line="240" w:lineRule="auto"/>
              <w:rPr>
                <w:color w:val="000000" w:themeColor="text1"/>
                <w:sz w:val="20"/>
                <w:szCs w:val="20"/>
              </w:rPr>
            </w:pPr>
          </w:p>
        </w:tc>
        <w:tc>
          <w:tcPr>
            <w:tcW w:w="2191" w:type="dxa"/>
            <w:vAlign w:val="center"/>
          </w:tcPr>
          <w:p w14:paraId="0B7A805C" w14:textId="77777777" w:rsidR="00C975E5" w:rsidRPr="00C975E5" w:rsidRDefault="00C975E5" w:rsidP="00C975E5">
            <w:pPr>
              <w:spacing w:line="240" w:lineRule="auto"/>
              <w:rPr>
                <w:rFonts w:cs="Axiforma"/>
                <w:b/>
                <w:bCs/>
                <w:color w:val="000000" w:themeColor="text1"/>
                <w:sz w:val="20"/>
                <w:szCs w:val="20"/>
              </w:rPr>
            </w:pPr>
            <w:r w:rsidRPr="00C975E5">
              <w:rPr>
                <w:rFonts w:cs="Axiforma"/>
                <w:b/>
                <w:bCs/>
                <w:color w:val="000000" w:themeColor="text1"/>
                <w:sz w:val="20"/>
                <w:szCs w:val="20"/>
              </w:rPr>
              <w:t>Group &amp;</w:t>
            </w:r>
          </w:p>
          <w:p w14:paraId="759B0549" w14:textId="77777777" w:rsidR="00C975E5" w:rsidRPr="00C975E5" w:rsidRDefault="00C975E5" w:rsidP="00C975E5">
            <w:pPr>
              <w:spacing w:line="240" w:lineRule="auto"/>
              <w:rPr>
                <w:rFonts w:cs="Axiforma"/>
                <w:b/>
                <w:bCs/>
                <w:color w:val="000000" w:themeColor="text1"/>
                <w:sz w:val="20"/>
                <w:szCs w:val="20"/>
              </w:rPr>
            </w:pPr>
            <w:r w:rsidRPr="00C975E5">
              <w:rPr>
                <w:rFonts w:cs="Axiforma"/>
                <w:b/>
                <w:bCs/>
                <w:color w:val="000000" w:themeColor="text1"/>
                <w:sz w:val="20"/>
                <w:szCs w:val="20"/>
              </w:rPr>
              <w:t>Company</w:t>
            </w:r>
          </w:p>
          <w:p w14:paraId="5726C6BE" w14:textId="77777777" w:rsidR="00C975E5" w:rsidRPr="00C975E5" w:rsidRDefault="00C975E5" w:rsidP="00C975E5">
            <w:pPr>
              <w:spacing w:line="240" w:lineRule="auto"/>
              <w:rPr>
                <w:color w:val="000000" w:themeColor="text1"/>
                <w:sz w:val="20"/>
                <w:szCs w:val="20"/>
              </w:rPr>
            </w:pPr>
            <w:r w:rsidRPr="00C975E5">
              <w:rPr>
                <w:rFonts w:cs="Axiforma"/>
                <w:b/>
                <w:bCs/>
                <w:color w:val="000000" w:themeColor="text1"/>
                <w:sz w:val="20"/>
                <w:szCs w:val="20"/>
              </w:rPr>
              <w:t xml:space="preserve"> £’000</w:t>
            </w:r>
          </w:p>
        </w:tc>
      </w:tr>
      <w:tr w:rsidR="00C975E5" w:rsidRPr="00C975E5" w14:paraId="06A24376" w14:textId="77777777" w:rsidTr="00C975E5">
        <w:trPr>
          <w:trHeight w:val="283"/>
        </w:trPr>
        <w:tc>
          <w:tcPr>
            <w:tcW w:w="7590" w:type="dxa"/>
            <w:vAlign w:val="center"/>
          </w:tcPr>
          <w:p w14:paraId="62BCF2CD" w14:textId="77777777" w:rsidR="00C975E5" w:rsidRPr="00C975E5" w:rsidRDefault="00C975E5" w:rsidP="00C975E5">
            <w:pPr>
              <w:spacing w:line="240" w:lineRule="auto"/>
              <w:rPr>
                <w:rFonts w:cs="Axiforma"/>
                <w:b/>
                <w:bCs/>
                <w:color w:val="000000" w:themeColor="text1"/>
                <w:sz w:val="20"/>
                <w:szCs w:val="20"/>
              </w:rPr>
            </w:pPr>
            <w:proofErr w:type="gramStart"/>
            <w:r w:rsidRPr="00C975E5">
              <w:rPr>
                <w:rFonts w:cs="Axiforma"/>
                <w:color w:val="000000" w:themeColor="text1"/>
                <w:sz w:val="20"/>
                <w:szCs w:val="20"/>
              </w:rPr>
              <w:t>At</w:t>
            </w:r>
            <w:proofErr w:type="gramEnd"/>
            <w:r w:rsidRPr="00C975E5">
              <w:rPr>
                <w:rFonts w:cs="Axiforma"/>
                <w:color w:val="000000" w:themeColor="text1"/>
                <w:sz w:val="20"/>
                <w:szCs w:val="20"/>
              </w:rPr>
              <w:t xml:space="preserve"> 26 March 2023</w:t>
            </w:r>
          </w:p>
        </w:tc>
        <w:tc>
          <w:tcPr>
            <w:tcW w:w="2191" w:type="dxa"/>
            <w:vAlign w:val="center"/>
          </w:tcPr>
          <w:p w14:paraId="05BB89CD"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1,525</w:t>
            </w:r>
          </w:p>
        </w:tc>
      </w:tr>
      <w:tr w:rsidR="00C975E5" w:rsidRPr="00C975E5" w14:paraId="18806A6F" w14:textId="77777777" w:rsidTr="00C975E5">
        <w:trPr>
          <w:trHeight w:val="283"/>
        </w:trPr>
        <w:tc>
          <w:tcPr>
            <w:tcW w:w="7590" w:type="dxa"/>
            <w:vAlign w:val="center"/>
          </w:tcPr>
          <w:p w14:paraId="1A02AC02"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 xml:space="preserve">Additions </w:t>
            </w:r>
          </w:p>
        </w:tc>
        <w:tc>
          <w:tcPr>
            <w:tcW w:w="2191" w:type="dxa"/>
            <w:vAlign w:val="center"/>
          </w:tcPr>
          <w:p w14:paraId="738D8DA8"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w:t>
            </w:r>
          </w:p>
        </w:tc>
      </w:tr>
      <w:tr w:rsidR="00C975E5" w:rsidRPr="00C975E5" w14:paraId="5AFA1004" w14:textId="77777777" w:rsidTr="00C975E5">
        <w:trPr>
          <w:trHeight w:val="283"/>
        </w:trPr>
        <w:tc>
          <w:tcPr>
            <w:tcW w:w="7590" w:type="dxa"/>
            <w:vAlign w:val="center"/>
          </w:tcPr>
          <w:p w14:paraId="117FD64E"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Disposals</w:t>
            </w:r>
          </w:p>
        </w:tc>
        <w:tc>
          <w:tcPr>
            <w:tcW w:w="2191" w:type="dxa"/>
            <w:vAlign w:val="center"/>
          </w:tcPr>
          <w:p w14:paraId="704D27BA"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(216)</w:t>
            </w:r>
          </w:p>
        </w:tc>
      </w:tr>
      <w:tr w:rsidR="00C975E5" w:rsidRPr="00C975E5" w14:paraId="73D0798C" w14:textId="77777777" w:rsidTr="00C975E5">
        <w:trPr>
          <w:trHeight w:val="283"/>
        </w:trPr>
        <w:tc>
          <w:tcPr>
            <w:tcW w:w="7590" w:type="dxa"/>
            <w:vAlign w:val="center"/>
          </w:tcPr>
          <w:p w14:paraId="464556A0" w14:textId="77777777" w:rsidR="00C975E5" w:rsidRPr="00C975E5" w:rsidRDefault="00C975E5" w:rsidP="00C975E5">
            <w:pPr>
              <w:spacing w:line="240" w:lineRule="auto"/>
              <w:rPr>
                <w:rFonts w:cs="Axiforma"/>
                <w:b/>
                <w:bCs/>
                <w:color w:val="000000" w:themeColor="text1"/>
                <w:sz w:val="20"/>
                <w:szCs w:val="20"/>
              </w:rPr>
            </w:pPr>
            <w:proofErr w:type="gramStart"/>
            <w:r w:rsidRPr="00C975E5">
              <w:rPr>
                <w:rFonts w:cs="Axiforma"/>
                <w:b/>
                <w:bCs/>
                <w:color w:val="000000" w:themeColor="text1"/>
                <w:sz w:val="20"/>
                <w:szCs w:val="20"/>
              </w:rPr>
              <w:t>At</w:t>
            </w:r>
            <w:proofErr w:type="gramEnd"/>
            <w:r w:rsidRPr="00C975E5">
              <w:rPr>
                <w:rFonts w:cs="Axiforma"/>
                <w:b/>
                <w:bCs/>
                <w:color w:val="000000" w:themeColor="text1"/>
                <w:sz w:val="20"/>
                <w:szCs w:val="20"/>
              </w:rPr>
              <w:t xml:space="preserve"> 31 March 2024</w:t>
            </w:r>
          </w:p>
        </w:tc>
        <w:tc>
          <w:tcPr>
            <w:tcW w:w="2191" w:type="dxa"/>
            <w:vAlign w:val="center"/>
          </w:tcPr>
          <w:p w14:paraId="6D19048D" w14:textId="77777777" w:rsidR="00C975E5" w:rsidRPr="00C975E5" w:rsidRDefault="00C975E5" w:rsidP="00C975E5">
            <w:pPr>
              <w:spacing w:line="240" w:lineRule="auto"/>
              <w:rPr>
                <w:rFonts w:cs="Axiforma"/>
                <w:b/>
                <w:bCs/>
                <w:color w:val="000000" w:themeColor="text1"/>
                <w:sz w:val="20"/>
                <w:szCs w:val="20"/>
              </w:rPr>
            </w:pPr>
            <w:r w:rsidRPr="00C975E5">
              <w:rPr>
                <w:rFonts w:cs="Axiforma"/>
                <w:b/>
                <w:bCs/>
                <w:color w:val="000000" w:themeColor="text1"/>
                <w:sz w:val="20"/>
                <w:szCs w:val="20"/>
              </w:rPr>
              <w:t>1,309</w:t>
            </w:r>
          </w:p>
        </w:tc>
      </w:tr>
      <w:tr w:rsidR="00C975E5" w:rsidRPr="00C975E5" w14:paraId="76390D0F" w14:textId="77777777" w:rsidTr="00C975E5">
        <w:trPr>
          <w:trHeight w:val="283"/>
        </w:trPr>
        <w:tc>
          <w:tcPr>
            <w:tcW w:w="7590" w:type="dxa"/>
            <w:vAlign w:val="center"/>
          </w:tcPr>
          <w:p w14:paraId="1FD3F875"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Additions</w:t>
            </w:r>
          </w:p>
        </w:tc>
        <w:tc>
          <w:tcPr>
            <w:tcW w:w="2191" w:type="dxa"/>
            <w:vAlign w:val="center"/>
          </w:tcPr>
          <w:p w14:paraId="21EF5914"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w:t>
            </w:r>
          </w:p>
        </w:tc>
      </w:tr>
      <w:tr w:rsidR="00C975E5" w:rsidRPr="00C975E5" w14:paraId="671DF093" w14:textId="77777777" w:rsidTr="00C975E5">
        <w:trPr>
          <w:trHeight w:val="283"/>
        </w:trPr>
        <w:tc>
          <w:tcPr>
            <w:tcW w:w="7590" w:type="dxa"/>
            <w:vAlign w:val="center"/>
          </w:tcPr>
          <w:p w14:paraId="05B6EC84"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Disposals</w:t>
            </w:r>
          </w:p>
        </w:tc>
        <w:tc>
          <w:tcPr>
            <w:tcW w:w="2191" w:type="dxa"/>
            <w:vAlign w:val="center"/>
          </w:tcPr>
          <w:p w14:paraId="559C455D" w14:textId="77777777" w:rsidR="00C975E5" w:rsidRPr="00C975E5" w:rsidRDefault="00C975E5" w:rsidP="00C975E5">
            <w:pPr>
              <w:spacing w:line="240" w:lineRule="auto"/>
              <w:rPr>
                <w:rFonts w:cs="Axiforma"/>
                <w:b/>
                <w:bCs/>
                <w:color w:val="000000" w:themeColor="text1"/>
                <w:sz w:val="20"/>
                <w:szCs w:val="20"/>
              </w:rPr>
            </w:pPr>
            <w:r w:rsidRPr="00C975E5">
              <w:rPr>
                <w:rFonts w:cs="Axiforma"/>
                <w:color w:val="000000" w:themeColor="text1"/>
                <w:sz w:val="20"/>
                <w:szCs w:val="20"/>
              </w:rPr>
              <w:t>-</w:t>
            </w:r>
          </w:p>
        </w:tc>
      </w:tr>
      <w:tr w:rsidR="00C975E5" w:rsidRPr="00C975E5" w14:paraId="24C74C24" w14:textId="77777777" w:rsidTr="00C975E5">
        <w:trPr>
          <w:trHeight w:val="283"/>
        </w:trPr>
        <w:tc>
          <w:tcPr>
            <w:tcW w:w="7590" w:type="dxa"/>
            <w:vAlign w:val="center"/>
          </w:tcPr>
          <w:p w14:paraId="02A337E9" w14:textId="77777777" w:rsidR="00C975E5" w:rsidRPr="00C975E5" w:rsidRDefault="00C975E5" w:rsidP="00C975E5">
            <w:pPr>
              <w:spacing w:line="240" w:lineRule="auto"/>
              <w:rPr>
                <w:rFonts w:cs="Axiforma"/>
                <w:b/>
                <w:bCs/>
                <w:color w:val="000000" w:themeColor="text1"/>
                <w:sz w:val="20"/>
                <w:szCs w:val="20"/>
              </w:rPr>
            </w:pPr>
            <w:proofErr w:type="gramStart"/>
            <w:r w:rsidRPr="00C975E5">
              <w:rPr>
                <w:rFonts w:cs="Axiforma"/>
                <w:b/>
                <w:bCs/>
                <w:color w:val="000000" w:themeColor="text1"/>
                <w:sz w:val="20"/>
                <w:szCs w:val="20"/>
              </w:rPr>
              <w:t>At</w:t>
            </w:r>
            <w:proofErr w:type="gramEnd"/>
            <w:r w:rsidRPr="00C975E5">
              <w:rPr>
                <w:rFonts w:cs="Axiforma"/>
                <w:b/>
                <w:bCs/>
                <w:color w:val="000000" w:themeColor="text1"/>
                <w:sz w:val="20"/>
                <w:szCs w:val="20"/>
              </w:rPr>
              <w:t xml:space="preserve"> 30 March 2025</w:t>
            </w:r>
          </w:p>
        </w:tc>
        <w:tc>
          <w:tcPr>
            <w:tcW w:w="2191" w:type="dxa"/>
            <w:vAlign w:val="center"/>
          </w:tcPr>
          <w:p w14:paraId="4AA48676" w14:textId="77777777" w:rsidR="00C975E5" w:rsidRPr="00C975E5" w:rsidRDefault="00C975E5" w:rsidP="00C975E5">
            <w:pPr>
              <w:spacing w:line="240" w:lineRule="auto"/>
              <w:rPr>
                <w:rFonts w:cs="Axiforma"/>
                <w:b/>
                <w:bCs/>
                <w:color w:val="000000" w:themeColor="text1"/>
                <w:sz w:val="20"/>
                <w:szCs w:val="20"/>
              </w:rPr>
            </w:pPr>
            <w:r w:rsidRPr="00C975E5">
              <w:rPr>
                <w:rFonts w:cs="Axiforma"/>
                <w:b/>
                <w:bCs/>
                <w:color w:val="000000" w:themeColor="text1"/>
                <w:sz w:val="20"/>
                <w:szCs w:val="20"/>
              </w:rPr>
              <w:t>1,309</w:t>
            </w:r>
          </w:p>
        </w:tc>
      </w:tr>
    </w:tbl>
    <w:p w14:paraId="66CF1A7E" w14:textId="77777777" w:rsidR="00C975E5" w:rsidRPr="00C975E5" w:rsidRDefault="00C975E5" w:rsidP="00C975E5">
      <w:pPr>
        <w:rPr>
          <w:rFonts w:cs="Arial"/>
        </w:rPr>
      </w:pPr>
    </w:p>
    <w:p w14:paraId="55B6A509" w14:textId="77777777" w:rsidR="00C975E5" w:rsidRPr="00C975E5" w:rsidRDefault="00C975E5" w:rsidP="00C975E5">
      <w:pPr>
        <w:rPr>
          <w:rFonts w:cs="Arial"/>
          <w:color w:val="000000"/>
        </w:rPr>
      </w:pPr>
      <w:r w:rsidRPr="00C975E5">
        <w:rPr>
          <w:rFonts w:cs="Arial"/>
          <w:color w:val="000000"/>
        </w:rPr>
        <w:t xml:space="preserve">The investment properties were valued at their market value </w:t>
      </w:r>
      <w:proofErr w:type="gramStart"/>
      <w:r w:rsidRPr="00C975E5">
        <w:rPr>
          <w:rFonts w:cs="Arial"/>
          <w:color w:val="000000"/>
        </w:rPr>
        <w:t>at</w:t>
      </w:r>
      <w:proofErr w:type="gramEnd"/>
      <w:r w:rsidRPr="00C975E5">
        <w:rPr>
          <w:rFonts w:cs="Arial"/>
          <w:color w:val="000000"/>
        </w:rPr>
        <w:t xml:space="preserve"> 30 March 2025 by a qualified valuer who is an employee of the Company. All valuations were carried out in accordance with the Valuation Standards published by the Royal Institution of Chartered Surveyors.</w:t>
      </w:r>
    </w:p>
    <w:p w14:paraId="5AE626E1" w14:textId="77777777" w:rsidR="00C975E5" w:rsidRPr="00C975E5" w:rsidRDefault="00C975E5" w:rsidP="00C975E5">
      <w:pPr>
        <w:rPr>
          <w:rFonts w:cs="Arial"/>
          <w:color w:val="000000"/>
        </w:rPr>
      </w:pPr>
    </w:p>
    <w:p w14:paraId="2D3C50DF" w14:textId="4A6E730F" w:rsidR="00C975E5" w:rsidRDefault="00C975E5" w:rsidP="00C975E5">
      <w:pPr>
        <w:rPr>
          <w:rFonts w:cs="Arial"/>
          <w:color w:val="000000"/>
        </w:rPr>
      </w:pPr>
      <w:r w:rsidRPr="00C975E5">
        <w:rPr>
          <w:rFonts w:cs="Arial"/>
          <w:color w:val="000000"/>
        </w:rPr>
        <w:t xml:space="preserve">Details of the Group’s investment properties and information about the fair value hierarchy as </w:t>
      </w:r>
      <w:proofErr w:type="gramStart"/>
      <w:r w:rsidRPr="00C975E5">
        <w:rPr>
          <w:rFonts w:cs="Arial"/>
          <w:color w:val="000000"/>
        </w:rPr>
        <w:t>at</w:t>
      </w:r>
      <w:proofErr w:type="gramEnd"/>
      <w:r w:rsidRPr="00C975E5">
        <w:rPr>
          <w:rFonts w:cs="Arial"/>
          <w:color w:val="000000"/>
        </w:rPr>
        <w:t xml:space="preserve"> 30 March 2025 are as follows:</w:t>
      </w:r>
    </w:p>
    <w:tbl>
      <w:tblPr>
        <w:tblStyle w:val="TableGrid"/>
        <w:tblW w:w="10627" w:type="dxa"/>
        <w:tblLayout w:type="fixed"/>
        <w:tblLook w:val="0000" w:firstRow="0" w:lastRow="0" w:firstColumn="0" w:lastColumn="0" w:noHBand="0" w:noVBand="0"/>
      </w:tblPr>
      <w:tblGrid>
        <w:gridCol w:w="3539"/>
        <w:gridCol w:w="1701"/>
        <w:gridCol w:w="1701"/>
        <w:gridCol w:w="1516"/>
        <w:gridCol w:w="2170"/>
      </w:tblGrid>
      <w:tr w:rsidR="00C975E5" w:rsidRPr="00C975E5" w14:paraId="78321E63" w14:textId="77777777" w:rsidTr="00C975E5">
        <w:trPr>
          <w:trHeight w:val="283"/>
        </w:trPr>
        <w:tc>
          <w:tcPr>
            <w:tcW w:w="3539" w:type="dxa"/>
          </w:tcPr>
          <w:p w14:paraId="17623A92" w14:textId="77777777" w:rsidR="00C975E5" w:rsidRPr="00C975E5" w:rsidRDefault="00C975E5" w:rsidP="00C975E5">
            <w:pPr>
              <w:autoSpaceDE w:val="0"/>
              <w:autoSpaceDN w:val="0"/>
              <w:adjustRightInd w:val="0"/>
              <w:spacing w:line="240" w:lineRule="auto"/>
              <w:rPr>
                <w:rFonts w:cs="Arial"/>
                <w:color w:val="000000" w:themeColor="text1"/>
                <w:sz w:val="20"/>
                <w:szCs w:val="20"/>
              </w:rPr>
            </w:pPr>
          </w:p>
        </w:tc>
        <w:tc>
          <w:tcPr>
            <w:tcW w:w="1701" w:type="dxa"/>
          </w:tcPr>
          <w:p w14:paraId="2E6DA71E" w14:textId="77777777" w:rsidR="00C975E5" w:rsidRPr="00C975E5" w:rsidRDefault="00C975E5" w:rsidP="00C975E5">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C975E5">
              <w:rPr>
                <w:rFonts w:cs="Arial"/>
                <w:b/>
                <w:bCs/>
                <w:color w:val="000000" w:themeColor="text1"/>
                <w:sz w:val="20"/>
                <w:szCs w:val="20"/>
              </w:rPr>
              <w:t>Level 1</w:t>
            </w:r>
          </w:p>
          <w:p w14:paraId="3FB0E697"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£’000</w:t>
            </w:r>
          </w:p>
        </w:tc>
        <w:tc>
          <w:tcPr>
            <w:tcW w:w="1701" w:type="dxa"/>
          </w:tcPr>
          <w:p w14:paraId="008B0DA5" w14:textId="77777777" w:rsidR="00C975E5" w:rsidRPr="00C975E5" w:rsidRDefault="00C975E5" w:rsidP="00C975E5">
            <w:pPr>
              <w:tabs>
                <w:tab w:val="left" w:pos="198"/>
              </w:tabs>
              <w:suppressAutoHyphens/>
              <w:autoSpaceDE w:val="0"/>
              <w:autoSpaceDN w:val="0"/>
              <w:adjustRightInd w:val="0"/>
              <w:spacing w:line="160" w:lineRule="atLeast"/>
              <w:jc w:val="right"/>
              <w:textAlignment w:val="center"/>
              <w:rPr>
                <w:rFonts w:cs="Arial"/>
                <w:b/>
                <w:bCs/>
                <w:color w:val="000000" w:themeColor="text1"/>
                <w:sz w:val="20"/>
                <w:szCs w:val="20"/>
              </w:rPr>
            </w:pPr>
            <w:r w:rsidRPr="00C975E5">
              <w:rPr>
                <w:rFonts w:cs="Arial"/>
                <w:b/>
                <w:bCs/>
                <w:color w:val="000000" w:themeColor="text1"/>
                <w:sz w:val="20"/>
                <w:szCs w:val="20"/>
              </w:rPr>
              <w:t>Level 2</w:t>
            </w:r>
          </w:p>
          <w:p w14:paraId="71971DCC"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£’000</w:t>
            </w:r>
          </w:p>
        </w:tc>
        <w:tc>
          <w:tcPr>
            <w:tcW w:w="1516" w:type="dxa"/>
          </w:tcPr>
          <w:p w14:paraId="4D5F176B"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Level 3</w:t>
            </w:r>
          </w:p>
          <w:p w14:paraId="54122FEC"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 xml:space="preserve"> £’000</w:t>
            </w:r>
          </w:p>
        </w:tc>
        <w:tc>
          <w:tcPr>
            <w:tcW w:w="2170" w:type="dxa"/>
          </w:tcPr>
          <w:p w14:paraId="58C55895"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 xml:space="preserve">Fair value as at </w:t>
            </w:r>
          </w:p>
          <w:p w14:paraId="25E442E4"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30 March 2025</w:t>
            </w:r>
          </w:p>
          <w:p w14:paraId="40E6FAD9"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b/>
                <w:bCs/>
                <w:color w:val="000000" w:themeColor="text1"/>
                <w:sz w:val="20"/>
                <w:szCs w:val="20"/>
              </w:rPr>
              <w:t>£’000</w:t>
            </w:r>
          </w:p>
        </w:tc>
      </w:tr>
      <w:tr w:rsidR="00C975E5" w:rsidRPr="00C975E5" w14:paraId="39DD433A" w14:textId="77777777" w:rsidTr="00C975E5">
        <w:trPr>
          <w:trHeight w:val="283"/>
        </w:trPr>
        <w:tc>
          <w:tcPr>
            <w:tcW w:w="3539" w:type="dxa"/>
          </w:tcPr>
          <w:p w14:paraId="35C4A7B6" w14:textId="77777777" w:rsidR="00C975E5" w:rsidRPr="00C975E5" w:rsidRDefault="00C975E5" w:rsidP="00C975E5">
            <w:pPr>
              <w:tabs>
                <w:tab w:val="left" w:pos="198"/>
              </w:tabs>
              <w:suppressAutoHyphens/>
              <w:autoSpaceDE w:val="0"/>
              <w:autoSpaceDN w:val="0"/>
              <w:adjustRightInd w:val="0"/>
              <w:spacing w:line="180" w:lineRule="atLeast"/>
              <w:textAlignment w:val="center"/>
              <w:rPr>
                <w:rFonts w:cs="Arial"/>
                <w:b/>
                <w:bCs/>
                <w:color w:val="000000" w:themeColor="text1"/>
                <w:sz w:val="20"/>
                <w:szCs w:val="20"/>
              </w:rPr>
            </w:pPr>
            <w:r w:rsidRPr="00C975E5">
              <w:rPr>
                <w:rFonts w:cs="Arial"/>
                <w:color w:val="000000" w:themeColor="text1"/>
                <w:sz w:val="20"/>
                <w:szCs w:val="20"/>
              </w:rPr>
              <w:t>Commercial property units located in Northern Ireland</w:t>
            </w:r>
          </w:p>
        </w:tc>
        <w:tc>
          <w:tcPr>
            <w:tcW w:w="1701" w:type="dxa"/>
          </w:tcPr>
          <w:p w14:paraId="5462D299"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color w:val="000000" w:themeColor="text1"/>
                <w:sz w:val="20"/>
                <w:szCs w:val="20"/>
              </w:rPr>
              <w:t>-</w:t>
            </w:r>
          </w:p>
        </w:tc>
        <w:tc>
          <w:tcPr>
            <w:tcW w:w="1701" w:type="dxa"/>
          </w:tcPr>
          <w:p w14:paraId="6E361D7B"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color w:val="000000" w:themeColor="text1"/>
                <w:sz w:val="20"/>
                <w:szCs w:val="20"/>
              </w:rPr>
              <w:t>1,309</w:t>
            </w:r>
          </w:p>
        </w:tc>
        <w:tc>
          <w:tcPr>
            <w:tcW w:w="1516" w:type="dxa"/>
          </w:tcPr>
          <w:p w14:paraId="2D15F916"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color w:val="000000" w:themeColor="text1"/>
                <w:sz w:val="20"/>
                <w:szCs w:val="20"/>
              </w:rPr>
              <w:t>-</w:t>
            </w:r>
          </w:p>
        </w:tc>
        <w:tc>
          <w:tcPr>
            <w:tcW w:w="2170" w:type="dxa"/>
          </w:tcPr>
          <w:p w14:paraId="3F018F25" w14:textId="77777777" w:rsidR="00C975E5" w:rsidRPr="00C975E5" w:rsidRDefault="00C975E5" w:rsidP="00C975E5">
            <w:pPr>
              <w:tabs>
                <w:tab w:val="left" w:pos="198"/>
              </w:tabs>
              <w:suppressAutoHyphens/>
              <w:autoSpaceDE w:val="0"/>
              <w:autoSpaceDN w:val="0"/>
              <w:adjustRightInd w:val="0"/>
              <w:spacing w:line="180" w:lineRule="atLeast"/>
              <w:jc w:val="right"/>
              <w:textAlignment w:val="center"/>
              <w:rPr>
                <w:rFonts w:cs="Arial"/>
                <w:b/>
                <w:bCs/>
                <w:color w:val="000000" w:themeColor="text1"/>
                <w:sz w:val="20"/>
                <w:szCs w:val="20"/>
              </w:rPr>
            </w:pPr>
            <w:r w:rsidRPr="00C975E5">
              <w:rPr>
                <w:rFonts w:cs="Arial"/>
                <w:color w:val="000000" w:themeColor="text1"/>
                <w:sz w:val="20"/>
                <w:szCs w:val="20"/>
              </w:rPr>
              <w:t>1,309</w:t>
            </w:r>
          </w:p>
        </w:tc>
      </w:tr>
    </w:tbl>
    <w:p w14:paraId="550773E6" w14:textId="77777777" w:rsidR="00C975E5" w:rsidRPr="00C975E5" w:rsidRDefault="00C975E5" w:rsidP="00C975E5">
      <w:pPr>
        <w:rPr>
          <w:rFonts w:cs="Arial"/>
        </w:rPr>
      </w:pPr>
    </w:p>
    <w:p w14:paraId="24CD8DEC" w14:textId="77777777" w:rsidR="00C975E5" w:rsidRPr="00C975E5" w:rsidRDefault="00C975E5" w:rsidP="00C975E5">
      <w:r w:rsidRPr="00C975E5">
        <w:t>There were no transfers between levels 1 and 2 during the period.</w:t>
      </w:r>
    </w:p>
    <w:p w14:paraId="7CCA640F" w14:textId="77777777" w:rsidR="00C975E5" w:rsidRPr="00C975E5" w:rsidRDefault="00C975E5" w:rsidP="00C975E5"/>
    <w:p w14:paraId="7B6D7EAB" w14:textId="77777777" w:rsidR="00C975E5" w:rsidRPr="00C975E5" w:rsidRDefault="00C975E5" w:rsidP="00C975E5">
      <w:r w:rsidRPr="00C975E5">
        <w:t>Level 2 inputs applied when valuing the investment property comprise market rental value capitalised at a market yield rate.</w:t>
      </w:r>
    </w:p>
    <w:p w14:paraId="32A163A1" w14:textId="77777777" w:rsidR="00C975E5" w:rsidRPr="00C975E5" w:rsidRDefault="00C975E5" w:rsidP="00C975E5"/>
    <w:p w14:paraId="70FB1956" w14:textId="7477D48D" w:rsidR="00F42CA4" w:rsidRDefault="00C975E5" w:rsidP="00C975E5">
      <w:r w:rsidRPr="00C975E5">
        <w:t>Direct operating expenses arising on the investment property in the period amounted two £nil (2024: £nil).</w:t>
      </w:r>
    </w:p>
    <w:p w14:paraId="650522E6" w14:textId="77777777" w:rsidR="00C975E5" w:rsidRPr="00C975E5" w:rsidRDefault="00C975E5" w:rsidP="00C975E5">
      <w:pPr>
        <w:rPr>
          <w:rFonts w:cs="Arial"/>
          <w:color w:val="000000" w:themeColor="text1"/>
          <w:sz w:val="28"/>
          <w:szCs w:val="28"/>
        </w:rPr>
      </w:pPr>
    </w:p>
    <w:p w14:paraId="7F7E2CF3" w14:textId="77777777" w:rsidR="00C975E5" w:rsidRDefault="00C975E5" w:rsidP="003F4D72">
      <w:pPr>
        <w:pStyle w:val="Heading2"/>
      </w:pPr>
      <w:bookmarkStart w:id="287" w:name="_Toc213058719"/>
      <w:r w:rsidRPr="00C975E5">
        <w:t>13. Investment in Subsidiaries</w:t>
      </w:r>
      <w:bookmarkEnd w:id="287"/>
    </w:p>
    <w:tbl>
      <w:tblPr>
        <w:tblStyle w:val="TableGrid"/>
        <w:tblW w:w="0" w:type="auto"/>
        <w:tblLayout w:type="fixed"/>
        <w:tblLook w:val="0000" w:firstRow="0" w:lastRow="0" w:firstColumn="0" w:lastColumn="0" w:noHBand="0" w:noVBand="0"/>
      </w:tblPr>
      <w:tblGrid>
        <w:gridCol w:w="7650"/>
        <w:gridCol w:w="2215"/>
      </w:tblGrid>
      <w:tr w:rsidR="00C975E5" w:rsidRPr="00C975E5" w14:paraId="30593A80" w14:textId="77777777" w:rsidTr="00C975E5">
        <w:trPr>
          <w:trHeight w:val="283"/>
        </w:trPr>
        <w:tc>
          <w:tcPr>
            <w:tcW w:w="7650" w:type="dxa"/>
          </w:tcPr>
          <w:p w14:paraId="6393E7BA"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b/>
                <w:bCs/>
                <w:color w:val="000000" w:themeColor="text1"/>
                <w:sz w:val="20"/>
                <w:szCs w:val="20"/>
              </w:rPr>
              <w:t xml:space="preserve">Company </w:t>
            </w:r>
          </w:p>
        </w:tc>
        <w:tc>
          <w:tcPr>
            <w:tcW w:w="2215" w:type="dxa"/>
          </w:tcPr>
          <w:p w14:paraId="3C2DB08C" w14:textId="77777777" w:rsidR="00C975E5" w:rsidRPr="00C975E5" w:rsidRDefault="00C975E5" w:rsidP="00C975E5">
            <w:pPr>
              <w:tabs>
                <w:tab w:val="decimal" w:pos="1477"/>
              </w:tabs>
              <w:autoSpaceDE w:val="0"/>
              <w:autoSpaceDN w:val="0"/>
              <w:adjustRightInd w:val="0"/>
              <w:spacing w:line="240" w:lineRule="auto"/>
              <w:jc w:val="right"/>
              <w:textAlignment w:val="center"/>
              <w:rPr>
                <w:rFonts w:cs="Arial"/>
                <w:b/>
                <w:bCs/>
                <w:color w:val="000000" w:themeColor="text1"/>
                <w:sz w:val="20"/>
                <w:szCs w:val="20"/>
              </w:rPr>
            </w:pPr>
            <w:r w:rsidRPr="00C975E5">
              <w:rPr>
                <w:rFonts w:cs="Arial"/>
                <w:b/>
                <w:bCs/>
                <w:color w:val="000000" w:themeColor="text1"/>
                <w:sz w:val="20"/>
                <w:szCs w:val="20"/>
              </w:rPr>
              <w:t>Subsidiary</w:t>
            </w:r>
          </w:p>
          <w:p w14:paraId="3FDACCDE" w14:textId="77777777" w:rsidR="00C975E5" w:rsidRPr="00C975E5" w:rsidRDefault="00C975E5" w:rsidP="00C975E5">
            <w:pPr>
              <w:tabs>
                <w:tab w:val="decimal" w:pos="1477"/>
              </w:tabs>
              <w:autoSpaceDE w:val="0"/>
              <w:autoSpaceDN w:val="0"/>
              <w:adjustRightInd w:val="0"/>
              <w:spacing w:line="240" w:lineRule="auto"/>
              <w:jc w:val="right"/>
              <w:textAlignment w:val="center"/>
              <w:rPr>
                <w:rFonts w:cs="Arial"/>
                <w:b/>
                <w:bCs/>
                <w:color w:val="000000" w:themeColor="text1"/>
                <w:sz w:val="20"/>
                <w:szCs w:val="20"/>
              </w:rPr>
            </w:pPr>
            <w:r w:rsidRPr="00C975E5">
              <w:rPr>
                <w:rFonts w:cs="Arial"/>
                <w:b/>
                <w:bCs/>
                <w:color w:val="000000" w:themeColor="text1"/>
                <w:sz w:val="20"/>
                <w:szCs w:val="20"/>
              </w:rPr>
              <w:t>Undertakings</w:t>
            </w:r>
          </w:p>
          <w:p w14:paraId="47F22A9A"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£’000</w:t>
            </w:r>
          </w:p>
        </w:tc>
      </w:tr>
      <w:tr w:rsidR="00C975E5" w:rsidRPr="00C975E5" w14:paraId="64D67E8F" w14:textId="77777777" w:rsidTr="00C975E5">
        <w:trPr>
          <w:trHeight w:val="283"/>
        </w:trPr>
        <w:tc>
          <w:tcPr>
            <w:tcW w:w="7650" w:type="dxa"/>
          </w:tcPr>
          <w:p w14:paraId="6A261132"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 xml:space="preserve">Cost: </w:t>
            </w:r>
          </w:p>
          <w:p w14:paraId="516E9D0E"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roofErr w:type="gramStart"/>
            <w:r w:rsidRPr="00C975E5">
              <w:rPr>
                <w:rFonts w:cs="Arial"/>
                <w:color w:val="000000" w:themeColor="text1"/>
                <w:sz w:val="20"/>
                <w:szCs w:val="20"/>
              </w:rPr>
              <w:t>At</w:t>
            </w:r>
            <w:proofErr w:type="gramEnd"/>
            <w:r w:rsidRPr="00C975E5">
              <w:rPr>
                <w:rFonts w:cs="Arial"/>
                <w:color w:val="000000" w:themeColor="text1"/>
                <w:sz w:val="20"/>
                <w:szCs w:val="20"/>
              </w:rPr>
              <w:t xml:space="preserve"> 31 March 2024 and 30 March 2025</w:t>
            </w:r>
          </w:p>
        </w:tc>
        <w:tc>
          <w:tcPr>
            <w:tcW w:w="2215" w:type="dxa"/>
          </w:tcPr>
          <w:p w14:paraId="1B8BFF86" w14:textId="77777777" w:rsidR="00C975E5" w:rsidRPr="00C975E5" w:rsidRDefault="00C975E5" w:rsidP="00C975E5">
            <w:pPr>
              <w:tabs>
                <w:tab w:val="decimal" w:pos="1477"/>
              </w:tabs>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41,223</w:t>
            </w:r>
          </w:p>
        </w:tc>
      </w:tr>
      <w:tr w:rsidR="00C975E5" w:rsidRPr="00C975E5" w14:paraId="2638C6ED" w14:textId="77777777" w:rsidTr="00C975E5">
        <w:trPr>
          <w:trHeight w:val="283"/>
        </w:trPr>
        <w:tc>
          <w:tcPr>
            <w:tcW w:w="7650" w:type="dxa"/>
          </w:tcPr>
          <w:p w14:paraId="13C22DB6"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 xml:space="preserve">Provisions: </w:t>
            </w:r>
          </w:p>
          <w:p w14:paraId="1B6058F7"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roofErr w:type="gramStart"/>
            <w:r w:rsidRPr="00C975E5">
              <w:rPr>
                <w:rFonts w:cs="Arial"/>
                <w:color w:val="000000" w:themeColor="text1"/>
                <w:sz w:val="20"/>
                <w:szCs w:val="20"/>
              </w:rPr>
              <w:t>At</w:t>
            </w:r>
            <w:proofErr w:type="gramEnd"/>
            <w:r w:rsidRPr="00C975E5">
              <w:rPr>
                <w:rFonts w:cs="Arial"/>
                <w:color w:val="000000" w:themeColor="text1"/>
                <w:sz w:val="20"/>
                <w:szCs w:val="20"/>
              </w:rPr>
              <w:t xml:space="preserve"> 31 March 2024 and 30 March 2025</w:t>
            </w:r>
          </w:p>
        </w:tc>
        <w:tc>
          <w:tcPr>
            <w:tcW w:w="2215" w:type="dxa"/>
          </w:tcPr>
          <w:p w14:paraId="5A41B7E6" w14:textId="77777777" w:rsidR="00C975E5" w:rsidRPr="00C975E5" w:rsidRDefault="00C975E5" w:rsidP="00C975E5">
            <w:pPr>
              <w:tabs>
                <w:tab w:val="decimal" w:pos="1477"/>
              </w:tabs>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(41,223)</w:t>
            </w:r>
          </w:p>
        </w:tc>
      </w:tr>
      <w:tr w:rsidR="00C975E5" w:rsidRPr="00C975E5" w14:paraId="02326639" w14:textId="77777777" w:rsidTr="00C975E5">
        <w:trPr>
          <w:trHeight w:val="283"/>
        </w:trPr>
        <w:tc>
          <w:tcPr>
            <w:tcW w:w="7650" w:type="dxa"/>
          </w:tcPr>
          <w:p w14:paraId="6B3439CD" w14:textId="77777777" w:rsidR="00C975E5" w:rsidRPr="00C975E5" w:rsidRDefault="00C975E5" w:rsidP="00C975E5">
            <w:pPr>
              <w:autoSpaceDE w:val="0"/>
              <w:autoSpaceDN w:val="0"/>
              <w:adjustRightInd w:val="0"/>
              <w:spacing w:line="240" w:lineRule="auto"/>
              <w:textAlignment w:val="center"/>
              <w:rPr>
                <w:rFonts w:cs="Arial"/>
                <w:b/>
                <w:bCs/>
                <w:color w:val="000000" w:themeColor="text1"/>
                <w:sz w:val="20"/>
                <w:szCs w:val="20"/>
              </w:rPr>
            </w:pPr>
            <w:r w:rsidRPr="00C975E5">
              <w:rPr>
                <w:rFonts w:cs="Arial"/>
                <w:b/>
                <w:bCs/>
                <w:color w:val="000000" w:themeColor="text1"/>
                <w:sz w:val="20"/>
                <w:szCs w:val="20"/>
              </w:rPr>
              <w:t>Net book value:</w:t>
            </w:r>
          </w:p>
          <w:p w14:paraId="4D9A6728"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roofErr w:type="gramStart"/>
            <w:r w:rsidRPr="00C975E5">
              <w:rPr>
                <w:rFonts w:cs="Arial"/>
                <w:b/>
                <w:bCs/>
                <w:color w:val="000000" w:themeColor="text1"/>
                <w:sz w:val="20"/>
                <w:szCs w:val="20"/>
              </w:rPr>
              <w:t>At</w:t>
            </w:r>
            <w:proofErr w:type="gramEnd"/>
            <w:r w:rsidRPr="00C975E5">
              <w:rPr>
                <w:rFonts w:cs="Arial"/>
                <w:b/>
                <w:bCs/>
                <w:color w:val="000000" w:themeColor="text1"/>
                <w:sz w:val="20"/>
                <w:szCs w:val="20"/>
              </w:rPr>
              <w:t xml:space="preserve"> 31 March 2024 and 30 March 2025</w:t>
            </w:r>
          </w:p>
        </w:tc>
        <w:tc>
          <w:tcPr>
            <w:tcW w:w="2215" w:type="dxa"/>
          </w:tcPr>
          <w:p w14:paraId="377442C6" w14:textId="77777777" w:rsidR="00C975E5" w:rsidRPr="00C975E5" w:rsidRDefault="00C975E5" w:rsidP="00C975E5">
            <w:pPr>
              <w:tabs>
                <w:tab w:val="decimal" w:pos="1477"/>
              </w:tabs>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w:t>
            </w:r>
          </w:p>
        </w:tc>
      </w:tr>
    </w:tbl>
    <w:p w14:paraId="53DCAD77" w14:textId="77777777" w:rsidR="00C975E5" w:rsidRPr="00C975E5" w:rsidRDefault="00C975E5" w:rsidP="00C975E5">
      <w:pPr>
        <w:rPr>
          <w:rFonts w:cs="Arial"/>
          <w:b/>
          <w:bCs/>
          <w:color w:val="000000" w:themeColor="text1"/>
          <w:sz w:val="28"/>
          <w:szCs w:val="28"/>
        </w:rPr>
      </w:pPr>
    </w:p>
    <w:tbl>
      <w:tblPr>
        <w:tblStyle w:val="TableGrid"/>
        <w:tblW w:w="0" w:type="auto"/>
        <w:tblLayout w:type="fixed"/>
        <w:tblLook w:val="0000" w:firstRow="0" w:lastRow="0" w:firstColumn="0" w:lastColumn="0" w:noHBand="0" w:noVBand="0"/>
      </w:tblPr>
      <w:tblGrid>
        <w:gridCol w:w="2835"/>
        <w:gridCol w:w="2083"/>
        <w:gridCol w:w="2084"/>
        <w:gridCol w:w="1431"/>
        <w:gridCol w:w="1432"/>
      </w:tblGrid>
      <w:tr w:rsidR="00C975E5" w:rsidRPr="00C975E5" w14:paraId="230445C9" w14:textId="77777777" w:rsidTr="00C975E5">
        <w:trPr>
          <w:trHeight w:val="283"/>
        </w:trPr>
        <w:tc>
          <w:tcPr>
            <w:tcW w:w="2835" w:type="dxa"/>
          </w:tcPr>
          <w:p w14:paraId="3CE1C994"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b/>
                <w:bCs/>
                <w:color w:val="000000" w:themeColor="text1"/>
                <w:sz w:val="20"/>
                <w:szCs w:val="20"/>
              </w:rPr>
              <w:t>Name of Company</w:t>
            </w:r>
          </w:p>
        </w:tc>
        <w:tc>
          <w:tcPr>
            <w:tcW w:w="2083" w:type="dxa"/>
          </w:tcPr>
          <w:p w14:paraId="3CFF0364" w14:textId="77777777" w:rsidR="00C975E5" w:rsidRPr="00C975E5" w:rsidRDefault="00C975E5" w:rsidP="00C975E5">
            <w:pPr>
              <w:autoSpaceDE w:val="0"/>
              <w:autoSpaceDN w:val="0"/>
              <w:adjustRightInd w:val="0"/>
              <w:spacing w:line="240" w:lineRule="auto"/>
              <w:jc w:val="right"/>
              <w:textAlignment w:val="center"/>
              <w:rPr>
                <w:rFonts w:cs="Arial"/>
                <w:b/>
                <w:bCs/>
                <w:color w:val="000000" w:themeColor="text1"/>
                <w:sz w:val="20"/>
                <w:szCs w:val="20"/>
              </w:rPr>
            </w:pPr>
            <w:r w:rsidRPr="00C975E5">
              <w:rPr>
                <w:rFonts w:cs="Arial"/>
                <w:b/>
                <w:bCs/>
                <w:color w:val="000000" w:themeColor="text1"/>
                <w:sz w:val="20"/>
                <w:szCs w:val="20"/>
              </w:rPr>
              <w:t>Country of</w:t>
            </w:r>
          </w:p>
          <w:p w14:paraId="1E31D7E4"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 xml:space="preserve"> incorporation</w:t>
            </w:r>
          </w:p>
        </w:tc>
        <w:tc>
          <w:tcPr>
            <w:tcW w:w="2084" w:type="dxa"/>
          </w:tcPr>
          <w:p w14:paraId="79340105"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Holding</w:t>
            </w:r>
          </w:p>
        </w:tc>
        <w:tc>
          <w:tcPr>
            <w:tcW w:w="1431" w:type="dxa"/>
          </w:tcPr>
          <w:p w14:paraId="5B1809B0" w14:textId="77777777" w:rsidR="00C975E5" w:rsidRPr="00C975E5" w:rsidRDefault="00C975E5" w:rsidP="00C975E5">
            <w:pPr>
              <w:autoSpaceDE w:val="0"/>
              <w:autoSpaceDN w:val="0"/>
              <w:adjustRightInd w:val="0"/>
              <w:spacing w:line="240" w:lineRule="auto"/>
              <w:jc w:val="right"/>
              <w:textAlignment w:val="center"/>
              <w:rPr>
                <w:rFonts w:cs="Arial"/>
                <w:b/>
                <w:bCs/>
                <w:color w:val="000000" w:themeColor="text1"/>
                <w:sz w:val="20"/>
                <w:szCs w:val="20"/>
              </w:rPr>
            </w:pPr>
            <w:r w:rsidRPr="00C975E5">
              <w:rPr>
                <w:rFonts w:cs="Arial"/>
                <w:b/>
                <w:bCs/>
                <w:color w:val="000000" w:themeColor="text1"/>
                <w:sz w:val="20"/>
                <w:szCs w:val="20"/>
              </w:rPr>
              <w:t xml:space="preserve">Proportion of </w:t>
            </w:r>
          </w:p>
          <w:p w14:paraId="44387BEE"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shares held</w:t>
            </w:r>
          </w:p>
        </w:tc>
        <w:tc>
          <w:tcPr>
            <w:tcW w:w="1432" w:type="dxa"/>
          </w:tcPr>
          <w:p w14:paraId="45F72EE1" w14:textId="77777777" w:rsidR="00C975E5" w:rsidRPr="00C975E5" w:rsidRDefault="00C975E5" w:rsidP="00C975E5">
            <w:pPr>
              <w:autoSpaceDE w:val="0"/>
              <w:autoSpaceDN w:val="0"/>
              <w:adjustRightInd w:val="0"/>
              <w:spacing w:line="240" w:lineRule="auto"/>
              <w:jc w:val="right"/>
              <w:textAlignment w:val="center"/>
              <w:rPr>
                <w:rFonts w:cs="Arial"/>
                <w:b/>
                <w:bCs/>
                <w:color w:val="000000" w:themeColor="text1"/>
                <w:sz w:val="20"/>
                <w:szCs w:val="20"/>
              </w:rPr>
            </w:pPr>
            <w:r w:rsidRPr="00C975E5">
              <w:rPr>
                <w:rFonts w:cs="Arial"/>
                <w:b/>
                <w:bCs/>
                <w:color w:val="000000" w:themeColor="text1"/>
                <w:sz w:val="20"/>
                <w:szCs w:val="20"/>
              </w:rPr>
              <w:t xml:space="preserve">Nature of </w:t>
            </w:r>
          </w:p>
          <w:p w14:paraId="36CE4A47"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b/>
                <w:bCs/>
                <w:color w:val="000000" w:themeColor="text1"/>
                <w:sz w:val="20"/>
                <w:szCs w:val="20"/>
              </w:rPr>
              <w:t xml:space="preserve">business </w:t>
            </w:r>
          </w:p>
        </w:tc>
      </w:tr>
      <w:tr w:rsidR="00C975E5" w:rsidRPr="00C975E5" w14:paraId="7B6D73AA" w14:textId="77777777" w:rsidTr="00C975E5">
        <w:trPr>
          <w:trHeight w:val="567"/>
        </w:trPr>
        <w:tc>
          <w:tcPr>
            <w:tcW w:w="2835" w:type="dxa"/>
          </w:tcPr>
          <w:p w14:paraId="75F5E823"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roofErr w:type="spellStart"/>
            <w:r w:rsidRPr="00C975E5">
              <w:rPr>
                <w:rFonts w:cs="Arial"/>
                <w:color w:val="000000" w:themeColor="text1"/>
                <w:sz w:val="20"/>
                <w:szCs w:val="20"/>
              </w:rPr>
              <w:t>Ulsterbus</w:t>
            </w:r>
            <w:proofErr w:type="spellEnd"/>
            <w:r w:rsidRPr="00C975E5">
              <w:rPr>
                <w:rFonts w:cs="Arial"/>
                <w:color w:val="000000" w:themeColor="text1"/>
                <w:sz w:val="20"/>
                <w:szCs w:val="20"/>
              </w:rPr>
              <w:t xml:space="preserve"> Limited</w:t>
            </w:r>
          </w:p>
        </w:tc>
        <w:tc>
          <w:tcPr>
            <w:tcW w:w="2083" w:type="dxa"/>
          </w:tcPr>
          <w:p w14:paraId="75D788CA"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68A793CF"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7FDE51B9"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0EF22B22"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 xml:space="preserve">Public transport </w:t>
            </w:r>
          </w:p>
        </w:tc>
      </w:tr>
      <w:tr w:rsidR="00C975E5" w:rsidRPr="00C975E5" w14:paraId="4C03492D" w14:textId="77777777" w:rsidTr="00C975E5">
        <w:trPr>
          <w:trHeight w:val="567"/>
        </w:trPr>
        <w:tc>
          <w:tcPr>
            <w:tcW w:w="2835" w:type="dxa"/>
          </w:tcPr>
          <w:p w14:paraId="30FB496E"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Citybus Limited</w:t>
            </w:r>
          </w:p>
        </w:tc>
        <w:tc>
          <w:tcPr>
            <w:tcW w:w="2083" w:type="dxa"/>
          </w:tcPr>
          <w:p w14:paraId="333CC06D"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3CAEE9AB"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1D471752"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4B56623B"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Public transport</w:t>
            </w:r>
          </w:p>
        </w:tc>
      </w:tr>
      <w:tr w:rsidR="00C975E5" w:rsidRPr="00C975E5" w14:paraId="32673DC2" w14:textId="77777777" w:rsidTr="00C975E5">
        <w:trPr>
          <w:trHeight w:val="567"/>
        </w:trPr>
        <w:tc>
          <w:tcPr>
            <w:tcW w:w="2835" w:type="dxa"/>
          </w:tcPr>
          <w:p w14:paraId="351B11B9"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Northern Ireland Railways Company Limited</w:t>
            </w:r>
          </w:p>
        </w:tc>
        <w:tc>
          <w:tcPr>
            <w:tcW w:w="2083" w:type="dxa"/>
          </w:tcPr>
          <w:p w14:paraId="6A83BFE5"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5B659E4A"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64765E83"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2C14BB6E"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Public transport</w:t>
            </w:r>
          </w:p>
        </w:tc>
      </w:tr>
      <w:tr w:rsidR="00C975E5" w:rsidRPr="00C975E5" w14:paraId="06629674" w14:textId="77777777" w:rsidTr="00C975E5">
        <w:trPr>
          <w:trHeight w:val="567"/>
        </w:trPr>
        <w:tc>
          <w:tcPr>
            <w:tcW w:w="2835" w:type="dxa"/>
          </w:tcPr>
          <w:p w14:paraId="3DB90A4D"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NIR Operations Limited</w:t>
            </w:r>
          </w:p>
        </w:tc>
        <w:tc>
          <w:tcPr>
            <w:tcW w:w="2083" w:type="dxa"/>
          </w:tcPr>
          <w:p w14:paraId="7ECD091B"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(2)</w:t>
            </w:r>
          </w:p>
        </w:tc>
        <w:tc>
          <w:tcPr>
            <w:tcW w:w="2084" w:type="dxa"/>
          </w:tcPr>
          <w:p w14:paraId="1AE3488C"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1C62E061"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68B1C1BE" w14:textId="3605CA8B"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Public transport</w:t>
            </w:r>
          </w:p>
        </w:tc>
      </w:tr>
      <w:tr w:rsidR="00C975E5" w:rsidRPr="00C975E5" w14:paraId="1AE31460" w14:textId="77777777" w:rsidTr="00C975E5">
        <w:trPr>
          <w:trHeight w:val="567"/>
        </w:trPr>
        <w:tc>
          <w:tcPr>
            <w:tcW w:w="2835" w:type="dxa"/>
          </w:tcPr>
          <w:p w14:paraId="0F32A05C"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roofErr w:type="spellStart"/>
            <w:r w:rsidRPr="00C975E5">
              <w:rPr>
                <w:rFonts w:cs="Arial"/>
                <w:color w:val="000000" w:themeColor="text1"/>
                <w:sz w:val="20"/>
                <w:szCs w:val="20"/>
              </w:rPr>
              <w:t>Flexibus</w:t>
            </w:r>
            <w:proofErr w:type="spellEnd"/>
            <w:r w:rsidRPr="00C975E5">
              <w:rPr>
                <w:rFonts w:cs="Arial"/>
                <w:color w:val="000000" w:themeColor="text1"/>
                <w:sz w:val="20"/>
                <w:szCs w:val="20"/>
              </w:rPr>
              <w:t xml:space="preserve"> Limited</w:t>
            </w:r>
          </w:p>
        </w:tc>
        <w:tc>
          <w:tcPr>
            <w:tcW w:w="2083" w:type="dxa"/>
          </w:tcPr>
          <w:p w14:paraId="243E9016"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0F2A6B58"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6964D027"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5B92696B"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Dormant</w:t>
            </w:r>
          </w:p>
        </w:tc>
      </w:tr>
      <w:tr w:rsidR="00C975E5" w:rsidRPr="00C975E5" w14:paraId="0C838320" w14:textId="77777777" w:rsidTr="00C975E5">
        <w:trPr>
          <w:trHeight w:val="567"/>
        </w:trPr>
        <w:tc>
          <w:tcPr>
            <w:tcW w:w="2835" w:type="dxa"/>
          </w:tcPr>
          <w:p w14:paraId="14916CF0"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Translink (NI) Limited</w:t>
            </w:r>
          </w:p>
        </w:tc>
        <w:tc>
          <w:tcPr>
            <w:tcW w:w="2083" w:type="dxa"/>
          </w:tcPr>
          <w:p w14:paraId="2A0CE04C"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4B05846C"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2DB601A5"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3A69EBB0"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Dormant</w:t>
            </w:r>
          </w:p>
        </w:tc>
      </w:tr>
      <w:tr w:rsidR="00C975E5" w:rsidRPr="00C975E5" w14:paraId="794BBFE4" w14:textId="77777777" w:rsidTr="00C975E5">
        <w:trPr>
          <w:trHeight w:val="567"/>
        </w:trPr>
        <w:tc>
          <w:tcPr>
            <w:tcW w:w="2835" w:type="dxa"/>
          </w:tcPr>
          <w:p w14:paraId="2C4A2157"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r w:rsidRPr="00C975E5">
              <w:rPr>
                <w:rFonts w:cs="Arial"/>
                <w:color w:val="000000" w:themeColor="text1"/>
                <w:sz w:val="20"/>
                <w:szCs w:val="20"/>
              </w:rPr>
              <w:t>NIR Networks Ltd</w:t>
            </w:r>
          </w:p>
          <w:p w14:paraId="32EDE1B8" w14:textId="77777777" w:rsidR="00C975E5" w:rsidRPr="00C975E5" w:rsidRDefault="00C975E5" w:rsidP="00C975E5">
            <w:pPr>
              <w:autoSpaceDE w:val="0"/>
              <w:autoSpaceDN w:val="0"/>
              <w:adjustRightInd w:val="0"/>
              <w:spacing w:line="240" w:lineRule="auto"/>
              <w:textAlignment w:val="center"/>
              <w:rPr>
                <w:rFonts w:cs="Arial"/>
                <w:color w:val="000000" w:themeColor="text1"/>
                <w:sz w:val="20"/>
                <w:szCs w:val="20"/>
              </w:rPr>
            </w:pPr>
          </w:p>
        </w:tc>
        <w:tc>
          <w:tcPr>
            <w:tcW w:w="2083" w:type="dxa"/>
          </w:tcPr>
          <w:p w14:paraId="6AF924E3"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Northern Ireland (1)</w:t>
            </w:r>
          </w:p>
        </w:tc>
        <w:tc>
          <w:tcPr>
            <w:tcW w:w="2084" w:type="dxa"/>
          </w:tcPr>
          <w:p w14:paraId="3A330146" w14:textId="1C69B992"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Ordinary shares of £1 each</w:t>
            </w:r>
          </w:p>
        </w:tc>
        <w:tc>
          <w:tcPr>
            <w:tcW w:w="1431" w:type="dxa"/>
          </w:tcPr>
          <w:p w14:paraId="51C4B71D"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100%</w:t>
            </w:r>
          </w:p>
        </w:tc>
        <w:tc>
          <w:tcPr>
            <w:tcW w:w="1432" w:type="dxa"/>
          </w:tcPr>
          <w:p w14:paraId="02B1C7D4" w14:textId="77777777" w:rsidR="00C975E5" w:rsidRPr="00C975E5" w:rsidRDefault="00C975E5" w:rsidP="00C975E5">
            <w:pPr>
              <w:autoSpaceDE w:val="0"/>
              <w:autoSpaceDN w:val="0"/>
              <w:adjustRightInd w:val="0"/>
              <w:spacing w:line="240" w:lineRule="auto"/>
              <w:jc w:val="right"/>
              <w:textAlignment w:val="center"/>
              <w:rPr>
                <w:rFonts w:cs="Arial"/>
                <w:color w:val="000000" w:themeColor="text1"/>
                <w:sz w:val="20"/>
                <w:szCs w:val="20"/>
              </w:rPr>
            </w:pPr>
            <w:r w:rsidRPr="00C975E5">
              <w:rPr>
                <w:rFonts w:cs="Arial"/>
                <w:color w:val="000000" w:themeColor="text1"/>
                <w:sz w:val="20"/>
                <w:szCs w:val="20"/>
              </w:rPr>
              <w:t>Dormant</w:t>
            </w:r>
          </w:p>
        </w:tc>
      </w:tr>
    </w:tbl>
    <w:p w14:paraId="7B0F4C60" w14:textId="77777777" w:rsidR="00C975E5" w:rsidRPr="006675EF" w:rsidRDefault="00C975E5" w:rsidP="00C975E5">
      <w:pPr>
        <w:rPr>
          <w:rFonts w:cs="Arial"/>
          <w:color w:val="000000" w:themeColor="text1"/>
        </w:rPr>
      </w:pPr>
    </w:p>
    <w:p w14:paraId="4CD28C2B" w14:textId="77777777" w:rsidR="001F06C8" w:rsidRPr="001F06C8" w:rsidRDefault="001F06C8" w:rsidP="003F4D72">
      <w:pPr>
        <w:pStyle w:val="Heading2"/>
      </w:pPr>
      <w:bookmarkStart w:id="288" w:name="_Toc213058720"/>
      <w:r w:rsidRPr="001F06C8">
        <w:t>14. Inventories</w:t>
      </w:r>
      <w:bookmarkEnd w:id="288"/>
    </w:p>
    <w:p w14:paraId="44583612" w14:textId="0B9880F9" w:rsidR="001F06C8" w:rsidRDefault="001F06C8" w:rsidP="001F06C8">
      <w:pPr>
        <w:rPr>
          <w:color w:val="000000"/>
        </w:rPr>
      </w:pPr>
      <w:r w:rsidRPr="001F06C8">
        <w:rPr>
          <w:color w:val="000000"/>
        </w:rPr>
        <w:t>Inventories consist of various types of consumable stores relating to engineering and infrastructure parts and fuel. Inventories expense is recognised in cost of sales. Inventories cost is net of provision for obsolescence of £2.2 million (2024: £1.9 million). The replacement cost of these inventories is not materially different from the valuation stated.</w:t>
      </w:r>
    </w:p>
    <w:p w14:paraId="749896A9" w14:textId="77777777" w:rsidR="001F06C8" w:rsidRDefault="001F06C8">
      <w:pPr>
        <w:spacing w:line="240" w:lineRule="auto"/>
        <w:rPr>
          <w:color w:val="000000"/>
        </w:rPr>
      </w:pPr>
      <w:r>
        <w:rPr>
          <w:color w:val="000000"/>
        </w:rPr>
        <w:br w:type="page"/>
      </w:r>
    </w:p>
    <w:p w14:paraId="460FFF31" w14:textId="77777777" w:rsidR="001F06C8" w:rsidRPr="001F06C8" w:rsidRDefault="001F06C8" w:rsidP="003F4D72">
      <w:pPr>
        <w:pStyle w:val="Heading2"/>
      </w:pPr>
      <w:bookmarkStart w:id="289" w:name="_Toc213058721"/>
      <w:r w:rsidRPr="001F06C8">
        <w:lastRenderedPageBreak/>
        <w:t>15. Trade and Other Receivables</w:t>
      </w:r>
      <w:bookmarkEnd w:id="289"/>
    </w:p>
    <w:tbl>
      <w:tblPr>
        <w:tblStyle w:val="TableGrid"/>
        <w:tblW w:w="0" w:type="auto"/>
        <w:tblLayout w:type="fixed"/>
        <w:tblLook w:val="0000" w:firstRow="0" w:lastRow="0" w:firstColumn="0" w:lastColumn="0" w:noHBand="0" w:noVBand="0"/>
      </w:tblPr>
      <w:tblGrid>
        <w:gridCol w:w="5098"/>
        <w:gridCol w:w="1701"/>
        <w:gridCol w:w="1701"/>
      </w:tblGrid>
      <w:tr w:rsidR="001F06C8" w:rsidRPr="001F06C8" w14:paraId="0FC19C86" w14:textId="77777777" w:rsidTr="001F06C8">
        <w:trPr>
          <w:trHeight w:val="283"/>
        </w:trPr>
        <w:tc>
          <w:tcPr>
            <w:tcW w:w="5098" w:type="dxa"/>
          </w:tcPr>
          <w:p w14:paraId="1FD524C6"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b/>
                <w:bCs/>
                <w:color w:val="000000" w:themeColor="text1"/>
                <w:sz w:val="20"/>
                <w:szCs w:val="20"/>
              </w:rPr>
              <w:t>Group</w:t>
            </w:r>
          </w:p>
        </w:tc>
        <w:tc>
          <w:tcPr>
            <w:tcW w:w="1701" w:type="dxa"/>
          </w:tcPr>
          <w:p w14:paraId="4EF07D25"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2025</w:t>
            </w:r>
          </w:p>
          <w:p w14:paraId="7AFDDDA3"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c>
          <w:tcPr>
            <w:tcW w:w="1701" w:type="dxa"/>
          </w:tcPr>
          <w:p w14:paraId="782CB750"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2024</w:t>
            </w:r>
          </w:p>
          <w:p w14:paraId="66817710"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r>
      <w:tr w:rsidR="001F06C8" w:rsidRPr="001F06C8" w14:paraId="59FEE4D3" w14:textId="77777777" w:rsidTr="001F06C8">
        <w:trPr>
          <w:trHeight w:val="283"/>
        </w:trPr>
        <w:tc>
          <w:tcPr>
            <w:tcW w:w="5098" w:type="dxa"/>
          </w:tcPr>
          <w:p w14:paraId="119E6FE3"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Trade receivables</w:t>
            </w:r>
          </w:p>
        </w:tc>
        <w:tc>
          <w:tcPr>
            <w:tcW w:w="1701" w:type="dxa"/>
          </w:tcPr>
          <w:p w14:paraId="06371B94"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2,347</w:t>
            </w:r>
          </w:p>
        </w:tc>
        <w:tc>
          <w:tcPr>
            <w:tcW w:w="1701" w:type="dxa"/>
          </w:tcPr>
          <w:p w14:paraId="0B29B484"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1,134</w:t>
            </w:r>
          </w:p>
        </w:tc>
      </w:tr>
      <w:tr w:rsidR="001F06C8" w:rsidRPr="001F06C8" w14:paraId="774A8C11" w14:textId="77777777" w:rsidTr="001F06C8">
        <w:trPr>
          <w:trHeight w:val="283"/>
        </w:trPr>
        <w:tc>
          <w:tcPr>
            <w:tcW w:w="5098" w:type="dxa"/>
          </w:tcPr>
          <w:p w14:paraId="229D4753"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Other receivables</w:t>
            </w:r>
          </w:p>
        </w:tc>
        <w:tc>
          <w:tcPr>
            <w:tcW w:w="1701" w:type="dxa"/>
          </w:tcPr>
          <w:p w14:paraId="06C5F85F"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9,410</w:t>
            </w:r>
          </w:p>
        </w:tc>
        <w:tc>
          <w:tcPr>
            <w:tcW w:w="1701" w:type="dxa"/>
          </w:tcPr>
          <w:p w14:paraId="73D61758"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14,826</w:t>
            </w:r>
          </w:p>
        </w:tc>
      </w:tr>
      <w:tr w:rsidR="001F06C8" w:rsidRPr="001F06C8" w14:paraId="5ECB8B24" w14:textId="77777777" w:rsidTr="001F06C8">
        <w:trPr>
          <w:trHeight w:val="283"/>
        </w:trPr>
        <w:tc>
          <w:tcPr>
            <w:tcW w:w="5098" w:type="dxa"/>
          </w:tcPr>
          <w:p w14:paraId="01EC672F"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proofErr w:type="gramStart"/>
            <w:r w:rsidRPr="001F06C8">
              <w:rPr>
                <w:rFonts w:cs="Arial"/>
                <w:color w:val="000000" w:themeColor="text1"/>
                <w:sz w:val="20"/>
                <w:szCs w:val="20"/>
              </w:rPr>
              <w:t>Grants</w:t>
            </w:r>
            <w:proofErr w:type="gramEnd"/>
            <w:r w:rsidRPr="001F06C8">
              <w:rPr>
                <w:rFonts w:cs="Arial"/>
                <w:color w:val="000000" w:themeColor="text1"/>
                <w:sz w:val="20"/>
                <w:szCs w:val="20"/>
              </w:rPr>
              <w:t xml:space="preserve"> receivable</w:t>
            </w:r>
          </w:p>
        </w:tc>
        <w:tc>
          <w:tcPr>
            <w:tcW w:w="1701" w:type="dxa"/>
          </w:tcPr>
          <w:p w14:paraId="653F250D" w14:textId="77777777" w:rsidR="001F06C8" w:rsidRPr="001F06C8" w:rsidRDefault="001F06C8" w:rsidP="001F06C8">
            <w:pPr>
              <w:tabs>
                <w:tab w:val="decimal" w:pos="1122"/>
              </w:tabs>
              <w:autoSpaceDE w:val="0"/>
              <w:autoSpaceDN w:val="0"/>
              <w:adjustRightInd w:val="0"/>
              <w:spacing w:line="288" w:lineRule="auto"/>
              <w:ind w:left="420"/>
              <w:jc w:val="right"/>
              <w:textAlignment w:val="center"/>
              <w:rPr>
                <w:rFonts w:cs="Arial"/>
                <w:color w:val="000000" w:themeColor="text1"/>
                <w:sz w:val="20"/>
                <w:szCs w:val="20"/>
              </w:rPr>
            </w:pPr>
            <w:r w:rsidRPr="001F06C8">
              <w:rPr>
                <w:rFonts w:cs="Arial"/>
                <w:color w:val="000000" w:themeColor="text1"/>
                <w:sz w:val="20"/>
                <w:szCs w:val="20"/>
              </w:rPr>
              <w:t>95,105</w:t>
            </w:r>
          </w:p>
        </w:tc>
        <w:tc>
          <w:tcPr>
            <w:tcW w:w="1701" w:type="dxa"/>
          </w:tcPr>
          <w:p w14:paraId="427D5FA8" w14:textId="77777777" w:rsidR="001F06C8" w:rsidRPr="001F06C8" w:rsidRDefault="001F06C8" w:rsidP="001F06C8">
            <w:pPr>
              <w:tabs>
                <w:tab w:val="decimal" w:pos="1122"/>
              </w:tabs>
              <w:autoSpaceDE w:val="0"/>
              <w:autoSpaceDN w:val="0"/>
              <w:adjustRightInd w:val="0"/>
              <w:spacing w:line="288" w:lineRule="auto"/>
              <w:ind w:left="420"/>
              <w:jc w:val="right"/>
              <w:textAlignment w:val="center"/>
              <w:rPr>
                <w:rFonts w:cs="Arial"/>
                <w:color w:val="000000" w:themeColor="text1"/>
                <w:sz w:val="20"/>
                <w:szCs w:val="20"/>
              </w:rPr>
            </w:pPr>
            <w:r w:rsidRPr="001F06C8">
              <w:rPr>
                <w:rFonts w:cs="Arial"/>
                <w:color w:val="000000" w:themeColor="text1"/>
                <w:sz w:val="20"/>
                <w:szCs w:val="20"/>
              </w:rPr>
              <w:t>124,220</w:t>
            </w:r>
          </w:p>
        </w:tc>
      </w:tr>
      <w:tr w:rsidR="001F06C8" w:rsidRPr="001F06C8" w14:paraId="6D06E407" w14:textId="77777777" w:rsidTr="001F06C8">
        <w:trPr>
          <w:trHeight w:val="283"/>
        </w:trPr>
        <w:tc>
          <w:tcPr>
            <w:tcW w:w="5098" w:type="dxa"/>
          </w:tcPr>
          <w:p w14:paraId="41A5DF7C"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Prepayments and accrued income</w:t>
            </w:r>
          </w:p>
        </w:tc>
        <w:tc>
          <w:tcPr>
            <w:tcW w:w="1701" w:type="dxa"/>
          </w:tcPr>
          <w:p w14:paraId="137B781C"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6,382</w:t>
            </w:r>
          </w:p>
        </w:tc>
        <w:tc>
          <w:tcPr>
            <w:tcW w:w="1701" w:type="dxa"/>
          </w:tcPr>
          <w:p w14:paraId="02BB7868"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4,531</w:t>
            </w:r>
          </w:p>
        </w:tc>
      </w:tr>
      <w:tr w:rsidR="001F06C8" w:rsidRPr="001F06C8" w14:paraId="1483E0AC" w14:textId="77777777" w:rsidTr="001F06C8">
        <w:trPr>
          <w:trHeight w:val="283"/>
        </w:trPr>
        <w:tc>
          <w:tcPr>
            <w:tcW w:w="5098" w:type="dxa"/>
          </w:tcPr>
          <w:p w14:paraId="3C66CDDE" w14:textId="77777777" w:rsidR="001F06C8" w:rsidRPr="001F06C8" w:rsidRDefault="001F06C8" w:rsidP="001F06C8">
            <w:pPr>
              <w:autoSpaceDE w:val="0"/>
              <w:autoSpaceDN w:val="0"/>
              <w:adjustRightInd w:val="0"/>
              <w:spacing w:line="240" w:lineRule="auto"/>
              <w:rPr>
                <w:rFonts w:cs="Arial"/>
                <w:color w:val="000000" w:themeColor="text1"/>
                <w:sz w:val="20"/>
                <w:szCs w:val="20"/>
              </w:rPr>
            </w:pPr>
          </w:p>
        </w:tc>
        <w:tc>
          <w:tcPr>
            <w:tcW w:w="1701" w:type="dxa"/>
          </w:tcPr>
          <w:p w14:paraId="4EF488A7"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Pr>
              <w:t>113,244</w:t>
            </w:r>
          </w:p>
        </w:tc>
        <w:tc>
          <w:tcPr>
            <w:tcW w:w="1701" w:type="dxa"/>
          </w:tcPr>
          <w:p w14:paraId="162B41B1"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Pr>
              <w:t>144,711</w:t>
            </w:r>
          </w:p>
        </w:tc>
      </w:tr>
    </w:tbl>
    <w:p w14:paraId="5ACDDF51" w14:textId="77777777" w:rsidR="001F06C8" w:rsidRPr="001F06C8" w:rsidRDefault="001F06C8" w:rsidP="001F06C8">
      <w:pPr>
        <w:rPr>
          <w:b/>
          <w:bCs/>
          <w:color w:val="000000"/>
          <w:sz w:val="28"/>
          <w:szCs w:val="28"/>
        </w:rPr>
      </w:pPr>
    </w:p>
    <w:p w14:paraId="1AA0FDED" w14:textId="77777777" w:rsidR="001F06C8" w:rsidRDefault="001F06C8" w:rsidP="001F06C8">
      <w:r w:rsidRPr="001F06C8">
        <w:t>The following financial assets were past due, but not impaired at the balance sheet date because there has not been a significant change in credit quality and the amounts are still considered recoverable:</w:t>
      </w:r>
    </w:p>
    <w:tbl>
      <w:tblPr>
        <w:tblStyle w:val="TableGrid"/>
        <w:tblW w:w="0" w:type="auto"/>
        <w:tblLayout w:type="fixed"/>
        <w:tblLook w:val="0000" w:firstRow="0" w:lastRow="0" w:firstColumn="0" w:lastColumn="0" w:noHBand="0" w:noVBand="0"/>
      </w:tblPr>
      <w:tblGrid>
        <w:gridCol w:w="5098"/>
        <w:gridCol w:w="1701"/>
        <w:gridCol w:w="1701"/>
      </w:tblGrid>
      <w:tr w:rsidR="001F06C8" w:rsidRPr="001F06C8" w14:paraId="1B9C9A81" w14:textId="77777777" w:rsidTr="001F06C8">
        <w:trPr>
          <w:trHeight w:val="283"/>
        </w:trPr>
        <w:tc>
          <w:tcPr>
            <w:tcW w:w="5098" w:type="dxa"/>
          </w:tcPr>
          <w:p w14:paraId="5446EF7B" w14:textId="77777777" w:rsidR="001F06C8" w:rsidRPr="001F06C8" w:rsidRDefault="001F06C8" w:rsidP="001F06C8">
            <w:pPr>
              <w:autoSpaceDE w:val="0"/>
              <w:autoSpaceDN w:val="0"/>
              <w:adjustRightInd w:val="0"/>
              <w:spacing w:line="240" w:lineRule="auto"/>
              <w:rPr>
                <w:rFonts w:cs="Arial"/>
                <w:color w:val="000000" w:themeColor="text1"/>
                <w:sz w:val="20"/>
                <w:szCs w:val="20"/>
              </w:rPr>
            </w:pPr>
          </w:p>
        </w:tc>
        <w:tc>
          <w:tcPr>
            <w:tcW w:w="1701" w:type="dxa"/>
          </w:tcPr>
          <w:p w14:paraId="405E3500"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2025</w:t>
            </w:r>
          </w:p>
          <w:p w14:paraId="79240961"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c>
          <w:tcPr>
            <w:tcW w:w="1701" w:type="dxa"/>
          </w:tcPr>
          <w:p w14:paraId="7688B9E8"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2024</w:t>
            </w:r>
          </w:p>
          <w:p w14:paraId="7650FA3B"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r>
      <w:tr w:rsidR="001F06C8" w:rsidRPr="001F06C8" w14:paraId="49BDC170" w14:textId="77777777" w:rsidTr="001F06C8">
        <w:trPr>
          <w:trHeight w:val="283"/>
        </w:trPr>
        <w:tc>
          <w:tcPr>
            <w:tcW w:w="5098" w:type="dxa"/>
          </w:tcPr>
          <w:p w14:paraId="61DFFE15"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Amounts 1 to 84 days overdue</w:t>
            </w:r>
          </w:p>
        </w:tc>
        <w:tc>
          <w:tcPr>
            <w:tcW w:w="1701" w:type="dxa"/>
          </w:tcPr>
          <w:p w14:paraId="692366CF"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466</w:t>
            </w:r>
          </w:p>
        </w:tc>
        <w:tc>
          <w:tcPr>
            <w:tcW w:w="1701" w:type="dxa"/>
          </w:tcPr>
          <w:p w14:paraId="0E2C04B8"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276</w:t>
            </w:r>
          </w:p>
        </w:tc>
      </w:tr>
      <w:tr w:rsidR="001F06C8" w:rsidRPr="001F06C8" w14:paraId="432055B3" w14:textId="77777777" w:rsidTr="001F06C8">
        <w:trPr>
          <w:trHeight w:val="283"/>
        </w:trPr>
        <w:tc>
          <w:tcPr>
            <w:tcW w:w="5098" w:type="dxa"/>
          </w:tcPr>
          <w:p w14:paraId="0FB2C12E"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Amounts more than 85 days overdue</w:t>
            </w:r>
          </w:p>
        </w:tc>
        <w:tc>
          <w:tcPr>
            <w:tcW w:w="1701" w:type="dxa"/>
          </w:tcPr>
          <w:p w14:paraId="57A9ACDE" w14:textId="77777777" w:rsidR="001F06C8" w:rsidRPr="001F06C8" w:rsidRDefault="001F06C8" w:rsidP="001F06C8">
            <w:pPr>
              <w:tabs>
                <w:tab w:val="decimal" w:pos="1122"/>
              </w:tabs>
              <w:autoSpaceDE w:val="0"/>
              <w:autoSpaceDN w:val="0"/>
              <w:adjustRightInd w:val="0"/>
              <w:spacing w:after="100" w:line="288" w:lineRule="auto"/>
              <w:ind w:left="420"/>
              <w:jc w:val="right"/>
              <w:textAlignment w:val="center"/>
              <w:rPr>
                <w:rFonts w:cs="Arial"/>
                <w:color w:val="000000" w:themeColor="text1"/>
                <w:sz w:val="20"/>
                <w:szCs w:val="20"/>
              </w:rPr>
            </w:pPr>
            <w:r w:rsidRPr="001F06C8">
              <w:rPr>
                <w:rFonts w:cs="Arial"/>
                <w:color w:val="000000" w:themeColor="text1"/>
                <w:sz w:val="20"/>
                <w:szCs w:val="20"/>
              </w:rPr>
              <w:t>109</w:t>
            </w:r>
          </w:p>
        </w:tc>
        <w:tc>
          <w:tcPr>
            <w:tcW w:w="1701" w:type="dxa"/>
          </w:tcPr>
          <w:p w14:paraId="2359B277" w14:textId="77777777" w:rsidR="001F06C8" w:rsidRPr="001F06C8" w:rsidRDefault="001F06C8" w:rsidP="001F06C8">
            <w:pPr>
              <w:tabs>
                <w:tab w:val="decimal" w:pos="1122"/>
              </w:tabs>
              <w:autoSpaceDE w:val="0"/>
              <w:autoSpaceDN w:val="0"/>
              <w:adjustRightInd w:val="0"/>
              <w:spacing w:after="100" w:line="288" w:lineRule="auto"/>
              <w:ind w:left="420"/>
              <w:jc w:val="right"/>
              <w:textAlignment w:val="center"/>
              <w:rPr>
                <w:rFonts w:cs="Arial"/>
                <w:color w:val="000000" w:themeColor="text1"/>
                <w:sz w:val="20"/>
                <w:szCs w:val="20"/>
              </w:rPr>
            </w:pPr>
            <w:r w:rsidRPr="001F06C8">
              <w:rPr>
                <w:rFonts w:cs="Arial"/>
                <w:color w:val="000000" w:themeColor="text1"/>
                <w:sz w:val="20"/>
                <w:szCs w:val="20"/>
              </w:rPr>
              <w:t>92</w:t>
            </w:r>
          </w:p>
        </w:tc>
      </w:tr>
    </w:tbl>
    <w:p w14:paraId="5FF6E7D8" w14:textId="77777777" w:rsidR="001F06C8" w:rsidRPr="001F06C8" w:rsidRDefault="001F06C8" w:rsidP="001F06C8"/>
    <w:p w14:paraId="7C46B2C4" w14:textId="77777777" w:rsidR="001F06C8" w:rsidRPr="001F06C8" w:rsidRDefault="001F06C8" w:rsidP="001F06C8">
      <w:pPr>
        <w:rPr>
          <w:rFonts w:cs="Arial"/>
        </w:rPr>
      </w:pPr>
      <w:r w:rsidRPr="001F06C8">
        <w:rPr>
          <w:rFonts w:cs="Arial"/>
        </w:rPr>
        <w:t>The Group does not hold any collateral in respect of its credit risk exposures set out above (2023: Nil) and has not taken possession of any collateral it holds or called for other credit enhancements during the period ended 30 March 2025.</w:t>
      </w:r>
    </w:p>
    <w:p w14:paraId="3F45043C" w14:textId="77777777" w:rsidR="001F06C8" w:rsidRPr="001F06C8" w:rsidRDefault="001F06C8" w:rsidP="001F06C8">
      <w:pPr>
        <w:rPr>
          <w:rFonts w:cs="Arial"/>
          <w:b/>
          <w:bCs/>
        </w:rPr>
      </w:pPr>
    </w:p>
    <w:p w14:paraId="55C05560" w14:textId="77777777" w:rsidR="001F06C8" w:rsidRDefault="001F06C8" w:rsidP="003F4D72">
      <w:pPr>
        <w:pStyle w:val="Heading3"/>
      </w:pPr>
      <w:bookmarkStart w:id="290" w:name="_Toc213058722"/>
      <w:r w:rsidRPr="001F06C8">
        <w:t>Movement in the Allowance for Doubtful Debts</w:t>
      </w:r>
      <w:bookmarkEnd w:id="290"/>
    </w:p>
    <w:tbl>
      <w:tblPr>
        <w:tblStyle w:val="TableGrid"/>
        <w:tblW w:w="0" w:type="auto"/>
        <w:tblLayout w:type="fixed"/>
        <w:tblLook w:val="0000" w:firstRow="0" w:lastRow="0" w:firstColumn="0" w:lastColumn="0" w:noHBand="0" w:noVBand="0"/>
      </w:tblPr>
      <w:tblGrid>
        <w:gridCol w:w="5098"/>
        <w:gridCol w:w="1701"/>
        <w:gridCol w:w="1701"/>
      </w:tblGrid>
      <w:tr w:rsidR="001F06C8" w:rsidRPr="001F06C8" w14:paraId="26ABEB63" w14:textId="77777777" w:rsidTr="001F06C8">
        <w:trPr>
          <w:trHeight w:val="340"/>
        </w:trPr>
        <w:tc>
          <w:tcPr>
            <w:tcW w:w="5098" w:type="dxa"/>
          </w:tcPr>
          <w:p w14:paraId="669F0514" w14:textId="77777777" w:rsidR="001F06C8" w:rsidRPr="001F06C8" w:rsidRDefault="001F06C8" w:rsidP="001F06C8">
            <w:pPr>
              <w:autoSpaceDE w:val="0"/>
              <w:autoSpaceDN w:val="0"/>
              <w:adjustRightInd w:val="0"/>
              <w:spacing w:line="240" w:lineRule="auto"/>
              <w:rPr>
                <w:rFonts w:cs="Arial"/>
                <w:color w:val="000000" w:themeColor="text1"/>
                <w:sz w:val="20"/>
                <w:szCs w:val="20"/>
              </w:rPr>
            </w:pPr>
          </w:p>
        </w:tc>
        <w:tc>
          <w:tcPr>
            <w:tcW w:w="1701" w:type="dxa"/>
          </w:tcPr>
          <w:p w14:paraId="7D92C779"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1F06C8">
              <w:rPr>
                <w:rFonts w:cs="Arial"/>
                <w:b/>
                <w:bCs/>
                <w:color w:val="000000" w:themeColor="text1"/>
                <w:sz w:val="20"/>
                <w:szCs w:val="20"/>
              </w:rPr>
              <w:t>2025</w:t>
            </w:r>
          </w:p>
          <w:p w14:paraId="02FB6CCA"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c>
          <w:tcPr>
            <w:tcW w:w="1701" w:type="dxa"/>
          </w:tcPr>
          <w:p w14:paraId="02893038"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1F06C8">
              <w:rPr>
                <w:rFonts w:cs="Arial"/>
                <w:b/>
                <w:bCs/>
                <w:color w:val="000000" w:themeColor="text1"/>
                <w:sz w:val="20"/>
                <w:szCs w:val="20"/>
              </w:rPr>
              <w:t>2024</w:t>
            </w:r>
          </w:p>
          <w:p w14:paraId="640B759D"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r>
      <w:tr w:rsidR="001F06C8" w:rsidRPr="001F06C8" w14:paraId="674B51EF" w14:textId="77777777" w:rsidTr="001F06C8">
        <w:trPr>
          <w:trHeight w:val="340"/>
        </w:trPr>
        <w:tc>
          <w:tcPr>
            <w:tcW w:w="5098" w:type="dxa"/>
            <w:vAlign w:val="center"/>
          </w:tcPr>
          <w:p w14:paraId="2C72019E" w14:textId="77777777" w:rsidR="001F06C8" w:rsidRPr="001F06C8" w:rsidRDefault="001F06C8" w:rsidP="001F06C8">
            <w:pPr>
              <w:tabs>
                <w:tab w:val="left" w:pos="142"/>
              </w:tabs>
              <w:autoSpaceDE w:val="0"/>
              <w:autoSpaceDN w:val="0"/>
              <w:adjustRightInd w:val="0"/>
              <w:spacing w:line="240" w:lineRule="auto"/>
              <w:textAlignment w:val="center"/>
              <w:rPr>
                <w:rFonts w:cs="Arial"/>
                <w:color w:val="000000" w:themeColor="text1"/>
                <w:sz w:val="20"/>
                <w:szCs w:val="20"/>
              </w:rPr>
            </w:pPr>
            <w:r w:rsidRPr="001F06C8">
              <w:rPr>
                <w:rFonts w:cs="Arial"/>
                <w:color w:val="000000" w:themeColor="text1"/>
                <w:sz w:val="20"/>
                <w:szCs w:val="20"/>
              </w:rPr>
              <w:t>Balance at the beginning of the period</w:t>
            </w:r>
          </w:p>
        </w:tc>
        <w:tc>
          <w:tcPr>
            <w:tcW w:w="1701" w:type="dxa"/>
            <w:vAlign w:val="center"/>
          </w:tcPr>
          <w:p w14:paraId="2CB4DD45"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color w:val="000000" w:themeColor="text1"/>
                <w:sz w:val="20"/>
                <w:szCs w:val="20"/>
              </w:rPr>
              <w:t>201</w:t>
            </w:r>
          </w:p>
        </w:tc>
        <w:tc>
          <w:tcPr>
            <w:tcW w:w="1701" w:type="dxa"/>
            <w:vAlign w:val="center"/>
          </w:tcPr>
          <w:p w14:paraId="319975DC"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color w:val="000000" w:themeColor="text1"/>
                <w:sz w:val="20"/>
                <w:szCs w:val="20"/>
              </w:rPr>
              <w:t>353</w:t>
            </w:r>
          </w:p>
        </w:tc>
      </w:tr>
      <w:tr w:rsidR="001F06C8" w:rsidRPr="001F06C8" w14:paraId="7C1613D6" w14:textId="77777777" w:rsidTr="001F06C8">
        <w:trPr>
          <w:trHeight w:val="340"/>
        </w:trPr>
        <w:tc>
          <w:tcPr>
            <w:tcW w:w="5098" w:type="dxa"/>
            <w:vAlign w:val="center"/>
          </w:tcPr>
          <w:p w14:paraId="4F9335EF" w14:textId="77777777" w:rsidR="001F06C8" w:rsidRPr="001F06C8" w:rsidRDefault="001F06C8" w:rsidP="001F06C8">
            <w:pPr>
              <w:tabs>
                <w:tab w:val="left" w:pos="142"/>
              </w:tabs>
              <w:autoSpaceDE w:val="0"/>
              <w:autoSpaceDN w:val="0"/>
              <w:adjustRightInd w:val="0"/>
              <w:spacing w:line="240" w:lineRule="auto"/>
              <w:textAlignment w:val="center"/>
              <w:rPr>
                <w:rFonts w:cs="Arial"/>
                <w:color w:val="000000" w:themeColor="text1"/>
                <w:sz w:val="20"/>
                <w:szCs w:val="20"/>
              </w:rPr>
            </w:pPr>
            <w:r w:rsidRPr="001F06C8">
              <w:rPr>
                <w:rFonts w:cs="Arial"/>
                <w:color w:val="000000" w:themeColor="text1"/>
                <w:sz w:val="20"/>
                <w:szCs w:val="20"/>
              </w:rPr>
              <w:t>Net debit</w:t>
            </w:r>
          </w:p>
        </w:tc>
        <w:tc>
          <w:tcPr>
            <w:tcW w:w="1701" w:type="dxa"/>
            <w:vAlign w:val="center"/>
          </w:tcPr>
          <w:p w14:paraId="5D88F22E"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color w:val="000000" w:themeColor="text1"/>
                <w:sz w:val="20"/>
                <w:szCs w:val="20"/>
              </w:rPr>
              <w:t>1</w:t>
            </w:r>
          </w:p>
        </w:tc>
        <w:tc>
          <w:tcPr>
            <w:tcW w:w="1701" w:type="dxa"/>
            <w:vAlign w:val="center"/>
          </w:tcPr>
          <w:p w14:paraId="69BFBF2D" w14:textId="77777777" w:rsidR="001F06C8" w:rsidRPr="001F06C8" w:rsidRDefault="001F06C8" w:rsidP="001F06C8">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1F06C8">
              <w:rPr>
                <w:rFonts w:cs="Arial"/>
                <w:color w:val="000000" w:themeColor="text1"/>
                <w:sz w:val="20"/>
                <w:szCs w:val="20"/>
              </w:rPr>
              <w:t>(152)</w:t>
            </w:r>
          </w:p>
        </w:tc>
      </w:tr>
      <w:tr w:rsidR="001F06C8" w:rsidRPr="001F06C8" w14:paraId="3754C30C" w14:textId="77777777" w:rsidTr="001F06C8">
        <w:trPr>
          <w:trHeight w:val="340"/>
        </w:trPr>
        <w:tc>
          <w:tcPr>
            <w:tcW w:w="5098" w:type="dxa"/>
            <w:vAlign w:val="center"/>
          </w:tcPr>
          <w:p w14:paraId="7603E78F" w14:textId="77777777" w:rsidR="001F06C8" w:rsidRPr="001F06C8" w:rsidRDefault="001F06C8" w:rsidP="001F06C8">
            <w:pPr>
              <w:tabs>
                <w:tab w:val="left" w:pos="142"/>
              </w:tabs>
              <w:autoSpaceDE w:val="0"/>
              <w:autoSpaceDN w:val="0"/>
              <w:adjustRightInd w:val="0"/>
              <w:spacing w:line="240" w:lineRule="auto"/>
              <w:textAlignment w:val="center"/>
              <w:rPr>
                <w:rFonts w:cs="Arial"/>
                <w:color w:val="000000" w:themeColor="text1"/>
                <w:sz w:val="20"/>
                <w:szCs w:val="20"/>
              </w:rPr>
            </w:pPr>
            <w:r w:rsidRPr="001F06C8">
              <w:rPr>
                <w:rFonts w:cs="Arial"/>
                <w:b/>
                <w:bCs/>
                <w:color w:val="000000" w:themeColor="text1"/>
                <w:sz w:val="20"/>
                <w:szCs w:val="20"/>
              </w:rPr>
              <w:t>Balance at the end of the period</w:t>
            </w:r>
          </w:p>
        </w:tc>
        <w:tc>
          <w:tcPr>
            <w:tcW w:w="1701" w:type="dxa"/>
            <w:vAlign w:val="center"/>
          </w:tcPr>
          <w:p w14:paraId="0ED74BAB" w14:textId="77777777" w:rsidR="001F06C8" w:rsidRPr="001F06C8" w:rsidRDefault="001F06C8" w:rsidP="001F06C8">
            <w:pPr>
              <w:tabs>
                <w:tab w:val="decimal" w:pos="1122"/>
              </w:tabs>
              <w:autoSpaceDE w:val="0"/>
              <w:autoSpaceDN w:val="0"/>
              <w:adjustRightInd w:val="0"/>
              <w:spacing w:line="240" w:lineRule="auto"/>
              <w:ind w:left="420"/>
              <w:jc w:val="right"/>
              <w:textAlignment w:val="center"/>
              <w:rPr>
                <w:rFonts w:cs="Arial"/>
                <w:color w:val="000000" w:themeColor="text1"/>
                <w:sz w:val="20"/>
                <w:szCs w:val="20"/>
              </w:rPr>
            </w:pPr>
            <w:r w:rsidRPr="001F06C8">
              <w:rPr>
                <w:rFonts w:cs="Arial"/>
                <w:b/>
                <w:bCs/>
                <w:color w:val="000000" w:themeColor="text1"/>
                <w:sz w:val="20"/>
                <w:szCs w:val="20"/>
              </w:rPr>
              <w:t>202</w:t>
            </w:r>
          </w:p>
        </w:tc>
        <w:tc>
          <w:tcPr>
            <w:tcW w:w="1701" w:type="dxa"/>
            <w:vAlign w:val="center"/>
          </w:tcPr>
          <w:p w14:paraId="747E9631" w14:textId="77777777" w:rsidR="001F06C8" w:rsidRPr="001F06C8" w:rsidRDefault="001F06C8" w:rsidP="001F06C8">
            <w:pPr>
              <w:tabs>
                <w:tab w:val="decimal" w:pos="1122"/>
              </w:tabs>
              <w:autoSpaceDE w:val="0"/>
              <w:autoSpaceDN w:val="0"/>
              <w:adjustRightInd w:val="0"/>
              <w:spacing w:line="240" w:lineRule="auto"/>
              <w:ind w:left="420"/>
              <w:jc w:val="right"/>
              <w:textAlignment w:val="center"/>
              <w:rPr>
                <w:rFonts w:cs="Arial"/>
                <w:color w:val="000000" w:themeColor="text1"/>
                <w:sz w:val="20"/>
                <w:szCs w:val="20"/>
              </w:rPr>
            </w:pPr>
            <w:r w:rsidRPr="001F06C8">
              <w:rPr>
                <w:rFonts w:cs="Arial"/>
                <w:b/>
                <w:bCs/>
                <w:color w:val="000000" w:themeColor="text1"/>
                <w:sz w:val="20"/>
                <w:szCs w:val="20"/>
              </w:rPr>
              <w:t>201</w:t>
            </w:r>
          </w:p>
        </w:tc>
      </w:tr>
    </w:tbl>
    <w:p w14:paraId="51CFC4F8" w14:textId="77777777" w:rsidR="001F06C8" w:rsidRPr="001F06C8" w:rsidRDefault="001F06C8" w:rsidP="001F06C8">
      <w:pPr>
        <w:rPr>
          <w:rFonts w:cs="Arial"/>
          <w:b/>
          <w:bCs/>
          <w:color w:val="000000" w:themeColor="text1"/>
        </w:rPr>
      </w:pPr>
    </w:p>
    <w:p w14:paraId="54AA4A61" w14:textId="77777777" w:rsidR="001F06C8" w:rsidRDefault="001F06C8" w:rsidP="003F4D72">
      <w:pPr>
        <w:pStyle w:val="Heading3"/>
      </w:pPr>
      <w:bookmarkStart w:id="291" w:name="_Toc213058723"/>
      <w:r w:rsidRPr="001F06C8">
        <w:t>Ageing of Impaired Trade Receivables</w:t>
      </w:r>
      <w:bookmarkEnd w:id="291"/>
    </w:p>
    <w:tbl>
      <w:tblPr>
        <w:tblStyle w:val="TableGrid"/>
        <w:tblW w:w="0" w:type="auto"/>
        <w:tblLayout w:type="fixed"/>
        <w:tblLook w:val="0000" w:firstRow="0" w:lastRow="0" w:firstColumn="0" w:lastColumn="0" w:noHBand="0" w:noVBand="0"/>
      </w:tblPr>
      <w:tblGrid>
        <w:gridCol w:w="5098"/>
        <w:gridCol w:w="1701"/>
        <w:gridCol w:w="1701"/>
      </w:tblGrid>
      <w:tr w:rsidR="001F06C8" w:rsidRPr="001F06C8" w14:paraId="1C120DFB" w14:textId="77777777" w:rsidTr="001F06C8">
        <w:trPr>
          <w:trHeight w:val="283"/>
        </w:trPr>
        <w:tc>
          <w:tcPr>
            <w:tcW w:w="5098" w:type="dxa"/>
          </w:tcPr>
          <w:p w14:paraId="40F37333" w14:textId="77777777" w:rsidR="001F06C8" w:rsidRPr="001F06C8" w:rsidRDefault="001F06C8" w:rsidP="001F06C8">
            <w:pPr>
              <w:autoSpaceDE w:val="0"/>
              <w:autoSpaceDN w:val="0"/>
              <w:adjustRightInd w:val="0"/>
              <w:spacing w:line="240" w:lineRule="auto"/>
              <w:rPr>
                <w:rFonts w:cs="Arial"/>
                <w:color w:val="000000" w:themeColor="text1"/>
                <w:sz w:val="20"/>
                <w:szCs w:val="20"/>
              </w:rPr>
            </w:pPr>
          </w:p>
        </w:tc>
        <w:tc>
          <w:tcPr>
            <w:tcW w:w="1701" w:type="dxa"/>
          </w:tcPr>
          <w:p w14:paraId="5697334F"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2025</w:t>
            </w:r>
          </w:p>
          <w:p w14:paraId="019837FE"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c>
          <w:tcPr>
            <w:tcW w:w="1701" w:type="dxa"/>
          </w:tcPr>
          <w:p w14:paraId="47A8BA07"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1F06C8">
              <w:rPr>
                <w:rFonts w:cs="Arial"/>
                <w:b/>
                <w:bCs/>
                <w:color w:val="000000" w:themeColor="text1"/>
                <w:sz w:val="20"/>
                <w:szCs w:val="20"/>
              </w:rPr>
              <w:t>2024</w:t>
            </w:r>
          </w:p>
          <w:p w14:paraId="2EF58592"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tl/>
                <w:lang w:bidi="ar-YE"/>
              </w:rPr>
              <w:t>£’000</w:t>
            </w:r>
          </w:p>
        </w:tc>
      </w:tr>
      <w:tr w:rsidR="001F06C8" w:rsidRPr="001F06C8" w14:paraId="0C11F698" w14:textId="77777777" w:rsidTr="001F06C8">
        <w:trPr>
          <w:trHeight w:val="283"/>
        </w:trPr>
        <w:tc>
          <w:tcPr>
            <w:tcW w:w="5098" w:type="dxa"/>
          </w:tcPr>
          <w:p w14:paraId="7BAF04C9"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61-90 days</w:t>
            </w:r>
          </w:p>
        </w:tc>
        <w:tc>
          <w:tcPr>
            <w:tcW w:w="1701" w:type="dxa"/>
          </w:tcPr>
          <w:p w14:paraId="0457927A"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w:t>
            </w:r>
          </w:p>
        </w:tc>
        <w:tc>
          <w:tcPr>
            <w:tcW w:w="1701" w:type="dxa"/>
          </w:tcPr>
          <w:p w14:paraId="2E9B04C0"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w:t>
            </w:r>
          </w:p>
        </w:tc>
      </w:tr>
      <w:tr w:rsidR="001F06C8" w:rsidRPr="001F06C8" w14:paraId="22327A2D" w14:textId="77777777" w:rsidTr="001F06C8">
        <w:trPr>
          <w:trHeight w:val="283"/>
        </w:trPr>
        <w:tc>
          <w:tcPr>
            <w:tcW w:w="5098" w:type="dxa"/>
          </w:tcPr>
          <w:p w14:paraId="282DEB94"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91-120 days</w:t>
            </w:r>
          </w:p>
        </w:tc>
        <w:tc>
          <w:tcPr>
            <w:tcW w:w="1701" w:type="dxa"/>
          </w:tcPr>
          <w:p w14:paraId="04B355C0" w14:textId="77777777" w:rsidR="001F06C8" w:rsidRPr="001F06C8" w:rsidRDefault="001F06C8" w:rsidP="001F06C8">
            <w:pPr>
              <w:tabs>
                <w:tab w:val="decimal" w:pos="1122"/>
              </w:tabs>
              <w:autoSpaceDE w:val="0"/>
              <w:autoSpaceDN w:val="0"/>
              <w:adjustRightInd w:val="0"/>
              <w:spacing w:line="288" w:lineRule="auto"/>
              <w:ind w:left="420"/>
              <w:jc w:val="right"/>
              <w:textAlignment w:val="center"/>
              <w:rPr>
                <w:rFonts w:cs="Arial"/>
                <w:color w:val="000000" w:themeColor="text1"/>
                <w:sz w:val="20"/>
                <w:szCs w:val="20"/>
              </w:rPr>
            </w:pPr>
            <w:r w:rsidRPr="001F06C8">
              <w:rPr>
                <w:rFonts w:cs="Arial"/>
                <w:color w:val="000000" w:themeColor="text1"/>
                <w:sz w:val="20"/>
                <w:szCs w:val="20"/>
              </w:rPr>
              <w:t>94</w:t>
            </w:r>
          </w:p>
        </w:tc>
        <w:tc>
          <w:tcPr>
            <w:tcW w:w="1701" w:type="dxa"/>
          </w:tcPr>
          <w:p w14:paraId="6EED5714" w14:textId="77777777" w:rsidR="001F06C8" w:rsidRPr="001F06C8" w:rsidRDefault="001F06C8" w:rsidP="001F06C8">
            <w:pPr>
              <w:tabs>
                <w:tab w:val="decimal" w:pos="1122"/>
              </w:tabs>
              <w:autoSpaceDE w:val="0"/>
              <w:autoSpaceDN w:val="0"/>
              <w:adjustRightInd w:val="0"/>
              <w:spacing w:line="288" w:lineRule="auto"/>
              <w:ind w:left="420"/>
              <w:jc w:val="right"/>
              <w:textAlignment w:val="center"/>
              <w:rPr>
                <w:rFonts w:cs="Arial"/>
                <w:color w:val="000000" w:themeColor="text1"/>
                <w:sz w:val="20"/>
                <w:szCs w:val="20"/>
              </w:rPr>
            </w:pPr>
            <w:r w:rsidRPr="001F06C8">
              <w:rPr>
                <w:rFonts w:cs="Arial"/>
                <w:color w:val="000000" w:themeColor="text1"/>
                <w:sz w:val="20"/>
                <w:szCs w:val="20"/>
              </w:rPr>
              <w:t>12</w:t>
            </w:r>
          </w:p>
        </w:tc>
      </w:tr>
      <w:tr w:rsidR="001F06C8" w:rsidRPr="001F06C8" w14:paraId="0A001AB5" w14:textId="77777777" w:rsidTr="001F06C8">
        <w:trPr>
          <w:trHeight w:val="283"/>
        </w:trPr>
        <w:tc>
          <w:tcPr>
            <w:tcW w:w="5098" w:type="dxa"/>
          </w:tcPr>
          <w:p w14:paraId="0585D702"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color w:val="000000" w:themeColor="text1"/>
                <w:sz w:val="20"/>
                <w:szCs w:val="20"/>
              </w:rPr>
              <w:t>121+ days</w:t>
            </w:r>
          </w:p>
        </w:tc>
        <w:tc>
          <w:tcPr>
            <w:tcW w:w="1701" w:type="dxa"/>
          </w:tcPr>
          <w:p w14:paraId="7A962637"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108</w:t>
            </w:r>
          </w:p>
        </w:tc>
        <w:tc>
          <w:tcPr>
            <w:tcW w:w="1701" w:type="dxa"/>
          </w:tcPr>
          <w:p w14:paraId="6D44F88D"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color w:val="000000" w:themeColor="text1"/>
                <w:sz w:val="20"/>
                <w:szCs w:val="20"/>
              </w:rPr>
              <w:t>189</w:t>
            </w:r>
          </w:p>
        </w:tc>
      </w:tr>
      <w:tr w:rsidR="001F06C8" w:rsidRPr="001F06C8" w14:paraId="63716E99" w14:textId="77777777" w:rsidTr="001F06C8">
        <w:trPr>
          <w:trHeight w:val="283"/>
        </w:trPr>
        <w:tc>
          <w:tcPr>
            <w:tcW w:w="5098" w:type="dxa"/>
          </w:tcPr>
          <w:p w14:paraId="410D515E" w14:textId="77777777" w:rsidR="001F06C8" w:rsidRPr="001F06C8" w:rsidRDefault="001F06C8" w:rsidP="001F06C8">
            <w:pPr>
              <w:autoSpaceDE w:val="0"/>
              <w:autoSpaceDN w:val="0"/>
              <w:adjustRightInd w:val="0"/>
              <w:spacing w:line="288" w:lineRule="auto"/>
              <w:textAlignment w:val="center"/>
              <w:rPr>
                <w:rFonts w:cs="Arial"/>
                <w:color w:val="000000" w:themeColor="text1"/>
                <w:sz w:val="20"/>
                <w:szCs w:val="20"/>
              </w:rPr>
            </w:pPr>
            <w:r w:rsidRPr="001F06C8">
              <w:rPr>
                <w:rFonts w:cs="Arial"/>
                <w:b/>
                <w:bCs/>
                <w:color w:val="000000" w:themeColor="text1"/>
                <w:sz w:val="20"/>
                <w:szCs w:val="20"/>
              </w:rPr>
              <w:t>Total</w:t>
            </w:r>
          </w:p>
        </w:tc>
        <w:tc>
          <w:tcPr>
            <w:tcW w:w="1701" w:type="dxa"/>
          </w:tcPr>
          <w:p w14:paraId="36F76528"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Pr>
              <w:t>202</w:t>
            </w:r>
          </w:p>
        </w:tc>
        <w:tc>
          <w:tcPr>
            <w:tcW w:w="1701" w:type="dxa"/>
          </w:tcPr>
          <w:p w14:paraId="4BF0797C" w14:textId="77777777" w:rsidR="001F06C8" w:rsidRPr="001F06C8" w:rsidRDefault="001F06C8" w:rsidP="001F06C8">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1F06C8">
              <w:rPr>
                <w:rFonts w:cs="Arial"/>
                <w:b/>
                <w:bCs/>
                <w:color w:val="000000" w:themeColor="text1"/>
                <w:sz w:val="20"/>
                <w:szCs w:val="20"/>
              </w:rPr>
              <w:t>201</w:t>
            </w:r>
          </w:p>
        </w:tc>
      </w:tr>
    </w:tbl>
    <w:p w14:paraId="747E8421" w14:textId="77777777" w:rsidR="00C251B0" w:rsidRDefault="00C251B0" w:rsidP="00C251B0">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ascii="Axiforma Light" w:hAnsi="Axiforma Light" w:cs="Axiforma Light"/>
          <w:color w:val="000000"/>
          <w:sz w:val="16"/>
          <w:szCs w:val="16"/>
        </w:rPr>
      </w:pPr>
    </w:p>
    <w:p w14:paraId="7071B2D7" w14:textId="77777777" w:rsidR="00C251B0" w:rsidRDefault="00C251B0">
      <w:pPr>
        <w:spacing w:line="240" w:lineRule="auto"/>
      </w:pPr>
      <w:r>
        <w:br w:type="page"/>
      </w:r>
    </w:p>
    <w:p w14:paraId="24585999" w14:textId="48FB6C2C" w:rsidR="00C251B0" w:rsidRDefault="00C251B0" w:rsidP="00C251B0">
      <w:r w:rsidRPr="00C251B0">
        <w:lastRenderedPageBreak/>
        <w:t>The Directors consider that the carrying amount of trade and other receivables is approximately equal to their fair value.</w:t>
      </w:r>
    </w:p>
    <w:tbl>
      <w:tblPr>
        <w:tblStyle w:val="TableGrid"/>
        <w:tblW w:w="0" w:type="auto"/>
        <w:tblLayout w:type="fixed"/>
        <w:tblLook w:val="0000" w:firstRow="0" w:lastRow="0" w:firstColumn="0" w:lastColumn="0" w:noHBand="0" w:noVBand="0"/>
      </w:tblPr>
      <w:tblGrid>
        <w:gridCol w:w="5524"/>
        <w:gridCol w:w="1559"/>
        <w:gridCol w:w="1559"/>
      </w:tblGrid>
      <w:tr w:rsidR="00C251B0" w:rsidRPr="00C251B0" w14:paraId="4127F9AE" w14:textId="77777777" w:rsidTr="00C251B0">
        <w:trPr>
          <w:trHeight w:val="283"/>
        </w:trPr>
        <w:tc>
          <w:tcPr>
            <w:tcW w:w="5524" w:type="dxa"/>
          </w:tcPr>
          <w:p w14:paraId="42F04388" w14:textId="77777777" w:rsidR="00C251B0" w:rsidRPr="00C251B0" w:rsidRDefault="00C251B0" w:rsidP="00C251B0">
            <w:pPr>
              <w:rPr>
                <w:rFonts w:cs="Arial"/>
                <w:color w:val="000000"/>
                <w:sz w:val="20"/>
                <w:szCs w:val="20"/>
              </w:rPr>
            </w:pPr>
            <w:r w:rsidRPr="00C251B0">
              <w:rPr>
                <w:rFonts w:cs="Arial"/>
                <w:sz w:val="20"/>
                <w:szCs w:val="20"/>
              </w:rPr>
              <w:t>Company</w:t>
            </w:r>
          </w:p>
        </w:tc>
        <w:tc>
          <w:tcPr>
            <w:tcW w:w="1559" w:type="dxa"/>
          </w:tcPr>
          <w:p w14:paraId="165BA2CF" w14:textId="77777777" w:rsidR="00C251B0" w:rsidRPr="00C251B0" w:rsidRDefault="00C251B0" w:rsidP="00C251B0">
            <w:pPr>
              <w:rPr>
                <w:rFonts w:cs="Arial"/>
                <w:sz w:val="20"/>
                <w:szCs w:val="20"/>
              </w:rPr>
            </w:pPr>
            <w:r w:rsidRPr="00C251B0">
              <w:rPr>
                <w:rFonts w:cs="Arial"/>
                <w:sz w:val="20"/>
                <w:szCs w:val="20"/>
              </w:rPr>
              <w:t>2025</w:t>
            </w:r>
          </w:p>
          <w:p w14:paraId="54818FFA" w14:textId="77777777" w:rsidR="00C251B0" w:rsidRPr="00C251B0" w:rsidRDefault="00C251B0" w:rsidP="00C251B0">
            <w:pPr>
              <w:rPr>
                <w:rFonts w:cs="Arial"/>
                <w:color w:val="000000"/>
                <w:sz w:val="20"/>
                <w:szCs w:val="20"/>
              </w:rPr>
            </w:pPr>
            <w:r w:rsidRPr="00C251B0">
              <w:rPr>
                <w:rFonts w:cs="Arial"/>
                <w:sz w:val="20"/>
                <w:szCs w:val="20"/>
                <w:rtl/>
                <w:lang w:bidi="ar-YE"/>
              </w:rPr>
              <w:t>£’000</w:t>
            </w:r>
          </w:p>
        </w:tc>
        <w:tc>
          <w:tcPr>
            <w:tcW w:w="1559" w:type="dxa"/>
          </w:tcPr>
          <w:p w14:paraId="097D4D2E" w14:textId="77777777" w:rsidR="00C251B0" w:rsidRPr="00C251B0" w:rsidRDefault="00C251B0" w:rsidP="00C251B0">
            <w:pPr>
              <w:rPr>
                <w:rFonts w:cs="Arial"/>
                <w:sz w:val="20"/>
                <w:szCs w:val="20"/>
              </w:rPr>
            </w:pPr>
            <w:r w:rsidRPr="00C251B0">
              <w:rPr>
                <w:rFonts w:cs="Arial"/>
                <w:sz w:val="20"/>
                <w:szCs w:val="20"/>
              </w:rPr>
              <w:t>2024</w:t>
            </w:r>
          </w:p>
          <w:p w14:paraId="27068BA5" w14:textId="77777777" w:rsidR="00C251B0" w:rsidRPr="00C251B0" w:rsidRDefault="00C251B0" w:rsidP="00C251B0">
            <w:pPr>
              <w:rPr>
                <w:rFonts w:cs="Arial"/>
                <w:color w:val="000000"/>
                <w:sz w:val="20"/>
                <w:szCs w:val="20"/>
              </w:rPr>
            </w:pPr>
            <w:r w:rsidRPr="00C251B0">
              <w:rPr>
                <w:rFonts w:cs="Arial"/>
                <w:sz w:val="20"/>
                <w:szCs w:val="20"/>
                <w:rtl/>
                <w:lang w:bidi="ar-YE"/>
              </w:rPr>
              <w:t>£’000</w:t>
            </w:r>
          </w:p>
        </w:tc>
      </w:tr>
      <w:tr w:rsidR="00C251B0" w:rsidRPr="00C251B0" w14:paraId="4220475E" w14:textId="77777777" w:rsidTr="00C251B0">
        <w:trPr>
          <w:trHeight w:val="283"/>
        </w:trPr>
        <w:tc>
          <w:tcPr>
            <w:tcW w:w="5524" w:type="dxa"/>
          </w:tcPr>
          <w:p w14:paraId="35A25FA7" w14:textId="77777777" w:rsidR="00C251B0" w:rsidRPr="00C251B0" w:rsidRDefault="00C251B0" w:rsidP="00C251B0">
            <w:pPr>
              <w:rPr>
                <w:rFonts w:cs="Arial"/>
                <w:color w:val="000000"/>
                <w:sz w:val="20"/>
                <w:szCs w:val="20"/>
              </w:rPr>
            </w:pPr>
            <w:r w:rsidRPr="00C251B0">
              <w:rPr>
                <w:rFonts w:cs="Arial"/>
                <w:color w:val="000000"/>
                <w:sz w:val="20"/>
                <w:szCs w:val="20"/>
              </w:rPr>
              <w:t>Trade receivables</w:t>
            </w:r>
          </w:p>
        </w:tc>
        <w:tc>
          <w:tcPr>
            <w:tcW w:w="1559" w:type="dxa"/>
          </w:tcPr>
          <w:p w14:paraId="313C6289" w14:textId="77777777" w:rsidR="00C251B0" w:rsidRPr="00C251B0" w:rsidRDefault="00C251B0" w:rsidP="00C251B0">
            <w:pPr>
              <w:rPr>
                <w:rFonts w:cs="Arial"/>
                <w:color w:val="000000"/>
                <w:sz w:val="20"/>
                <w:szCs w:val="20"/>
              </w:rPr>
            </w:pPr>
            <w:r w:rsidRPr="00C251B0">
              <w:rPr>
                <w:rFonts w:cs="Arial"/>
                <w:color w:val="000000"/>
                <w:sz w:val="20"/>
                <w:szCs w:val="20"/>
              </w:rPr>
              <w:t>562</w:t>
            </w:r>
          </w:p>
        </w:tc>
        <w:tc>
          <w:tcPr>
            <w:tcW w:w="1559" w:type="dxa"/>
          </w:tcPr>
          <w:p w14:paraId="749CE594" w14:textId="77777777" w:rsidR="00C251B0" w:rsidRPr="00C251B0" w:rsidRDefault="00C251B0" w:rsidP="00C251B0">
            <w:pPr>
              <w:rPr>
                <w:rFonts w:cs="Arial"/>
                <w:color w:val="000000"/>
                <w:sz w:val="20"/>
                <w:szCs w:val="20"/>
              </w:rPr>
            </w:pPr>
            <w:r w:rsidRPr="00C251B0">
              <w:rPr>
                <w:rFonts w:cs="Arial"/>
                <w:color w:val="000000"/>
                <w:sz w:val="20"/>
                <w:szCs w:val="20"/>
              </w:rPr>
              <w:t>448</w:t>
            </w:r>
          </w:p>
        </w:tc>
      </w:tr>
      <w:tr w:rsidR="00C251B0" w:rsidRPr="00C251B0" w14:paraId="160E9DF0" w14:textId="77777777" w:rsidTr="00C251B0">
        <w:trPr>
          <w:trHeight w:val="283"/>
        </w:trPr>
        <w:tc>
          <w:tcPr>
            <w:tcW w:w="5524" w:type="dxa"/>
          </w:tcPr>
          <w:p w14:paraId="6B5EAA80" w14:textId="77777777" w:rsidR="00C251B0" w:rsidRPr="00C251B0" w:rsidRDefault="00C251B0" w:rsidP="00C251B0">
            <w:pPr>
              <w:rPr>
                <w:rFonts w:cs="Arial"/>
                <w:color w:val="000000"/>
                <w:sz w:val="20"/>
                <w:szCs w:val="20"/>
              </w:rPr>
            </w:pPr>
            <w:r w:rsidRPr="00C251B0">
              <w:rPr>
                <w:rFonts w:cs="Arial"/>
                <w:color w:val="000000"/>
                <w:sz w:val="20"/>
                <w:szCs w:val="20"/>
              </w:rPr>
              <w:t>Other debtors</w:t>
            </w:r>
          </w:p>
        </w:tc>
        <w:tc>
          <w:tcPr>
            <w:tcW w:w="1559" w:type="dxa"/>
          </w:tcPr>
          <w:p w14:paraId="29BFEA09" w14:textId="77777777" w:rsidR="00C251B0" w:rsidRPr="00C251B0" w:rsidRDefault="00C251B0" w:rsidP="00C251B0">
            <w:pPr>
              <w:rPr>
                <w:rFonts w:cs="Arial"/>
                <w:color w:val="000000"/>
                <w:sz w:val="20"/>
                <w:szCs w:val="20"/>
              </w:rPr>
            </w:pPr>
            <w:r w:rsidRPr="00C251B0">
              <w:rPr>
                <w:rFonts w:cs="Arial"/>
                <w:color w:val="000000"/>
                <w:sz w:val="20"/>
                <w:szCs w:val="20"/>
              </w:rPr>
              <w:t>477</w:t>
            </w:r>
          </w:p>
        </w:tc>
        <w:tc>
          <w:tcPr>
            <w:tcW w:w="1559" w:type="dxa"/>
          </w:tcPr>
          <w:p w14:paraId="42822693" w14:textId="77777777" w:rsidR="00C251B0" w:rsidRPr="00C251B0" w:rsidRDefault="00C251B0" w:rsidP="00C251B0">
            <w:pPr>
              <w:rPr>
                <w:rFonts w:cs="Arial"/>
                <w:color w:val="000000"/>
                <w:sz w:val="20"/>
                <w:szCs w:val="20"/>
              </w:rPr>
            </w:pPr>
            <w:r w:rsidRPr="00C251B0">
              <w:rPr>
                <w:rFonts w:cs="Arial"/>
                <w:color w:val="000000"/>
                <w:sz w:val="20"/>
                <w:szCs w:val="20"/>
              </w:rPr>
              <w:t>4,644</w:t>
            </w:r>
          </w:p>
        </w:tc>
      </w:tr>
      <w:tr w:rsidR="00C251B0" w:rsidRPr="00C251B0" w14:paraId="6670FC26" w14:textId="77777777" w:rsidTr="00C251B0">
        <w:trPr>
          <w:trHeight w:val="283"/>
        </w:trPr>
        <w:tc>
          <w:tcPr>
            <w:tcW w:w="5524" w:type="dxa"/>
          </w:tcPr>
          <w:p w14:paraId="49CDAD12" w14:textId="77777777" w:rsidR="00C251B0" w:rsidRPr="00C251B0" w:rsidRDefault="00C251B0" w:rsidP="00C251B0">
            <w:pPr>
              <w:rPr>
                <w:rFonts w:cs="Arial"/>
                <w:color w:val="000000"/>
                <w:sz w:val="20"/>
                <w:szCs w:val="20"/>
              </w:rPr>
            </w:pPr>
            <w:proofErr w:type="gramStart"/>
            <w:r w:rsidRPr="00C251B0">
              <w:rPr>
                <w:rFonts w:cs="Arial"/>
                <w:color w:val="000000"/>
                <w:sz w:val="20"/>
                <w:szCs w:val="20"/>
              </w:rPr>
              <w:t>Grants</w:t>
            </w:r>
            <w:proofErr w:type="gramEnd"/>
            <w:r w:rsidRPr="00C251B0">
              <w:rPr>
                <w:rFonts w:cs="Arial"/>
                <w:color w:val="000000"/>
                <w:sz w:val="20"/>
                <w:szCs w:val="20"/>
              </w:rPr>
              <w:t xml:space="preserve"> receivable</w:t>
            </w:r>
          </w:p>
        </w:tc>
        <w:tc>
          <w:tcPr>
            <w:tcW w:w="1559" w:type="dxa"/>
          </w:tcPr>
          <w:p w14:paraId="72755DCF" w14:textId="77777777" w:rsidR="00C251B0" w:rsidRPr="00C251B0" w:rsidRDefault="00C251B0" w:rsidP="00C251B0">
            <w:pPr>
              <w:rPr>
                <w:rFonts w:cs="Arial"/>
                <w:color w:val="000000"/>
                <w:sz w:val="20"/>
                <w:szCs w:val="20"/>
              </w:rPr>
            </w:pPr>
            <w:r w:rsidRPr="00C251B0">
              <w:rPr>
                <w:rFonts w:cs="Arial"/>
                <w:color w:val="000000"/>
                <w:sz w:val="20"/>
                <w:szCs w:val="20"/>
              </w:rPr>
              <w:t>14,022</w:t>
            </w:r>
          </w:p>
        </w:tc>
        <w:tc>
          <w:tcPr>
            <w:tcW w:w="1559" w:type="dxa"/>
          </w:tcPr>
          <w:p w14:paraId="1B9CB8F9" w14:textId="77777777" w:rsidR="00C251B0" w:rsidRPr="00C251B0" w:rsidRDefault="00C251B0" w:rsidP="00C251B0">
            <w:pPr>
              <w:rPr>
                <w:rFonts w:cs="Arial"/>
                <w:color w:val="000000"/>
                <w:sz w:val="20"/>
                <w:szCs w:val="20"/>
              </w:rPr>
            </w:pPr>
            <w:r w:rsidRPr="00C251B0">
              <w:rPr>
                <w:rFonts w:cs="Arial"/>
                <w:color w:val="000000"/>
                <w:sz w:val="20"/>
                <w:szCs w:val="20"/>
              </w:rPr>
              <w:t>12,287</w:t>
            </w:r>
          </w:p>
        </w:tc>
      </w:tr>
      <w:tr w:rsidR="00C251B0" w:rsidRPr="00C251B0" w14:paraId="2A7EC67D" w14:textId="77777777" w:rsidTr="00C251B0">
        <w:trPr>
          <w:trHeight w:val="283"/>
        </w:trPr>
        <w:tc>
          <w:tcPr>
            <w:tcW w:w="5524" w:type="dxa"/>
          </w:tcPr>
          <w:p w14:paraId="178639E4" w14:textId="77777777" w:rsidR="00C251B0" w:rsidRPr="00C251B0" w:rsidRDefault="00C251B0" w:rsidP="00C251B0">
            <w:pPr>
              <w:rPr>
                <w:rFonts w:cs="Arial"/>
                <w:color w:val="000000"/>
                <w:sz w:val="20"/>
                <w:szCs w:val="20"/>
              </w:rPr>
            </w:pPr>
            <w:r w:rsidRPr="00C251B0">
              <w:rPr>
                <w:rFonts w:cs="Arial"/>
                <w:color w:val="000000"/>
                <w:sz w:val="20"/>
                <w:szCs w:val="20"/>
              </w:rPr>
              <w:t>Amounts receivable from Group undertakings</w:t>
            </w:r>
          </w:p>
        </w:tc>
        <w:tc>
          <w:tcPr>
            <w:tcW w:w="1559" w:type="dxa"/>
          </w:tcPr>
          <w:p w14:paraId="13678B84" w14:textId="77777777" w:rsidR="00C251B0" w:rsidRPr="00C251B0" w:rsidRDefault="00C251B0" w:rsidP="00C251B0">
            <w:pPr>
              <w:rPr>
                <w:rFonts w:cs="Arial"/>
                <w:color w:val="000000"/>
                <w:sz w:val="20"/>
                <w:szCs w:val="20"/>
              </w:rPr>
            </w:pPr>
            <w:r w:rsidRPr="00C251B0">
              <w:rPr>
                <w:rFonts w:cs="Arial"/>
                <w:color w:val="000000"/>
                <w:sz w:val="20"/>
                <w:szCs w:val="20"/>
              </w:rPr>
              <w:t>297,363</w:t>
            </w:r>
          </w:p>
        </w:tc>
        <w:tc>
          <w:tcPr>
            <w:tcW w:w="1559" w:type="dxa"/>
          </w:tcPr>
          <w:p w14:paraId="065FF676" w14:textId="77777777" w:rsidR="00C251B0" w:rsidRPr="00C251B0" w:rsidRDefault="00C251B0" w:rsidP="00C251B0">
            <w:pPr>
              <w:rPr>
                <w:rFonts w:cs="Arial"/>
                <w:color w:val="000000"/>
                <w:sz w:val="20"/>
                <w:szCs w:val="20"/>
              </w:rPr>
            </w:pPr>
            <w:r w:rsidRPr="00C251B0">
              <w:rPr>
                <w:rFonts w:cs="Arial"/>
                <w:color w:val="000000"/>
                <w:sz w:val="20"/>
                <w:szCs w:val="20"/>
              </w:rPr>
              <w:t>210,975</w:t>
            </w:r>
          </w:p>
        </w:tc>
      </w:tr>
      <w:tr w:rsidR="00C251B0" w:rsidRPr="00C251B0" w14:paraId="67B7BACC" w14:textId="77777777" w:rsidTr="00C251B0">
        <w:trPr>
          <w:trHeight w:val="283"/>
        </w:trPr>
        <w:tc>
          <w:tcPr>
            <w:tcW w:w="5524" w:type="dxa"/>
          </w:tcPr>
          <w:p w14:paraId="5C917709" w14:textId="77777777" w:rsidR="00C251B0" w:rsidRPr="00C251B0" w:rsidRDefault="00C251B0" w:rsidP="00C251B0">
            <w:pPr>
              <w:rPr>
                <w:rFonts w:cs="Arial"/>
                <w:color w:val="000000"/>
                <w:sz w:val="20"/>
                <w:szCs w:val="20"/>
              </w:rPr>
            </w:pPr>
            <w:r w:rsidRPr="00C251B0">
              <w:rPr>
                <w:rFonts w:cs="Arial"/>
                <w:color w:val="000000"/>
                <w:sz w:val="20"/>
                <w:szCs w:val="20"/>
              </w:rPr>
              <w:t>Prepayments and accrued income</w:t>
            </w:r>
          </w:p>
        </w:tc>
        <w:tc>
          <w:tcPr>
            <w:tcW w:w="1559" w:type="dxa"/>
          </w:tcPr>
          <w:p w14:paraId="53907500" w14:textId="77777777" w:rsidR="00C251B0" w:rsidRPr="00C251B0" w:rsidRDefault="00C251B0" w:rsidP="00C251B0">
            <w:pPr>
              <w:rPr>
                <w:rFonts w:cs="Arial"/>
                <w:color w:val="000000"/>
                <w:sz w:val="20"/>
                <w:szCs w:val="20"/>
              </w:rPr>
            </w:pPr>
            <w:r w:rsidRPr="00C251B0">
              <w:rPr>
                <w:rFonts w:cs="Arial"/>
                <w:color w:val="000000"/>
                <w:sz w:val="20"/>
                <w:szCs w:val="20"/>
              </w:rPr>
              <w:t>273</w:t>
            </w:r>
          </w:p>
        </w:tc>
        <w:tc>
          <w:tcPr>
            <w:tcW w:w="1559" w:type="dxa"/>
          </w:tcPr>
          <w:p w14:paraId="67E56DF2" w14:textId="77777777" w:rsidR="00C251B0" w:rsidRPr="00C251B0" w:rsidRDefault="00C251B0" w:rsidP="00C251B0">
            <w:pPr>
              <w:rPr>
                <w:rFonts w:cs="Arial"/>
                <w:color w:val="000000"/>
                <w:sz w:val="20"/>
                <w:szCs w:val="20"/>
              </w:rPr>
            </w:pPr>
            <w:r w:rsidRPr="00C251B0">
              <w:rPr>
                <w:rFonts w:cs="Arial"/>
                <w:color w:val="000000"/>
                <w:sz w:val="20"/>
                <w:szCs w:val="20"/>
              </w:rPr>
              <w:t>339</w:t>
            </w:r>
          </w:p>
        </w:tc>
      </w:tr>
      <w:tr w:rsidR="00C251B0" w:rsidRPr="00C251B0" w14:paraId="6E659730" w14:textId="77777777" w:rsidTr="00C251B0">
        <w:trPr>
          <w:trHeight w:val="283"/>
        </w:trPr>
        <w:tc>
          <w:tcPr>
            <w:tcW w:w="5524" w:type="dxa"/>
          </w:tcPr>
          <w:p w14:paraId="0E8614CE" w14:textId="77777777" w:rsidR="00C251B0" w:rsidRPr="00C251B0" w:rsidRDefault="00C251B0" w:rsidP="00C251B0">
            <w:pPr>
              <w:rPr>
                <w:rFonts w:cs="Arial"/>
                <w:color w:val="000000"/>
                <w:sz w:val="20"/>
                <w:szCs w:val="20"/>
              </w:rPr>
            </w:pPr>
          </w:p>
        </w:tc>
        <w:tc>
          <w:tcPr>
            <w:tcW w:w="1559" w:type="dxa"/>
          </w:tcPr>
          <w:p w14:paraId="48D8DD81" w14:textId="77777777" w:rsidR="00C251B0" w:rsidRPr="00C251B0" w:rsidRDefault="00C251B0" w:rsidP="00C251B0">
            <w:pPr>
              <w:rPr>
                <w:rFonts w:cs="Arial"/>
                <w:color w:val="000000"/>
                <w:sz w:val="20"/>
                <w:szCs w:val="20"/>
              </w:rPr>
            </w:pPr>
            <w:r w:rsidRPr="00C251B0">
              <w:rPr>
                <w:rFonts w:cs="Arial"/>
                <w:color w:val="000000"/>
                <w:sz w:val="20"/>
                <w:szCs w:val="20"/>
              </w:rPr>
              <w:t>312,697</w:t>
            </w:r>
          </w:p>
        </w:tc>
        <w:tc>
          <w:tcPr>
            <w:tcW w:w="1559" w:type="dxa"/>
          </w:tcPr>
          <w:p w14:paraId="42B68052" w14:textId="77777777" w:rsidR="00C251B0" w:rsidRPr="00C251B0" w:rsidRDefault="00C251B0" w:rsidP="00C251B0">
            <w:pPr>
              <w:rPr>
                <w:rFonts w:cs="Arial"/>
                <w:color w:val="000000"/>
                <w:sz w:val="20"/>
                <w:szCs w:val="20"/>
              </w:rPr>
            </w:pPr>
            <w:r w:rsidRPr="00C251B0">
              <w:rPr>
                <w:rFonts w:cs="Arial"/>
                <w:color w:val="000000"/>
                <w:sz w:val="20"/>
                <w:szCs w:val="20"/>
              </w:rPr>
              <w:t>228,693</w:t>
            </w:r>
          </w:p>
        </w:tc>
      </w:tr>
    </w:tbl>
    <w:p w14:paraId="6111012F" w14:textId="77777777" w:rsidR="00C251B0" w:rsidRDefault="00C251B0" w:rsidP="00C251B0"/>
    <w:p w14:paraId="69F3DA54" w14:textId="77777777" w:rsidR="00C251B0" w:rsidRPr="00C251B0" w:rsidRDefault="00C251B0" w:rsidP="00C251B0">
      <w:r w:rsidRPr="00C251B0">
        <w:t xml:space="preserve">Company trade debtors are stated after provisions of £151,000 (2024: £164,000).  </w:t>
      </w:r>
    </w:p>
    <w:p w14:paraId="4B0BB456" w14:textId="77777777" w:rsidR="00C251B0" w:rsidRPr="00C251B0" w:rsidRDefault="00C251B0" w:rsidP="00C251B0"/>
    <w:p w14:paraId="73C28C85" w14:textId="1B122FB2" w:rsidR="00C251B0" w:rsidRDefault="00C251B0" w:rsidP="00C251B0">
      <w:r w:rsidRPr="00C251B0">
        <w:t>Amounts due from Group undertakings are interest free, unsecured and repayable on demand.</w:t>
      </w:r>
    </w:p>
    <w:p w14:paraId="4DD88554" w14:textId="77777777" w:rsidR="00C251B0" w:rsidRDefault="00C251B0" w:rsidP="00C251B0"/>
    <w:p w14:paraId="64D97F76" w14:textId="77777777" w:rsidR="00C251B0" w:rsidRDefault="00C251B0" w:rsidP="003F4D72">
      <w:pPr>
        <w:pStyle w:val="Heading2"/>
      </w:pPr>
      <w:bookmarkStart w:id="292" w:name="_Toc213058724"/>
      <w:r w:rsidRPr="00C251B0">
        <w:t>16. Trade and Other Payables</w:t>
      </w:r>
      <w:bookmarkEnd w:id="292"/>
    </w:p>
    <w:tbl>
      <w:tblPr>
        <w:tblStyle w:val="TableGrid"/>
        <w:tblW w:w="0" w:type="auto"/>
        <w:tblLayout w:type="fixed"/>
        <w:tblLook w:val="0000" w:firstRow="0" w:lastRow="0" w:firstColumn="0" w:lastColumn="0" w:noHBand="0" w:noVBand="0"/>
      </w:tblPr>
      <w:tblGrid>
        <w:gridCol w:w="6817"/>
        <w:gridCol w:w="1517"/>
        <w:gridCol w:w="1521"/>
      </w:tblGrid>
      <w:tr w:rsidR="00C251B0" w:rsidRPr="00C251B0" w14:paraId="2225659F" w14:textId="77777777" w:rsidTr="00C251B0">
        <w:trPr>
          <w:trHeight w:val="340"/>
        </w:trPr>
        <w:tc>
          <w:tcPr>
            <w:tcW w:w="6817" w:type="dxa"/>
            <w:vAlign w:val="center"/>
          </w:tcPr>
          <w:p w14:paraId="4E541D45"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b/>
                <w:bCs/>
                <w:color w:val="000000" w:themeColor="text1"/>
                <w:sz w:val="20"/>
                <w:szCs w:val="20"/>
              </w:rPr>
              <w:t>Group</w:t>
            </w:r>
          </w:p>
        </w:tc>
        <w:tc>
          <w:tcPr>
            <w:tcW w:w="1517" w:type="dxa"/>
            <w:vAlign w:val="center"/>
          </w:tcPr>
          <w:p w14:paraId="0BF3C632"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2025</w:t>
            </w:r>
          </w:p>
          <w:p w14:paraId="220735BF"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c>
          <w:tcPr>
            <w:tcW w:w="1521" w:type="dxa"/>
            <w:vAlign w:val="center"/>
          </w:tcPr>
          <w:p w14:paraId="09A5A21A"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2024</w:t>
            </w:r>
          </w:p>
          <w:p w14:paraId="32487E63"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r>
      <w:tr w:rsidR="00C251B0" w:rsidRPr="00C251B0" w14:paraId="6C59A62C" w14:textId="77777777" w:rsidTr="00C251B0">
        <w:trPr>
          <w:trHeight w:val="340"/>
        </w:trPr>
        <w:tc>
          <w:tcPr>
            <w:tcW w:w="6817" w:type="dxa"/>
            <w:vAlign w:val="center"/>
          </w:tcPr>
          <w:p w14:paraId="0FB84D72"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Trade payables</w:t>
            </w:r>
          </w:p>
        </w:tc>
        <w:tc>
          <w:tcPr>
            <w:tcW w:w="1517" w:type="dxa"/>
            <w:vAlign w:val="center"/>
          </w:tcPr>
          <w:p w14:paraId="2C7FC93C"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14,832</w:t>
            </w:r>
          </w:p>
        </w:tc>
        <w:tc>
          <w:tcPr>
            <w:tcW w:w="1521" w:type="dxa"/>
            <w:vAlign w:val="center"/>
          </w:tcPr>
          <w:p w14:paraId="3D57CCD4"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11,576</w:t>
            </w:r>
          </w:p>
        </w:tc>
      </w:tr>
      <w:tr w:rsidR="00C251B0" w:rsidRPr="00C251B0" w14:paraId="5B3BC6A6" w14:textId="77777777" w:rsidTr="00C251B0">
        <w:trPr>
          <w:trHeight w:val="340"/>
        </w:trPr>
        <w:tc>
          <w:tcPr>
            <w:tcW w:w="6817" w:type="dxa"/>
            <w:vAlign w:val="center"/>
          </w:tcPr>
          <w:p w14:paraId="4648D8ED"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Other creditors</w:t>
            </w:r>
          </w:p>
        </w:tc>
        <w:tc>
          <w:tcPr>
            <w:tcW w:w="1517" w:type="dxa"/>
            <w:vAlign w:val="center"/>
          </w:tcPr>
          <w:p w14:paraId="73B6C7FF"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15,619</w:t>
            </w:r>
          </w:p>
        </w:tc>
        <w:tc>
          <w:tcPr>
            <w:tcW w:w="1521" w:type="dxa"/>
            <w:vAlign w:val="center"/>
          </w:tcPr>
          <w:p w14:paraId="462381EA"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16,462</w:t>
            </w:r>
          </w:p>
        </w:tc>
      </w:tr>
      <w:tr w:rsidR="00C251B0" w:rsidRPr="00C251B0" w14:paraId="7F1D4FF3" w14:textId="77777777" w:rsidTr="00C251B0">
        <w:trPr>
          <w:trHeight w:val="340"/>
        </w:trPr>
        <w:tc>
          <w:tcPr>
            <w:tcW w:w="6817" w:type="dxa"/>
            <w:vAlign w:val="center"/>
          </w:tcPr>
          <w:p w14:paraId="1F40A393"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Accruals and deferred income</w:t>
            </w:r>
          </w:p>
        </w:tc>
        <w:tc>
          <w:tcPr>
            <w:tcW w:w="1517" w:type="dxa"/>
            <w:vAlign w:val="center"/>
          </w:tcPr>
          <w:p w14:paraId="0DD00D01"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49,148</w:t>
            </w:r>
          </w:p>
        </w:tc>
        <w:tc>
          <w:tcPr>
            <w:tcW w:w="1521" w:type="dxa"/>
            <w:vAlign w:val="center"/>
          </w:tcPr>
          <w:p w14:paraId="018FA799"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77,277</w:t>
            </w:r>
          </w:p>
        </w:tc>
      </w:tr>
      <w:tr w:rsidR="00C251B0" w:rsidRPr="00C251B0" w14:paraId="5140E24B" w14:textId="77777777" w:rsidTr="00C251B0">
        <w:trPr>
          <w:trHeight w:val="340"/>
        </w:trPr>
        <w:tc>
          <w:tcPr>
            <w:tcW w:w="6817" w:type="dxa"/>
            <w:vAlign w:val="center"/>
          </w:tcPr>
          <w:p w14:paraId="22912666"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Capital Accruals</w:t>
            </w:r>
          </w:p>
        </w:tc>
        <w:tc>
          <w:tcPr>
            <w:tcW w:w="1517" w:type="dxa"/>
            <w:vAlign w:val="center"/>
          </w:tcPr>
          <w:p w14:paraId="357AE581"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34,037</w:t>
            </w:r>
          </w:p>
        </w:tc>
        <w:tc>
          <w:tcPr>
            <w:tcW w:w="1521" w:type="dxa"/>
            <w:vAlign w:val="center"/>
          </w:tcPr>
          <w:p w14:paraId="46C36685"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30,642</w:t>
            </w:r>
          </w:p>
        </w:tc>
      </w:tr>
      <w:tr w:rsidR="00C251B0" w:rsidRPr="00C251B0" w14:paraId="57358721" w14:textId="77777777" w:rsidTr="00C251B0">
        <w:trPr>
          <w:trHeight w:val="340"/>
        </w:trPr>
        <w:tc>
          <w:tcPr>
            <w:tcW w:w="6817" w:type="dxa"/>
            <w:vAlign w:val="center"/>
          </w:tcPr>
          <w:p w14:paraId="41363941" w14:textId="77777777" w:rsidR="00C251B0" w:rsidRPr="00C251B0" w:rsidRDefault="00C251B0" w:rsidP="00C251B0">
            <w:pPr>
              <w:autoSpaceDE w:val="0"/>
              <w:autoSpaceDN w:val="0"/>
              <w:adjustRightInd w:val="0"/>
              <w:spacing w:line="240" w:lineRule="auto"/>
              <w:rPr>
                <w:rFonts w:cs="Arial"/>
                <w:color w:val="000000" w:themeColor="text1"/>
                <w:sz w:val="20"/>
                <w:szCs w:val="20"/>
              </w:rPr>
            </w:pPr>
          </w:p>
        </w:tc>
        <w:tc>
          <w:tcPr>
            <w:tcW w:w="1517" w:type="dxa"/>
            <w:vAlign w:val="center"/>
          </w:tcPr>
          <w:p w14:paraId="583F3C91"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113,636</w:t>
            </w:r>
          </w:p>
        </w:tc>
        <w:tc>
          <w:tcPr>
            <w:tcW w:w="1521" w:type="dxa"/>
            <w:vAlign w:val="center"/>
          </w:tcPr>
          <w:p w14:paraId="0D036B3C"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135,957</w:t>
            </w:r>
          </w:p>
        </w:tc>
      </w:tr>
    </w:tbl>
    <w:p w14:paraId="1DE6ED81" w14:textId="77777777" w:rsidR="00C251B0" w:rsidRPr="00C251B0" w:rsidRDefault="00C251B0" w:rsidP="00C251B0">
      <w:pPr>
        <w:rPr>
          <w:rFonts w:cs="Arial"/>
        </w:rPr>
      </w:pPr>
    </w:p>
    <w:p w14:paraId="4DBF9613" w14:textId="77777777" w:rsidR="00C251B0" w:rsidRPr="00C251B0" w:rsidRDefault="00C251B0" w:rsidP="00C251B0">
      <w:pPr>
        <w:rPr>
          <w:rFonts w:cs="Arial"/>
          <w:color w:val="000000"/>
        </w:rPr>
      </w:pPr>
      <w:r w:rsidRPr="00C251B0">
        <w:rPr>
          <w:rFonts w:cs="Arial"/>
          <w:color w:val="000000"/>
        </w:rPr>
        <w:t>Included in other creditors is £4,797,000 (2024: £4,643,000) relating to outstanding contributions payable to the NILGOS Pension Scheme.</w:t>
      </w:r>
    </w:p>
    <w:p w14:paraId="49ED26DA" w14:textId="77777777" w:rsidR="00C251B0" w:rsidRPr="00C251B0" w:rsidRDefault="00C251B0" w:rsidP="00C251B0">
      <w:pPr>
        <w:rPr>
          <w:rFonts w:cs="Arial"/>
          <w:color w:val="000000"/>
        </w:rPr>
      </w:pPr>
    </w:p>
    <w:p w14:paraId="71B5E8DC" w14:textId="29F84BC5" w:rsidR="00C251B0" w:rsidRDefault="00C251B0" w:rsidP="00C251B0">
      <w:pPr>
        <w:rPr>
          <w:rFonts w:cs="Arial"/>
          <w:color w:val="000000"/>
        </w:rPr>
      </w:pPr>
      <w:r w:rsidRPr="00C251B0">
        <w:rPr>
          <w:rFonts w:cs="Arial"/>
          <w:color w:val="000000"/>
        </w:rPr>
        <w:t>Creditors are paid within 7 days of approval of invoice.</w:t>
      </w:r>
    </w:p>
    <w:p w14:paraId="22C4C991" w14:textId="77777777" w:rsidR="00C251B0" w:rsidRDefault="00C251B0" w:rsidP="00C251B0">
      <w:pPr>
        <w:rPr>
          <w:rFonts w:cs="Arial"/>
          <w:color w:val="000000"/>
        </w:rPr>
      </w:pPr>
    </w:p>
    <w:tbl>
      <w:tblPr>
        <w:tblStyle w:val="TableGrid"/>
        <w:tblW w:w="0" w:type="auto"/>
        <w:tblLayout w:type="fixed"/>
        <w:tblLook w:val="0000" w:firstRow="0" w:lastRow="0" w:firstColumn="0" w:lastColumn="0" w:noHBand="0" w:noVBand="0"/>
      </w:tblPr>
      <w:tblGrid>
        <w:gridCol w:w="6831"/>
        <w:gridCol w:w="1517"/>
        <w:gridCol w:w="1521"/>
      </w:tblGrid>
      <w:tr w:rsidR="00C251B0" w:rsidRPr="00C251B0" w14:paraId="37CC90C2" w14:textId="77777777" w:rsidTr="00C251B0">
        <w:trPr>
          <w:trHeight w:val="283"/>
        </w:trPr>
        <w:tc>
          <w:tcPr>
            <w:tcW w:w="6831" w:type="dxa"/>
          </w:tcPr>
          <w:p w14:paraId="64186B64"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b/>
                <w:bCs/>
                <w:color w:val="000000" w:themeColor="text1"/>
                <w:sz w:val="20"/>
                <w:szCs w:val="20"/>
              </w:rPr>
              <w:t>Company</w:t>
            </w:r>
          </w:p>
        </w:tc>
        <w:tc>
          <w:tcPr>
            <w:tcW w:w="1517" w:type="dxa"/>
          </w:tcPr>
          <w:p w14:paraId="17DCC3C8"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2025</w:t>
            </w:r>
          </w:p>
          <w:p w14:paraId="0B4F8B14"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c>
          <w:tcPr>
            <w:tcW w:w="1521" w:type="dxa"/>
          </w:tcPr>
          <w:p w14:paraId="05973352"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2024</w:t>
            </w:r>
          </w:p>
          <w:p w14:paraId="149874FB"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r>
      <w:tr w:rsidR="00C251B0" w:rsidRPr="00C251B0" w14:paraId="686B071E" w14:textId="77777777" w:rsidTr="00C251B0">
        <w:trPr>
          <w:trHeight w:val="283"/>
        </w:trPr>
        <w:tc>
          <w:tcPr>
            <w:tcW w:w="6831" w:type="dxa"/>
          </w:tcPr>
          <w:p w14:paraId="3DDA3892"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Other creditors</w:t>
            </w:r>
          </w:p>
        </w:tc>
        <w:tc>
          <w:tcPr>
            <w:tcW w:w="1517" w:type="dxa"/>
          </w:tcPr>
          <w:p w14:paraId="77B90790"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499</w:t>
            </w:r>
          </w:p>
        </w:tc>
        <w:tc>
          <w:tcPr>
            <w:tcW w:w="1521" w:type="dxa"/>
          </w:tcPr>
          <w:p w14:paraId="106406F1"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1,357</w:t>
            </w:r>
          </w:p>
        </w:tc>
      </w:tr>
      <w:tr w:rsidR="00C251B0" w:rsidRPr="00C251B0" w14:paraId="44881023" w14:textId="77777777" w:rsidTr="00C251B0">
        <w:trPr>
          <w:trHeight w:val="283"/>
        </w:trPr>
        <w:tc>
          <w:tcPr>
            <w:tcW w:w="6831" w:type="dxa"/>
          </w:tcPr>
          <w:p w14:paraId="6CFCF33F"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Amounts payable to Group undertakings</w:t>
            </w:r>
          </w:p>
        </w:tc>
        <w:tc>
          <w:tcPr>
            <w:tcW w:w="1517" w:type="dxa"/>
          </w:tcPr>
          <w:p w14:paraId="3F0CA090"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282,926</w:t>
            </w:r>
          </w:p>
        </w:tc>
        <w:tc>
          <w:tcPr>
            <w:tcW w:w="1521" w:type="dxa"/>
          </w:tcPr>
          <w:p w14:paraId="627884B5"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200,210</w:t>
            </w:r>
          </w:p>
        </w:tc>
      </w:tr>
      <w:tr w:rsidR="00C251B0" w:rsidRPr="00C251B0" w14:paraId="728944E5" w14:textId="77777777" w:rsidTr="00C251B0">
        <w:trPr>
          <w:trHeight w:val="283"/>
        </w:trPr>
        <w:tc>
          <w:tcPr>
            <w:tcW w:w="6831" w:type="dxa"/>
          </w:tcPr>
          <w:p w14:paraId="32DFD646"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Amounts payable to Group undertakings – group relief</w:t>
            </w:r>
          </w:p>
        </w:tc>
        <w:tc>
          <w:tcPr>
            <w:tcW w:w="1517" w:type="dxa"/>
          </w:tcPr>
          <w:p w14:paraId="502C00D0"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1,724</w:t>
            </w:r>
          </w:p>
        </w:tc>
        <w:tc>
          <w:tcPr>
            <w:tcW w:w="1521" w:type="dxa"/>
          </w:tcPr>
          <w:p w14:paraId="43280D0B"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1,335</w:t>
            </w:r>
          </w:p>
        </w:tc>
      </w:tr>
      <w:tr w:rsidR="00C251B0" w:rsidRPr="00C251B0" w14:paraId="0767ABB7" w14:textId="77777777" w:rsidTr="00C251B0">
        <w:trPr>
          <w:trHeight w:val="283"/>
        </w:trPr>
        <w:tc>
          <w:tcPr>
            <w:tcW w:w="6831" w:type="dxa"/>
          </w:tcPr>
          <w:p w14:paraId="17250698"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Accruals and deferred income</w:t>
            </w:r>
          </w:p>
        </w:tc>
        <w:tc>
          <w:tcPr>
            <w:tcW w:w="1517" w:type="dxa"/>
          </w:tcPr>
          <w:p w14:paraId="027AC35F"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1,694</w:t>
            </w:r>
          </w:p>
        </w:tc>
        <w:tc>
          <w:tcPr>
            <w:tcW w:w="1521" w:type="dxa"/>
          </w:tcPr>
          <w:p w14:paraId="3AA5D84C"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6,993</w:t>
            </w:r>
          </w:p>
        </w:tc>
      </w:tr>
      <w:tr w:rsidR="00C251B0" w:rsidRPr="00C251B0" w14:paraId="2CB786DE" w14:textId="77777777" w:rsidTr="00C251B0">
        <w:trPr>
          <w:trHeight w:val="283"/>
        </w:trPr>
        <w:tc>
          <w:tcPr>
            <w:tcW w:w="6831" w:type="dxa"/>
          </w:tcPr>
          <w:p w14:paraId="2F333644"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Capital Accruals</w:t>
            </w:r>
          </w:p>
        </w:tc>
        <w:tc>
          <w:tcPr>
            <w:tcW w:w="1517" w:type="dxa"/>
          </w:tcPr>
          <w:p w14:paraId="5AB59DAD"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12,565</w:t>
            </w:r>
          </w:p>
        </w:tc>
        <w:tc>
          <w:tcPr>
            <w:tcW w:w="1521" w:type="dxa"/>
          </w:tcPr>
          <w:p w14:paraId="046EE0ED"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5,670</w:t>
            </w:r>
          </w:p>
        </w:tc>
      </w:tr>
      <w:tr w:rsidR="00C251B0" w:rsidRPr="00C251B0" w14:paraId="3DF7976D" w14:textId="77777777" w:rsidTr="00C251B0">
        <w:trPr>
          <w:trHeight w:val="283"/>
        </w:trPr>
        <w:tc>
          <w:tcPr>
            <w:tcW w:w="6831" w:type="dxa"/>
          </w:tcPr>
          <w:p w14:paraId="17BDB0EB" w14:textId="77777777" w:rsidR="00C251B0" w:rsidRPr="00C251B0" w:rsidRDefault="00C251B0" w:rsidP="00C251B0">
            <w:pPr>
              <w:tabs>
                <w:tab w:val="left" w:pos="198"/>
              </w:tabs>
              <w:suppressAutoHyphens/>
              <w:autoSpaceDE w:val="0"/>
              <w:autoSpaceDN w:val="0"/>
              <w:adjustRightInd w:val="0"/>
              <w:spacing w:line="240" w:lineRule="auto"/>
              <w:textAlignment w:val="center"/>
              <w:rPr>
                <w:rFonts w:cs="Arial"/>
                <w:b/>
                <w:bCs/>
                <w:color w:val="000000" w:themeColor="text1"/>
                <w:sz w:val="20"/>
                <w:szCs w:val="20"/>
              </w:rPr>
            </w:pPr>
          </w:p>
        </w:tc>
        <w:tc>
          <w:tcPr>
            <w:tcW w:w="1517" w:type="dxa"/>
          </w:tcPr>
          <w:p w14:paraId="6338D8AC"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299,408</w:t>
            </w:r>
          </w:p>
        </w:tc>
        <w:tc>
          <w:tcPr>
            <w:tcW w:w="1521" w:type="dxa"/>
          </w:tcPr>
          <w:p w14:paraId="16DD2C42"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215,565</w:t>
            </w:r>
          </w:p>
        </w:tc>
      </w:tr>
    </w:tbl>
    <w:p w14:paraId="23056058" w14:textId="77777777" w:rsidR="00C251B0" w:rsidRPr="00C251B0" w:rsidRDefault="00C251B0" w:rsidP="00C251B0">
      <w:pPr>
        <w:rPr>
          <w:rFonts w:cs="Arial"/>
        </w:rPr>
      </w:pPr>
    </w:p>
    <w:p w14:paraId="2A3B179A" w14:textId="50F55878" w:rsidR="00C251B0" w:rsidRDefault="00C251B0">
      <w:pPr>
        <w:spacing w:line="240" w:lineRule="auto"/>
        <w:rPr>
          <w:rFonts w:cs="Arial"/>
          <w:b/>
          <w:bCs/>
          <w:color w:val="000000" w:themeColor="text1"/>
        </w:rPr>
      </w:pPr>
      <w:r>
        <w:rPr>
          <w:rFonts w:cs="Arial"/>
          <w:color w:val="000000" w:themeColor="text1"/>
        </w:rPr>
        <w:br w:type="page"/>
      </w:r>
    </w:p>
    <w:p w14:paraId="57A8F61F" w14:textId="77777777" w:rsidR="00C251B0" w:rsidRPr="00C251B0" w:rsidRDefault="00C251B0" w:rsidP="00C251B0">
      <w:pPr>
        <w:tabs>
          <w:tab w:val="left" w:pos="198"/>
        </w:tabs>
        <w:suppressAutoHyphens/>
        <w:autoSpaceDE w:val="0"/>
        <w:autoSpaceDN w:val="0"/>
        <w:adjustRightInd w:val="0"/>
        <w:spacing w:line="240" w:lineRule="atLeast"/>
        <w:textAlignment w:val="center"/>
        <w:rPr>
          <w:rFonts w:cs="Arial"/>
          <w:color w:val="000000"/>
        </w:rPr>
      </w:pPr>
      <w:r w:rsidRPr="00C251B0">
        <w:rPr>
          <w:rFonts w:cs="Arial"/>
          <w:color w:val="000000"/>
        </w:rPr>
        <w:lastRenderedPageBreak/>
        <w:t>Included in other creditors is £68,000 (2024: £57,565) relating to outstanding contributions payable to the NILGOS Pension Scheme.</w:t>
      </w:r>
    </w:p>
    <w:p w14:paraId="07F6DBE8" w14:textId="77777777" w:rsidR="00C251B0" w:rsidRPr="00C251B0" w:rsidRDefault="00C251B0" w:rsidP="00C251B0">
      <w:pPr>
        <w:tabs>
          <w:tab w:val="left" w:pos="198"/>
        </w:tabs>
        <w:suppressAutoHyphens/>
        <w:autoSpaceDE w:val="0"/>
        <w:autoSpaceDN w:val="0"/>
        <w:adjustRightInd w:val="0"/>
        <w:spacing w:line="240" w:lineRule="atLeast"/>
        <w:textAlignment w:val="center"/>
        <w:rPr>
          <w:rFonts w:cs="Arial"/>
          <w:color w:val="000000"/>
        </w:rPr>
      </w:pPr>
    </w:p>
    <w:p w14:paraId="245F0230" w14:textId="77777777" w:rsidR="00C251B0" w:rsidRPr="00C251B0" w:rsidRDefault="00C251B0" w:rsidP="00C251B0">
      <w:pPr>
        <w:tabs>
          <w:tab w:val="left" w:pos="198"/>
        </w:tabs>
        <w:suppressAutoHyphens/>
        <w:autoSpaceDE w:val="0"/>
        <w:autoSpaceDN w:val="0"/>
        <w:adjustRightInd w:val="0"/>
        <w:spacing w:line="240" w:lineRule="atLeast"/>
        <w:textAlignment w:val="center"/>
        <w:rPr>
          <w:rFonts w:cs="Arial"/>
          <w:color w:val="000000"/>
        </w:rPr>
      </w:pPr>
      <w:r w:rsidRPr="00C251B0">
        <w:rPr>
          <w:rFonts w:cs="Arial"/>
          <w:color w:val="000000"/>
        </w:rPr>
        <w:t>The Directors consider that the carrying amount of trade and other payables is approximately equal to their fair value.</w:t>
      </w:r>
    </w:p>
    <w:p w14:paraId="6BE3BA09" w14:textId="77777777" w:rsidR="00C251B0" w:rsidRPr="00C251B0" w:rsidRDefault="00C251B0" w:rsidP="00C251B0">
      <w:pPr>
        <w:tabs>
          <w:tab w:val="left" w:pos="198"/>
        </w:tabs>
        <w:suppressAutoHyphens/>
        <w:autoSpaceDE w:val="0"/>
        <w:autoSpaceDN w:val="0"/>
        <w:adjustRightInd w:val="0"/>
        <w:spacing w:line="240" w:lineRule="atLeast"/>
        <w:textAlignment w:val="center"/>
        <w:rPr>
          <w:rFonts w:cs="Arial"/>
          <w:color w:val="000000"/>
        </w:rPr>
      </w:pPr>
    </w:p>
    <w:p w14:paraId="6F4FCBB5" w14:textId="1A64D9DE" w:rsidR="001F06C8" w:rsidRPr="00C251B0" w:rsidRDefault="00C251B0" w:rsidP="00C251B0">
      <w:pPr>
        <w:pStyle w:val="SmallHeading"/>
        <w:tabs>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rPr>
          <w:rFonts w:ascii="Arial" w:hAnsi="Arial" w:cs="Arial"/>
          <w:color w:val="000000" w:themeColor="text1"/>
          <w:sz w:val="24"/>
          <w:szCs w:val="24"/>
        </w:rPr>
      </w:pPr>
      <w:r w:rsidRPr="00C251B0">
        <w:rPr>
          <w:rFonts w:ascii="Arial" w:hAnsi="Arial" w:cs="Arial"/>
          <w:b w:val="0"/>
          <w:bCs w:val="0"/>
          <w:color w:val="000000"/>
          <w:sz w:val="24"/>
          <w:szCs w:val="24"/>
        </w:rPr>
        <w:t>Amounts payable to Group undertakings are interest free, unsecured and repayable on demand.</w:t>
      </w:r>
    </w:p>
    <w:p w14:paraId="7BC9F339" w14:textId="77777777" w:rsidR="00983B4F" w:rsidRPr="006675EF" w:rsidRDefault="00983B4F" w:rsidP="006675EF">
      <w:pPr>
        <w:rPr>
          <w:rFonts w:cs="Arial"/>
          <w:b/>
          <w:bCs/>
          <w:color w:val="000000" w:themeColor="text1"/>
        </w:rPr>
      </w:pPr>
    </w:p>
    <w:p w14:paraId="093F926A" w14:textId="77777777" w:rsidR="00C251B0" w:rsidRPr="00C251B0" w:rsidRDefault="00C251B0" w:rsidP="003F4D72">
      <w:pPr>
        <w:pStyle w:val="Heading2"/>
      </w:pPr>
      <w:bookmarkStart w:id="293" w:name="_Toc213058725"/>
      <w:r w:rsidRPr="00C251B0">
        <w:t>17. Provisions</w:t>
      </w:r>
      <w:bookmarkEnd w:id="293"/>
    </w:p>
    <w:tbl>
      <w:tblPr>
        <w:tblStyle w:val="TableGrid"/>
        <w:tblW w:w="0" w:type="auto"/>
        <w:tblLayout w:type="fixed"/>
        <w:tblLook w:val="0000" w:firstRow="0" w:lastRow="0" w:firstColumn="0" w:lastColumn="0" w:noHBand="0" w:noVBand="0"/>
      </w:tblPr>
      <w:tblGrid>
        <w:gridCol w:w="3753"/>
        <w:gridCol w:w="1541"/>
        <w:gridCol w:w="1516"/>
        <w:gridCol w:w="1531"/>
        <w:gridCol w:w="1521"/>
      </w:tblGrid>
      <w:tr w:rsidR="00C251B0" w:rsidRPr="00C251B0" w14:paraId="62E71057" w14:textId="77777777" w:rsidTr="00C251B0">
        <w:trPr>
          <w:trHeight w:val="283"/>
        </w:trPr>
        <w:tc>
          <w:tcPr>
            <w:tcW w:w="3753" w:type="dxa"/>
          </w:tcPr>
          <w:p w14:paraId="4A30A8B0" w14:textId="77777777" w:rsidR="00C251B0" w:rsidRPr="00C251B0" w:rsidRDefault="00C251B0" w:rsidP="00C251B0">
            <w:pPr>
              <w:tabs>
                <w:tab w:val="left" w:pos="198"/>
              </w:tabs>
              <w:suppressAutoHyphens/>
              <w:autoSpaceDE w:val="0"/>
              <w:autoSpaceDN w:val="0"/>
              <w:adjustRightInd w:val="0"/>
              <w:spacing w:line="240" w:lineRule="auto"/>
              <w:textAlignment w:val="center"/>
              <w:rPr>
                <w:rFonts w:cs="Arial"/>
                <w:b/>
                <w:bCs/>
                <w:color w:val="000000" w:themeColor="text1"/>
                <w:sz w:val="20"/>
                <w:szCs w:val="20"/>
              </w:rPr>
            </w:pPr>
            <w:r w:rsidRPr="00C251B0">
              <w:rPr>
                <w:rFonts w:cs="Arial"/>
                <w:b/>
                <w:bCs/>
                <w:color w:val="000000" w:themeColor="text1"/>
                <w:sz w:val="20"/>
                <w:szCs w:val="20"/>
              </w:rPr>
              <w:t>Group</w:t>
            </w:r>
          </w:p>
        </w:tc>
        <w:tc>
          <w:tcPr>
            <w:tcW w:w="1541" w:type="dxa"/>
          </w:tcPr>
          <w:p w14:paraId="47C43976"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Corporate</w:t>
            </w:r>
          </w:p>
          <w:p w14:paraId="4DDD2F52"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Social</w:t>
            </w:r>
          </w:p>
          <w:p w14:paraId="396D3342"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Responsibility</w:t>
            </w:r>
          </w:p>
          <w:p w14:paraId="2D5435FB"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c>
          <w:tcPr>
            <w:tcW w:w="1516" w:type="dxa"/>
          </w:tcPr>
          <w:p w14:paraId="12A7B135"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Third Party</w:t>
            </w:r>
          </w:p>
          <w:p w14:paraId="4645FB9F"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Claims</w:t>
            </w:r>
          </w:p>
          <w:p w14:paraId="05D2D38A"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c>
          <w:tcPr>
            <w:tcW w:w="1531" w:type="dxa"/>
          </w:tcPr>
          <w:p w14:paraId="040A0145"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Total</w:t>
            </w:r>
          </w:p>
          <w:p w14:paraId="0EDF6705"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c>
          <w:tcPr>
            <w:tcW w:w="1521" w:type="dxa"/>
          </w:tcPr>
          <w:p w14:paraId="2B7FF213"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Company</w:t>
            </w:r>
          </w:p>
          <w:p w14:paraId="667692C6"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Third Party</w:t>
            </w:r>
          </w:p>
          <w:p w14:paraId="6DE9A7E5" w14:textId="77777777" w:rsidR="00C251B0" w:rsidRPr="00C251B0" w:rsidRDefault="00C251B0" w:rsidP="00C251B0">
            <w:pPr>
              <w:autoSpaceDE w:val="0"/>
              <w:autoSpaceDN w:val="0"/>
              <w:adjustRightInd w:val="0"/>
              <w:spacing w:line="240" w:lineRule="auto"/>
              <w:jc w:val="right"/>
              <w:textAlignment w:val="center"/>
              <w:rPr>
                <w:rFonts w:cs="Arial"/>
                <w:b/>
                <w:bCs/>
                <w:color w:val="000000" w:themeColor="text1"/>
                <w:sz w:val="20"/>
                <w:szCs w:val="20"/>
              </w:rPr>
            </w:pPr>
            <w:r w:rsidRPr="00C251B0">
              <w:rPr>
                <w:rFonts w:cs="Arial"/>
                <w:b/>
                <w:bCs/>
                <w:color w:val="000000" w:themeColor="text1"/>
                <w:sz w:val="20"/>
                <w:szCs w:val="20"/>
              </w:rPr>
              <w:t>Claims</w:t>
            </w:r>
          </w:p>
          <w:p w14:paraId="37DAE099" w14:textId="77777777" w:rsidR="00C251B0" w:rsidRPr="00C251B0" w:rsidRDefault="00C251B0" w:rsidP="00C251B0">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tl/>
                <w:lang w:bidi="ar-YE"/>
              </w:rPr>
              <w:t>£’000</w:t>
            </w:r>
          </w:p>
        </w:tc>
      </w:tr>
      <w:tr w:rsidR="00C251B0" w:rsidRPr="00C251B0" w14:paraId="1A955218" w14:textId="77777777" w:rsidTr="00C251B0">
        <w:trPr>
          <w:trHeight w:val="283"/>
        </w:trPr>
        <w:tc>
          <w:tcPr>
            <w:tcW w:w="3753" w:type="dxa"/>
          </w:tcPr>
          <w:p w14:paraId="556AD3BD"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proofErr w:type="gramStart"/>
            <w:r w:rsidRPr="00C251B0">
              <w:rPr>
                <w:rFonts w:cs="Arial"/>
                <w:b/>
                <w:bCs/>
                <w:color w:val="000000" w:themeColor="text1"/>
                <w:sz w:val="20"/>
                <w:szCs w:val="20"/>
              </w:rPr>
              <w:t>At</w:t>
            </w:r>
            <w:proofErr w:type="gramEnd"/>
            <w:r w:rsidRPr="00C251B0">
              <w:rPr>
                <w:rFonts w:cs="Arial"/>
                <w:b/>
                <w:bCs/>
                <w:color w:val="000000" w:themeColor="text1"/>
                <w:sz w:val="20"/>
                <w:szCs w:val="20"/>
              </w:rPr>
              <w:t xml:space="preserve"> 26 March 2023</w:t>
            </w:r>
          </w:p>
        </w:tc>
        <w:tc>
          <w:tcPr>
            <w:tcW w:w="1541" w:type="dxa"/>
          </w:tcPr>
          <w:p w14:paraId="7E49D658"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889</w:t>
            </w:r>
          </w:p>
        </w:tc>
        <w:tc>
          <w:tcPr>
            <w:tcW w:w="1516" w:type="dxa"/>
          </w:tcPr>
          <w:p w14:paraId="71B0E241"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11,012</w:t>
            </w:r>
          </w:p>
        </w:tc>
        <w:tc>
          <w:tcPr>
            <w:tcW w:w="1531" w:type="dxa"/>
          </w:tcPr>
          <w:p w14:paraId="29E4D439"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11,901</w:t>
            </w:r>
          </w:p>
        </w:tc>
        <w:tc>
          <w:tcPr>
            <w:tcW w:w="1521" w:type="dxa"/>
          </w:tcPr>
          <w:p w14:paraId="4AAE44E1"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22</w:t>
            </w:r>
          </w:p>
        </w:tc>
      </w:tr>
      <w:tr w:rsidR="00C251B0" w:rsidRPr="00C251B0" w14:paraId="6D5C6D7E" w14:textId="77777777" w:rsidTr="00C251B0">
        <w:trPr>
          <w:trHeight w:val="283"/>
        </w:trPr>
        <w:tc>
          <w:tcPr>
            <w:tcW w:w="3753" w:type="dxa"/>
          </w:tcPr>
          <w:p w14:paraId="6D7B1AD6"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Utilised during the period</w:t>
            </w:r>
          </w:p>
        </w:tc>
        <w:tc>
          <w:tcPr>
            <w:tcW w:w="1541" w:type="dxa"/>
          </w:tcPr>
          <w:p w14:paraId="26C185D2"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(30)</w:t>
            </w:r>
          </w:p>
        </w:tc>
        <w:tc>
          <w:tcPr>
            <w:tcW w:w="1516" w:type="dxa"/>
          </w:tcPr>
          <w:p w14:paraId="6937895A"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(3,647)</w:t>
            </w:r>
          </w:p>
        </w:tc>
        <w:tc>
          <w:tcPr>
            <w:tcW w:w="1531" w:type="dxa"/>
          </w:tcPr>
          <w:p w14:paraId="129D2727"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(3,677)</w:t>
            </w:r>
          </w:p>
        </w:tc>
        <w:tc>
          <w:tcPr>
            <w:tcW w:w="1521" w:type="dxa"/>
          </w:tcPr>
          <w:p w14:paraId="31F3B466"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(4)</w:t>
            </w:r>
          </w:p>
        </w:tc>
      </w:tr>
      <w:tr w:rsidR="00C251B0" w:rsidRPr="00C251B0" w14:paraId="2295A79E" w14:textId="77777777" w:rsidTr="00C251B0">
        <w:trPr>
          <w:trHeight w:val="283"/>
        </w:trPr>
        <w:tc>
          <w:tcPr>
            <w:tcW w:w="3753" w:type="dxa"/>
          </w:tcPr>
          <w:p w14:paraId="0DE15CB5"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Additional provision in the period</w:t>
            </w:r>
          </w:p>
        </w:tc>
        <w:tc>
          <w:tcPr>
            <w:tcW w:w="1541" w:type="dxa"/>
          </w:tcPr>
          <w:p w14:paraId="19AE4ED1"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w:t>
            </w:r>
          </w:p>
        </w:tc>
        <w:tc>
          <w:tcPr>
            <w:tcW w:w="1516" w:type="dxa"/>
          </w:tcPr>
          <w:p w14:paraId="4F127134"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2,966</w:t>
            </w:r>
          </w:p>
        </w:tc>
        <w:tc>
          <w:tcPr>
            <w:tcW w:w="1531" w:type="dxa"/>
          </w:tcPr>
          <w:p w14:paraId="118DCA76"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2,966</w:t>
            </w:r>
          </w:p>
        </w:tc>
        <w:tc>
          <w:tcPr>
            <w:tcW w:w="1521" w:type="dxa"/>
          </w:tcPr>
          <w:p w14:paraId="079CB9EF"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(14)</w:t>
            </w:r>
          </w:p>
        </w:tc>
      </w:tr>
      <w:tr w:rsidR="00C251B0" w:rsidRPr="00C251B0" w14:paraId="5CE08C50" w14:textId="77777777" w:rsidTr="00C251B0">
        <w:trPr>
          <w:trHeight w:val="283"/>
        </w:trPr>
        <w:tc>
          <w:tcPr>
            <w:tcW w:w="3753" w:type="dxa"/>
          </w:tcPr>
          <w:p w14:paraId="624C2F2A"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proofErr w:type="gramStart"/>
            <w:r w:rsidRPr="00C251B0">
              <w:rPr>
                <w:rFonts w:cs="Arial"/>
                <w:b/>
                <w:bCs/>
                <w:color w:val="000000" w:themeColor="text1"/>
                <w:sz w:val="20"/>
                <w:szCs w:val="20"/>
              </w:rPr>
              <w:t>At</w:t>
            </w:r>
            <w:proofErr w:type="gramEnd"/>
            <w:r w:rsidRPr="00C251B0">
              <w:rPr>
                <w:rFonts w:cs="Arial"/>
                <w:b/>
                <w:bCs/>
                <w:color w:val="000000" w:themeColor="text1"/>
                <w:sz w:val="20"/>
                <w:szCs w:val="20"/>
              </w:rPr>
              <w:t xml:space="preserve"> 31 March 2024</w:t>
            </w:r>
          </w:p>
        </w:tc>
        <w:tc>
          <w:tcPr>
            <w:tcW w:w="1541" w:type="dxa"/>
          </w:tcPr>
          <w:p w14:paraId="1FBA4523"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859</w:t>
            </w:r>
          </w:p>
        </w:tc>
        <w:tc>
          <w:tcPr>
            <w:tcW w:w="1516" w:type="dxa"/>
          </w:tcPr>
          <w:p w14:paraId="47FB1240"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10,331</w:t>
            </w:r>
          </w:p>
        </w:tc>
        <w:tc>
          <w:tcPr>
            <w:tcW w:w="1531" w:type="dxa"/>
          </w:tcPr>
          <w:p w14:paraId="05F8067B"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11,190</w:t>
            </w:r>
          </w:p>
        </w:tc>
        <w:tc>
          <w:tcPr>
            <w:tcW w:w="1521" w:type="dxa"/>
          </w:tcPr>
          <w:p w14:paraId="171D5F5F"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4</w:t>
            </w:r>
          </w:p>
        </w:tc>
      </w:tr>
      <w:tr w:rsidR="00C251B0" w:rsidRPr="00C251B0" w14:paraId="76056707" w14:textId="77777777" w:rsidTr="00C251B0">
        <w:trPr>
          <w:trHeight w:val="283"/>
        </w:trPr>
        <w:tc>
          <w:tcPr>
            <w:tcW w:w="3753" w:type="dxa"/>
          </w:tcPr>
          <w:p w14:paraId="2D73B9DF"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Utilised during period</w:t>
            </w:r>
          </w:p>
        </w:tc>
        <w:tc>
          <w:tcPr>
            <w:tcW w:w="1541" w:type="dxa"/>
          </w:tcPr>
          <w:p w14:paraId="4BAE6D90"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(75)</w:t>
            </w:r>
          </w:p>
        </w:tc>
        <w:tc>
          <w:tcPr>
            <w:tcW w:w="1516" w:type="dxa"/>
          </w:tcPr>
          <w:p w14:paraId="7DAE0713"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(3,646)</w:t>
            </w:r>
          </w:p>
        </w:tc>
        <w:tc>
          <w:tcPr>
            <w:tcW w:w="1531" w:type="dxa"/>
          </w:tcPr>
          <w:p w14:paraId="185254F9"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(3,721)</w:t>
            </w:r>
          </w:p>
        </w:tc>
        <w:tc>
          <w:tcPr>
            <w:tcW w:w="1521" w:type="dxa"/>
          </w:tcPr>
          <w:p w14:paraId="29928BAE"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(3)</w:t>
            </w:r>
          </w:p>
        </w:tc>
      </w:tr>
      <w:tr w:rsidR="00C251B0" w:rsidRPr="00C251B0" w14:paraId="6C8B2AD4" w14:textId="77777777" w:rsidTr="00C251B0">
        <w:trPr>
          <w:trHeight w:val="283"/>
        </w:trPr>
        <w:tc>
          <w:tcPr>
            <w:tcW w:w="3753" w:type="dxa"/>
          </w:tcPr>
          <w:p w14:paraId="484E690F"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r w:rsidRPr="00C251B0">
              <w:rPr>
                <w:rFonts w:cs="Arial"/>
                <w:color w:val="000000" w:themeColor="text1"/>
                <w:sz w:val="20"/>
                <w:szCs w:val="20"/>
              </w:rPr>
              <w:t xml:space="preserve">Additional provision in the period </w:t>
            </w:r>
          </w:p>
        </w:tc>
        <w:tc>
          <w:tcPr>
            <w:tcW w:w="1541" w:type="dxa"/>
          </w:tcPr>
          <w:p w14:paraId="0321457C"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w:t>
            </w:r>
          </w:p>
        </w:tc>
        <w:tc>
          <w:tcPr>
            <w:tcW w:w="1516" w:type="dxa"/>
          </w:tcPr>
          <w:p w14:paraId="2E736224"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4,175</w:t>
            </w:r>
          </w:p>
        </w:tc>
        <w:tc>
          <w:tcPr>
            <w:tcW w:w="1531" w:type="dxa"/>
          </w:tcPr>
          <w:p w14:paraId="1B88CC7C"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4,175</w:t>
            </w:r>
          </w:p>
        </w:tc>
        <w:tc>
          <w:tcPr>
            <w:tcW w:w="1521" w:type="dxa"/>
          </w:tcPr>
          <w:p w14:paraId="6A196D83"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color w:val="000000" w:themeColor="text1"/>
                <w:sz w:val="20"/>
                <w:szCs w:val="20"/>
              </w:rPr>
              <w:t>1</w:t>
            </w:r>
          </w:p>
        </w:tc>
      </w:tr>
      <w:tr w:rsidR="00C251B0" w:rsidRPr="00C251B0" w14:paraId="53078C7C" w14:textId="77777777" w:rsidTr="00C251B0">
        <w:trPr>
          <w:trHeight w:val="283"/>
        </w:trPr>
        <w:tc>
          <w:tcPr>
            <w:tcW w:w="3753" w:type="dxa"/>
          </w:tcPr>
          <w:p w14:paraId="31F70AF7" w14:textId="77777777" w:rsidR="00C251B0" w:rsidRPr="00C251B0" w:rsidRDefault="00C251B0" w:rsidP="00C251B0">
            <w:pPr>
              <w:autoSpaceDE w:val="0"/>
              <w:autoSpaceDN w:val="0"/>
              <w:adjustRightInd w:val="0"/>
              <w:spacing w:line="240" w:lineRule="auto"/>
              <w:textAlignment w:val="center"/>
              <w:rPr>
                <w:rFonts w:cs="Arial"/>
                <w:color w:val="000000" w:themeColor="text1"/>
                <w:sz w:val="20"/>
                <w:szCs w:val="20"/>
              </w:rPr>
            </w:pPr>
            <w:proofErr w:type="gramStart"/>
            <w:r w:rsidRPr="00C251B0">
              <w:rPr>
                <w:rFonts w:cs="Arial"/>
                <w:b/>
                <w:bCs/>
                <w:color w:val="000000" w:themeColor="text1"/>
                <w:sz w:val="20"/>
                <w:szCs w:val="20"/>
              </w:rPr>
              <w:t>At</w:t>
            </w:r>
            <w:proofErr w:type="gramEnd"/>
            <w:r w:rsidRPr="00C251B0">
              <w:rPr>
                <w:rFonts w:cs="Arial"/>
                <w:b/>
                <w:bCs/>
                <w:color w:val="000000" w:themeColor="text1"/>
                <w:sz w:val="20"/>
                <w:szCs w:val="20"/>
              </w:rPr>
              <w:t xml:space="preserve"> 30 March 2025</w:t>
            </w:r>
          </w:p>
        </w:tc>
        <w:tc>
          <w:tcPr>
            <w:tcW w:w="1541" w:type="dxa"/>
          </w:tcPr>
          <w:p w14:paraId="6D6C7A9F"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784</w:t>
            </w:r>
          </w:p>
        </w:tc>
        <w:tc>
          <w:tcPr>
            <w:tcW w:w="1516" w:type="dxa"/>
          </w:tcPr>
          <w:p w14:paraId="75A91E3E"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10,860</w:t>
            </w:r>
          </w:p>
        </w:tc>
        <w:tc>
          <w:tcPr>
            <w:tcW w:w="1531" w:type="dxa"/>
          </w:tcPr>
          <w:p w14:paraId="73FA33B8"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11,644</w:t>
            </w:r>
          </w:p>
        </w:tc>
        <w:tc>
          <w:tcPr>
            <w:tcW w:w="1521" w:type="dxa"/>
          </w:tcPr>
          <w:p w14:paraId="609F1C24" w14:textId="77777777" w:rsidR="00C251B0" w:rsidRPr="00C251B0" w:rsidRDefault="00C251B0" w:rsidP="00C251B0">
            <w:pPr>
              <w:autoSpaceDE w:val="0"/>
              <w:autoSpaceDN w:val="0"/>
              <w:adjustRightInd w:val="0"/>
              <w:spacing w:line="240" w:lineRule="auto"/>
              <w:jc w:val="right"/>
              <w:textAlignment w:val="center"/>
              <w:rPr>
                <w:rFonts w:cs="Arial"/>
                <w:color w:val="000000" w:themeColor="text1"/>
                <w:sz w:val="20"/>
                <w:szCs w:val="20"/>
              </w:rPr>
            </w:pPr>
            <w:r w:rsidRPr="00C251B0">
              <w:rPr>
                <w:rFonts w:cs="Arial"/>
                <w:b/>
                <w:bCs/>
                <w:color w:val="000000" w:themeColor="text1"/>
                <w:sz w:val="20"/>
                <w:szCs w:val="20"/>
              </w:rPr>
              <w:t>2</w:t>
            </w:r>
          </w:p>
        </w:tc>
      </w:tr>
    </w:tbl>
    <w:p w14:paraId="4B84D58E" w14:textId="77777777" w:rsidR="00F45CEC" w:rsidRPr="00C251B0" w:rsidRDefault="00F45CEC" w:rsidP="00C251B0">
      <w:pPr>
        <w:rPr>
          <w:rFonts w:cs="Arial"/>
        </w:rPr>
      </w:pPr>
    </w:p>
    <w:p w14:paraId="2BB19B4F" w14:textId="77777777" w:rsidR="00C251B0" w:rsidRPr="00C251B0" w:rsidRDefault="00C251B0" w:rsidP="00C251B0">
      <w:pPr>
        <w:rPr>
          <w:rFonts w:cs="Arial"/>
          <w:color w:val="000000"/>
        </w:rPr>
      </w:pPr>
      <w:r w:rsidRPr="00C251B0">
        <w:rPr>
          <w:rFonts w:cs="Arial"/>
          <w:color w:val="000000"/>
        </w:rPr>
        <w:t>The corporate social responsibility provision relates to anticipated clean-up costs due to land contamination at various fuelling points, estimated costs of decommissioning obsolete rolling stock in an environmentally compliant manner and provision to address the risk of damage to the railway track from the spread of invasive species.  The obligations giving rise to the requirement for the provision arise from the Group’s Environmental Contamination policy and the Group’s Safety policy.</w:t>
      </w:r>
    </w:p>
    <w:p w14:paraId="579FF400" w14:textId="77777777" w:rsidR="00C251B0" w:rsidRPr="00C251B0" w:rsidRDefault="00C251B0" w:rsidP="00C251B0">
      <w:pPr>
        <w:rPr>
          <w:rFonts w:cs="Arial"/>
          <w:color w:val="000000"/>
        </w:rPr>
      </w:pPr>
    </w:p>
    <w:p w14:paraId="6348170B" w14:textId="2E6076B9" w:rsidR="00F45CEC" w:rsidRPr="00C251B0" w:rsidRDefault="00C251B0" w:rsidP="00C251B0">
      <w:pPr>
        <w:rPr>
          <w:rFonts w:cs="Arial"/>
        </w:rPr>
      </w:pPr>
      <w:r w:rsidRPr="00C251B0">
        <w:rPr>
          <w:rFonts w:cs="Arial"/>
          <w:color w:val="000000"/>
        </w:rPr>
        <w:t xml:space="preserve">The third-party claims provision relates to the insurance excess or self-insured element of claims received and anticipated.  The provision is based upon the best estimate of the expenditure to settle each obligation on receipt of advice from legal and medical experts.  The timing of settlement is dependent on </w:t>
      </w:r>
      <w:proofErr w:type="gramStart"/>
      <w:r w:rsidRPr="00C251B0">
        <w:rPr>
          <w:rFonts w:cs="Arial"/>
          <w:color w:val="000000"/>
        </w:rPr>
        <w:t>a number of</w:t>
      </w:r>
      <w:proofErr w:type="gramEnd"/>
      <w:r w:rsidRPr="00C251B0">
        <w:rPr>
          <w:rFonts w:cs="Arial"/>
          <w:color w:val="000000"/>
        </w:rPr>
        <w:t xml:space="preserve"> factors including the courts, but most claims are expected to be settled within one period.</w:t>
      </w:r>
    </w:p>
    <w:p w14:paraId="7CA93610" w14:textId="77777777" w:rsidR="00344BF7" w:rsidRDefault="00344BF7" w:rsidP="006675EF">
      <w:pPr>
        <w:rPr>
          <w:rFonts w:cs="Arial"/>
          <w:color w:val="000000" w:themeColor="text1"/>
        </w:rPr>
      </w:pPr>
    </w:p>
    <w:p w14:paraId="4053CB45" w14:textId="77777777" w:rsidR="00C251B0" w:rsidRDefault="00C251B0">
      <w:pPr>
        <w:spacing w:line="240" w:lineRule="auto"/>
        <w:rPr>
          <w:b/>
          <w:bCs/>
          <w:sz w:val="28"/>
          <w:szCs w:val="28"/>
        </w:rPr>
      </w:pPr>
      <w:r>
        <w:rPr>
          <w:b/>
          <w:bCs/>
          <w:sz w:val="28"/>
          <w:szCs w:val="28"/>
        </w:rPr>
        <w:br w:type="page"/>
      </w:r>
    </w:p>
    <w:p w14:paraId="66B35472" w14:textId="2A9C1163" w:rsidR="00C251B0" w:rsidRPr="00C251B0" w:rsidRDefault="00C251B0" w:rsidP="003F4D72">
      <w:pPr>
        <w:pStyle w:val="Heading2"/>
      </w:pPr>
      <w:bookmarkStart w:id="294" w:name="_Toc213058726"/>
      <w:r w:rsidRPr="00C251B0">
        <w:lastRenderedPageBreak/>
        <w:t>18. Deferred Income</w:t>
      </w:r>
      <w:bookmarkEnd w:id="294"/>
    </w:p>
    <w:tbl>
      <w:tblPr>
        <w:tblStyle w:val="TableGrid"/>
        <w:tblW w:w="0" w:type="auto"/>
        <w:tblLayout w:type="fixed"/>
        <w:tblLook w:val="0000" w:firstRow="0" w:lastRow="0" w:firstColumn="0" w:lastColumn="0" w:noHBand="0" w:noVBand="0"/>
      </w:tblPr>
      <w:tblGrid>
        <w:gridCol w:w="4531"/>
        <w:gridCol w:w="1701"/>
        <w:gridCol w:w="1701"/>
      </w:tblGrid>
      <w:tr w:rsidR="00C251B0" w:rsidRPr="00C251B0" w14:paraId="5C5902E9" w14:textId="77777777" w:rsidTr="003A428B">
        <w:trPr>
          <w:trHeight w:val="340"/>
        </w:trPr>
        <w:tc>
          <w:tcPr>
            <w:tcW w:w="4531" w:type="dxa"/>
          </w:tcPr>
          <w:p w14:paraId="458FF703" w14:textId="77777777" w:rsidR="00C251B0" w:rsidRPr="00C251B0" w:rsidRDefault="00C251B0" w:rsidP="00C251B0">
            <w:pPr>
              <w:rPr>
                <w:rFonts w:cs="Arial"/>
                <w:color w:val="000000"/>
                <w:sz w:val="20"/>
                <w:szCs w:val="20"/>
              </w:rPr>
            </w:pPr>
            <w:r w:rsidRPr="00C251B0">
              <w:rPr>
                <w:rFonts w:cs="Arial"/>
                <w:sz w:val="20"/>
                <w:szCs w:val="20"/>
              </w:rPr>
              <w:t>Group</w:t>
            </w:r>
          </w:p>
        </w:tc>
        <w:tc>
          <w:tcPr>
            <w:tcW w:w="1701" w:type="dxa"/>
            <w:vAlign w:val="center"/>
          </w:tcPr>
          <w:p w14:paraId="3F03F4D3" w14:textId="77777777" w:rsidR="00C251B0" w:rsidRPr="00C251B0" w:rsidRDefault="00C251B0" w:rsidP="003A428B">
            <w:pPr>
              <w:spacing w:line="240" w:lineRule="auto"/>
              <w:rPr>
                <w:rFonts w:cs="Arial"/>
                <w:sz w:val="20"/>
                <w:szCs w:val="20"/>
              </w:rPr>
            </w:pPr>
            <w:r w:rsidRPr="00C251B0">
              <w:rPr>
                <w:rFonts w:cs="Arial"/>
                <w:sz w:val="20"/>
                <w:szCs w:val="20"/>
              </w:rPr>
              <w:t>2025</w:t>
            </w:r>
          </w:p>
          <w:p w14:paraId="15D4081D" w14:textId="77777777" w:rsidR="00C251B0" w:rsidRPr="00C251B0" w:rsidRDefault="00C251B0" w:rsidP="003A428B">
            <w:pPr>
              <w:spacing w:line="240" w:lineRule="auto"/>
              <w:rPr>
                <w:rFonts w:cs="Arial"/>
                <w:color w:val="000000"/>
                <w:sz w:val="20"/>
                <w:szCs w:val="20"/>
              </w:rPr>
            </w:pPr>
            <w:r w:rsidRPr="00C251B0">
              <w:rPr>
                <w:rFonts w:cs="Arial"/>
                <w:sz w:val="20"/>
                <w:szCs w:val="20"/>
                <w:rtl/>
                <w:lang w:bidi="ar-YE"/>
              </w:rPr>
              <w:t>£’000</w:t>
            </w:r>
          </w:p>
        </w:tc>
        <w:tc>
          <w:tcPr>
            <w:tcW w:w="1701" w:type="dxa"/>
            <w:vAlign w:val="center"/>
          </w:tcPr>
          <w:p w14:paraId="024802A0" w14:textId="77777777" w:rsidR="00C251B0" w:rsidRPr="00C251B0" w:rsidRDefault="00C251B0" w:rsidP="003A428B">
            <w:pPr>
              <w:spacing w:line="240" w:lineRule="auto"/>
              <w:rPr>
                <w:rFonts w:cs="Arial"/>
                <w:sz w:val="20"/>
                <w:szCs w:val="20"/>
              </w:rPr>
            </w:pPr>
            <w:r w:rsidRPr="00C251B0">
              <w:rPr>
                <w:rFonts w:cs="Arial"/>
                <w:sz w:val="20"/>
                <w:szCs w:val="20"/>
              </w:rPr>
              <w:t>2024</w:t>
            </w:r>
          </w:p>
          <w:p w14:paraId="1F996F8C" w14:textId="77777777" w:rsidR="00C251B0" w:rsidRPr="00C251B0" w:rsidRDefault="00C251B0" w:rsidP="003A428B">
            <w:pPr>
              <w:spacing w:line="240" w:lineRule="auto"/>
              <w:rPr>
                <w:rFonts w:cs="Arial"/>
                <w:color w:val="000000"/>
                <w:sz w:val="20"/>
                <w:szCs w:val="20"/>
              </w:rPr>
            </w:pPr>
            <w:r w:rsidRPr="00C251B0">
              <w:rPr>
                <w:rFonts w:cs="Arial"/>
                <w:sz w:val="20"/>
                <w:szCs w:val="20"/>
                <w:rtl/>
                <w:lang w:bidi="ar-YE"/>
              </w:rPr>
              <w:t>£’000</w:t>
            </w:r>
          </w:p>
        </w:tc>
      </w:tr>
      <w:tr w:rsidR="00C251B0" w:rsidRPr="00C251B0" w14:paraId="39FDD8E8" w14:textId="77777777" w:rsidTr="003A428B">
        <w:trPr>
          <w:trHeight w:val="340"/>
        </w:trPr>
        <w:tc>
          <w:tcPr>
            <w:tcW w:w="4531" w:type="dxa"/>
            <w:vAlign w:val="center"/>
          </w:tcPr>
          <w:p w14:paraId="5DD18633"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At beginning of period</w:t>
            </w:r>
          </w:p>
        </w:tc>
        <w:tc>
          <w:tcPr>
            <w:tcW w:w="1701" w:type="dxa"/>
            <w:vAlign w:val="center"/>
          </w:tcPr>
          <w:p w14:paraId="4A163F66"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1,307,339</w:t>
            </w:r>
          </w:p>
        </w:tc>
        <w:tc>
          <w:tcPr>
            <w:tcW w:w="1701" w:type="dxa"/>
            <w:vAlign w:val="center"/>
          </w:tcPr>
          <w:p w14:paraId="528B02F8"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1,121,020</w:t>
            </w:r>
          </w:p>
        </w:tc>
      </w:tr>
      <w:tr w:rsidR="00C251B0" w:rsidRPr="00C251B0" w14:paraId="7F7664A7" w14:textId="77777777" w:rsidTr="003A428B">
        <w:trPr>
          <w:trHeight w:val="340"/>
        </w:trPr>
        <w:tc>
          <w:tcPr>
            <w:tcW w:w="4531" w:type="dxa"/>
            <w:vAlign w:val="center"/>
          </w:tcPr>
          <w:p w14:paraId="5A771CF0" w14:textId="77777777" w:rsidR="00C251B0" w:rsidRPr="00C251B0" w:rsidRDefault="00C251B0" w:rsidP="003A428B">
            <w:pPr>
              <w:spacing w:line="240" w:lineRule="auto"/>
              <w:rPr>
                <w:rFonts w:cs="Arial"/>
                <w:color w:val="000000"/>
                <w:sz w:val="20"/>
                <w:szCs w:val="20"/>
              </w:rPr>
            </w:pPr>
            <w:proofErr w:type="gramStart"/>
            <w:r w:rsidRPr="00C251B0">
              <w:rPr>
                <w:rFonts w:cs="Arial"/>
                <w:color w:val="000000"/>
                <w:sz w:val="20"/>
                <w:szCs w:val="20"/>
              </w:rPr>
              <w:t>Grants</w:t>
            </w:r>
            <w:proofErr w:type="gramEnd"/>
            <w:r w:rsidRPr="00C251B0">
              <w:rPr>
                <w:rFonts w:cs="Arial"/>
                <w:color w:val="000000"/>
                <w:sz w:val="20"/>
                <w:szCs w:val="20"/>
              </w:rPr>
              <w:t xml:space="preserve"> receivable in period</w:t>
            </w:r>
          </w:p>
        </w:tc>
        <w:tc>
          <w:tcPr>
            <w:tcW w:w="1701" w:type="dxa"/>
            <w:vAlign w:val="center"/>
          </w:tcPr>
          <w:p w14:paraId="269E092B"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250,575</w:t>
            </w:r>
          </w:p>
        </w:tc>
        <w:tc>
          <w:tcPr>
            <w:tcW w:w="1701" w:type="dxa"/>
            <w:vAlign w:val="center"/>
          </w:tcPr>
          <w:p w14:paraId="17D27244"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275,524</w:t>
            </w:r>
          </w:p>
        </w:tc>
      </w:tr>
      <w:tr w:rsidR="00C251B0" w:rsidRPr="00C251B0" w14:paraId="3A9DE6D3" w14:textId="77777777" w:rsidTr="003A428B">
        <w:trPr>
          <w:trHeight w:val="340"/>
        </w:trPr>
        <w:tc>
          <w:tcPr>
            <w:tcW w:w="4531" w:type="dxa"/>
            <w:vAlign w:val="center"/>
          </w:tcPr>
          <w:p w14:paraId="7C006595"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Disposals</w:t>
            </w:r>
          </w:p>
        </w:tc>
        <w:tc>
          <w:tcPr>
            <w:tcW w:w="1701" w:type="dxa"/>
            <w:vAlign w:val="center"/>
          </w:tcPr>
          <w:p w14:paraId="3645FC31"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(875)</w:t>
            </w:r>
          </w:p>
        </w:tc>
        <w:tc>
          <w:tcPr>
            <w:tcW w:w="1701" w:type="dxa"/>
            <w:vAlign w:val="center"/>
          </w:tcPr>
          <w:p w14:paraId="35E8AF68"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(173)</w:t>
            </w:r>
          </w:p>
        </w:tc>
      </w:tr>
      <w:tr w:rsidR="00C251B0" w:rsidRPr="00C251B0" w14:paraId="7EAA4D9B" w14:textId="77777777" w:rsidTr="003A428B">
        <w:trPr>
          <w:trHeight w:val="340"/>
        </w:trPr>
        <w:tc>
          <w:tcPr>
            <w:tcW w:w="4531" w:type="dxa"/>
            <w:vAlign w:val="center"/>
          </w:tcPr>
          <w:p w14:paraId="56ACEF6A"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Adjustments</w:t>
            </w:r>
          </w:p>
        </w:tc>
        <w:tc>
          <w:tcPr>
            <w:tcW w:w="1701" w:type="dxa"/>
            <w:vAlign w:val="center"/>
          </w:tcPr>
          <w:p w14:paraId="43698947"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(769)</w:t>
            </w:r>
          </w:p>
        </w:tc>
        <w:tc>
          <w:tcPr>
            <w:tcW w:w="1701" w:type="dxa"/>
            <w:vAlign w:val="center"/>
          </w:tcPr>
          <w:p w14:paraId="42C4457B"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(146)</w:t>
            </w:r>
          </w:p>
        </w:tc>
      </w:tr>
      <w:tr w:rsidR="00C251B0" w:rsidRPr="00C251B0" w14:paraId="678CF551" w14:textId="77777777" w:rsidTr="003A428B">
        <w:trPr>
          <w:trHeight w:val="340"/>
        </w:trPr>
        <w:tc>
          <w:tcPr>
            <w:tcW w:w="4531" w:type="dxa"/>
            <w:vAlign w:val="center"/>
          </w:tcPr>
          <w:p w14:paraId="66702FEA"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Transfer to profit and loss</w:t>
            </w:r>
          </w:p>
        </w:tc>
        <w:tc>
          <w:tcPr>
            <w:tcW w:w="1701" w:type="dxa"/>
            <w:vAlign w:val="center"/>
          </w:tcPr>
          <w:p w14:paraId="78EB008B"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(117,915)</w:t>
            </w:r>
          </w:p>
        </w:tc>
        <w:tc>
          <w:tcPr>
            <w:tcW w:w="1701" w:type="dxa"/>
            <w:vAlign w:val="center"/>
          </w:tcPr>
          <w:p w14:paraId="6A80BAD9"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(88,886)</w:t>
            </w:r>
          </w:p>
        </w:tc>
      </w:tr>
      <w:tr w:rsidR="00C251B0" w:rsidRPr="00C251B0" w14:paraId="05AE2800" w14:textId="77777777" w:rsidTr="003A428B">
        <w:trPr>
          <w:trHeight w:val="340"/>
        </w:trPr>
        <w:tc>
          <w:tcPr>
            <w:tcW w:w="4531" w:type="dxa"/>
            <w:vAlign w:val="center"/>
          </w:tcPr>
          <w:p w14:paraId="25AC0024"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At end of period</w:t>
            </w:r>
          </w:p>
        </w:tc>
        <w:tc>
          <w:tcPr>
            <w:tcW w:w="1701" w:type="dxa"/>
            <w:vAlign w:val="center"/>
          </w:tcPr>
          <w:p w14:paraId="528E2524"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1,438,355</w:t>
            </w:r>
          </w:p>
        </w:tc>
        <w:tc>
          <w:tcPr>
            <w:tcW w:w="1701" w:type="dxa"/>
            <w:vAlign w:val="center"/>
          </w:tcPr>
          <w:p w14:paraId="3233BB88" w14:textId="77777777" w:rsidR="00C251B0" w:rsidRPr="00C251B0" w:rsidRDefault="00C251B0" w:rsidP="003A428B">
            <w:pPr>
              <w:spacing w:line="240" w:lineRule="auto"/>
              <w:rPr>
                <w:rFonts w:cs="Arial"/>
                <w:color w:val="000000"/>
                <w:sz w:val="20"/>
                <w:szCs w:val="20"/>
              </w:rPr>
            </w:pPr>
            <w:r w:rsidRPr="00C251B0">
              <w:rPr>
                <w:rFonts w:cs="Arial"/>
                <w:color w:val="000000"/>
                <w:sz w:val="20"/>
                <w:szCs w:val="20"/>
              </w:rPr>
              <w:t>1,307,339</w:t>
            </w:r>
          </w:p>
        </w:tc>
      </w:tr>
    </w:tbl>
    <w:p w14:paraId="2303EFF6" w14:textId="77777777" w:rsidR="00C251B0" w:rsidRDefault="00C251B0" w:rsidP="006675EF">
      <w:pPr>
        <w:rPr>
          <w:rFonts w:cs="Arial"/>
          <w:color w:val="000000" w:themeColor="text1"/>
        </w:rPr>
      </w:pPr>
    </w:p>
    <w:tbl>
      <w:tblPr>
        <w:tblStyle w:val="TableGrid"/>
        <w:tblW w:w="0" w:type="auto"/>
        <w:tblLayout w:type="fixed"/>
        <w:tblLook w:val="0000" w:firstRow="0" w:lastRow="0" w:firstColumn="0" w:lastColumn="0" w:noHBand="0" w:noVBand="0"/>
      </w:tblPr>
      <w:tblGrid>
        <w:gridCol w:w="4531"/>
        <w:gridCol w:w="1701"/>
        <w:gridCol w:w="1701"/>
      </w:tblGrid>
      <w:tr w:rsidR="003A428B" w:rsidRPr="003A428B" w14:paraId="22C825D5" w14:textId="77777777" w:rsidTr="003A428B">
        <w:trPr>
          <w:trHeight w:val="340"/>
        </w:trPr>
        <w:tc>
          <w:tcPr>
            <w:tcW w:w="4531" w:type="dxa"/>
          </w:tcPr>
          <w:p w14:paraId="34106E74"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b/>
                <w:bCs/>
                <w:color w:val="000000" w:themeColor="text1"/>
                <w:sz w:val="20"/>
                <w:szCs w:val="20"/>
              </w:rPr>
              <w:t>Company</w:t>
            </w:r>
          </w:p>
        </w:tc>
        <w:tc>
          <w:tcPr>
            <w:tcW w:w="1701" w:type="dxa"/>
          </w:tcPr>
          <w:p w14:paraId="756A326D"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A428B">
              <w:rPr>
                <w:rFonts w:cs="Arial"/>
                <w:b/>
                <w:bCs/>
                <w:color w:val="000000" w:themeColor="text1"/>
                <w:sz w:val="20"/>
                <w:szCs w:val="20"/>
              </w:rPr>
              <w:t>2025</w:t>
            </w:r>
          </w:p>
          <w:p w14:paraId="061D7B15"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tl/>
                <w:lang w:bidi="ar-YE"/>
              </w:rPr>
              <w:t>£’000</w:t>
            </w:r>
          </w:p>
        </w:tc>
        <w:tc>
          <w:tcPr>
            <w:tcW w:w="1701" w:type="dxa"/>
          </w:tcPr>
          <w:p w14:paraId="3407954B"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A428B">
              <w:rPr>
                <w:rFonts w:cs="Arial"/>
                <w:b/>
                <w:bCs/>
                <w:color w:val="000000" w:themeColor="text1"/>
                <w:sz w:val="20"/>
                <w:szCs w:val="20"/>
              </w:rPr>
              <w:t>2024</w:t>
            </w:r>
          </w:p>
          <w:p w14:paraId="21F72EB9"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tl/>
                <w:lang w:bidi="ar-YE"/>
              </w:rPr>
              <w:t>£’000</w:t>
            </w:r>
          </w:p>
        </w:tc>
      </w:tr>
      <w:tr w:rsidR="003A428B" w:rsidRPr="003A428B" w14:paraId="37733DF0" w14:textId="77777777" w:rsidTr="003A428B">
        <w:trPr>
          <w:trHeight w:val="340"/>
        </w:trPr>
        <w:tc>
          <w:tcPr>
            <w:tcW w:w="4531" w:type="dxa"/>
            <w:vAlign w:val="center"/>
          </w:tcPr>
          <w:p w14:paraId="73601FD0"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At beginning of period</w:t>
            </w:r>
          </w:p>
        </w:tc>
        <w:tc>
          <w:tcPr>
            <w:tcW w:w="1701" w:type="dxa"/>
            <w:vAlign w:val="center"/>
          </w:tcPr>
          <w:p w14:paraId="49B15AAF"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201,587</w:t>
            </w:r>
          </w:p>
        </w:tc>
        <w:tc>
          <w:tcPr>
            <w:tcW w:w="1701" w:type="dxa"/>
            <w:vAlign w:val="center"/>
          </w:tcPr>
          <w:p w14:paraId="33F0C99C"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123,335</w:t>
            </w:r>
          </w:p>
        </w:tc>
      </w:tr>
      <w:tr w:rsidR="003A428B" w:rsidRPr="003A428B" w14:paraId="32A732E6" w14:textId="77777777" w:rsidTr="003A428B">
        <w:trPr>
          <w:trHeight w:val="340"/>
        </w:trPr>
        <w:tc>
          <w:tcPr>
            <w:tcW w:w="4531" w:type="dxa"/>
            <w:vAlign w:val="center"/>
          </w:tcPr>
          <w:p w14:paraId="5B1BF8FA"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proofErr w:type="gramStart"/>
            <w:r w:rsidRPr="003A428B">
              <w:rPr>
                <w:rFonts w:cs="Arial"/>
                <w:color w:val="000000" w:themeColor="text1"/>
                <w:sz w:val="20"/>
                <w:szCs w:val="20"/>
              </w:rPr>
              <w:t>Grants</w:t>
            </w:r>
            <w:proofErr w:type="gramEnd"/>
            <w:r w:rsidRPr="003A428B">
              <w:rPr>
                <w:rFonts w:cs="Arial"/>
                <w:color w:val="000000" w:themeColor="text1"/>
                <w:sz w:val="20"/>
                <w:szCs w:val="20"/>
              </w:rPr>
              <w:t xml:space="preserve"> receivable in period</w:t>
            </w:r>
          </w:p>
        </w:tc>
        <w:tc>
          <w:tcPr>
            <w:tcW w:w="1701" w:type="dxa"/>
            <w:vAlign w:val="center"/>
          </w:tcPr>
          <w:p w14:paraId="5B2B7206"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90,258</w:t>
            </w:r>
          </w:p>
        </w:tc>
        <w:tc>
          <w:tcPr>
            <w:tcW w:w="1701" w:type="dxa"/>
            <w:vAlign w:val="center"/>
          </w:tcPr>
          <w:p w14:paraId="2CC23CE7"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99,541</w:t>
            </w:r>
          </w:p>
        </w:tc>
      </w:tr>
      <w:tr w:rsidR="003A428B" w:rsidRPr="003A428B" w14:paraId="7D08640E" w14:textId="77777777" w:rsidTr="003A428B">
        <w:trPr>
          <w:trHeight w:val="340"/>
        </w:trPr>
        <w:tc>
          <w:tcPr>
            <w:tcW w:w="4531" w:type="dxa"/>
            <w:vAlign w:val="center"/>
          </w:tcPr>
          <w:p w14:paraId="5358783F"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Adjustments</w:t>
            </w:r>
          </w:p>
        </w:tc>
        <w:tc>
          <w:tcPr>
            <w:tcW w:w="1701" w:type="dxa"/>
            <w:vAlign w:val="center"/>
          </w:tcPr>
          <w:p w14:paraId="0409E8CD"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(252,952)</w:t>
            </w:r>
          </w:p>
        </w:tc>
        <w:tc>
          <w:tcPr>
            <w:tcW w:w="1701" w:type="dxa"/>
            <w:vAlign w:val="center"/>
          </w:tcPr>
          <w:p w14:paraId="0B34A0C5"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(20,438)</w:t>
            </w:r>
          </w:p>
        </w:tc>
      </w:tr>
      <w:tr w:rsidR="003A428B" w:rsidRPr="003A428B" w14:paraId="7B7A82CF" w14:textId="77777777" w:rsidTr="003A428B">
        <w:trPr>
          <w:trHeight w:val="340"/>
        </w:trPr>
        <w:tc>
          <w:tcPr>
            <w:tcW w:w="4531" w:type="dxa"/>
            <w:vAlign w:val="center"/>
          </w:tcPr>
          <w:p w14:paraId="45F359A8"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Transfer to profit and loss</w:t>
            </w:r>
          </w:p>
        </w:tc>
        <w:tc>
          <w:tcPr>
            <w:tcW w:w="1701" w:type="dxa"/>
            <w:vAlign w:val="center"/>
          </w:tcPr>
          <w:p w14:paraId="23C36384"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(1,288)</w:t>
            </w:r>
          </w:p>
        </w:tc>
        <w:tc>
          <w:tcPr>
            <w:tcW w:w="1701" w:type="dxa"/>
            <w:vAlign w:val="center"/>
          </w:tcPr>
          <w:p w14:paraId="19CD7E7F"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(851)</w:t>
            </w:r>
          </w:p>
        </w:tc>
      </w:tr>
      <w:tr w:rsidR="003A428B" w:rsidRPr="003A428B" w14:paraId="5DABC0C7" w14:textId="77777777" w:rsidTr="003A428B">
        <w:trPr>
          <w:trHeight w:val="340"/>
        </w:trPr>
        <w:tc>
          <w:tcPr>
            <w:tcW w:w="4531" w:type="dxa"/>
            <w:vAlign w:val="center"/>
          </w:tcPr>
          <w:p w14:paraId="25F933A4"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b/>
                <w:bCs/>
                <w:color w:val="000000" w:themeColor="text1"/>
                <w:sz w:val="20"/>
                <w:szCs w:val="20"/>
              </w:rPr>
              <w:t>At end of period</w:t>
            </w:r>
          </w:p>
        </w:tc>
        <w:tc>
          <w:tcPr>
            <w:tcW w:w="1701" w:type="dxa"/>
            <w:vAlign w:val="center"/>
          </w:tcPr>
          <w:p w14:paraId="643ED864"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Pr>
              <w:t>37,605</w:t>
            </w:r>
          </w:p>
        </w:tc>
        <w:tc>
          <w:tcPr>
            <w:tcW w:w="1701" w:type="dxa"/>
            <w:vAlign w:val="center"/>
          </w:tcPr>
          <w:p w14:paraId="5A006EE9"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Pr>
              <w:t>201,587</w:t>
            </w:r>
          </w:p>
        </w:tc>
      </w:tr>
    </w:tbl>
    <w:p w14:paraId="70CC07EF" w14:textId="77777777" w:rsidR="003A428B" w:rsidRDefault="003A428B" w:rsidP="006675EF">
      <w:pPr>
        <w:rPr>
          <w:rFonts w:cs="Arial"/>
          <w:color w:val="000000" w:themeColor="text1"/>
        </w:rPr>
      </w:pPr>
    </w:p>
    <w:p w14:paraId="62BFA2F2" w14:textId="77777777" w:rsidR="003A428B" w:rsidRDefault="003A428B" w:rsidP="003F4D72">
      <w:pPr>
        <w:pStyle w:val="Heading2"/>
      </w:pPr>
      <w:bookmarkStart w:id="295" w:name="_Toc213058727"/>
      <w:r w:rsidRPr="003A428B">
        <w:t>19. Cash and Cash Equivalents</w:t>
      </w:r>
      <w:bookmarkEnd w:id="295"/>
    </w:p>
    <w:tbl>
      <w:tblPr>
        <w:tblStyle w:val="TableGrid"/>
        <w:tblW w:w="0" w:type="auto"/>
        <w:tblLayout w:type="fixed"/>
        <w:tblLook w:val="0000" w:firstRow="0" w:lastRow="0" w:firstColumn="0" w:lastColumn="0" w:noHBand="0" w:noVBand="0"/>
      </w:tblPr>
      <w:tblGrid>
        <w:gridCol w:w="4531"/>
        <w:gridCol w:w="1701"/>
        <w:gridCol w:w="1701"/>
      </w:tblGrid>
      <w:tr w:rsidR="003A428B" w:rsidRPr="003A428B" w14:paraId="6B347B24" w14:textId="77777777" w:rsidTr="003A428B">
        <w:trPr>
          <w:trHeight w:val="340"/>
        </w:trPr>
        <w:tc>
          <w:tcPr>
            <w:tcW w:w="4531" w:type="dxa"/>
          </w:tcPr>
          <w:p w14:paraId="63FDA94B" w14:textId="77777777" w:rsidR="003A428B" w:rsidRPr="003A428B" w:rsidRDefault="003A428B" w:rsidP="003A428B">
            <w:pPr>
              <w:autoSpaceDE w:val="0"/>
              <w:autoSpaceDN w:val="0"/>
              <w:adjustRightInd w:val="0"/>
              <w:spacing w:line="240" w:lineRule="auto"/>
              <w:rPr>
                <w:rFonts w:cs="Arial"/>
                <w:color w:val="000000" w:themeColor="text1"/>
                <w:sz w:val="20"/>
                <w:szCs w:val="20"/>
              </w:rPr>
            </w:pPr>
          </w:p>
        </w:tc>
        <w:tc>
          <w:tcPr>
            <w:tcW w:w="1701" w:type="dxa"/>
          </w:tcPr>
          <w:p w14:paraId="1554841B"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A428B">
              <w:rPr>
                <w:rFonts w:cs="Arial"/>
                <w:b/>
                <w:bCs/>
                <w:color w:val="000000" w:themeColor="text1"/>
                <w:sz w:val="20"/>
                <w:szCs w:val="20"/>
              </w:rPr>
              <w:t>2025</w:t>
            </w:r>
          </w:p>
          <w:p w14:paraId="665CBBD3"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tl/>
                <w:lang w:bidi="ar-YE"/>
              </w:rPr>
              <w:t>£’000</w:t>
            </w:r>
          </w:p>
        </w:tc>
        <w:tc>
          <w:tcPr>
            <w:tcW w:w="1701" w:type="dxa"/>
          </w:tcPr>
          <w:p w14:paraId="0E9E7A74"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A428B">
              <w:rPr>
                <w:rFonts w:cs="Arial"/>
                <w:b/>
                <w:bCs/>
                <w:color w:val="000000" w:themeColor="text1"/>
                <w:sz w:val="20"/>
                <w:szCs w:val="20"/>
              </w:rPr>
              <w:t>2024</w:t>
            </w:r>
          </w:p>
          <w:p w14:paraId="70CC5DB9"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b/>
                <w:bCs/>
                <w:color w:val="000000" w:themeColor="text1"/>
                <w:sz w:val="20"/>
                <w:szCs w:val="20"/>
                <w:rtl/>
                <w:lang w:bidi="ar-YE"/>
              </w:rPr>
              <w:t>£’000</w:t>
            </w:r>
          </w:p>
        </w:tc>
      </w:tr>
      <w:tr w:rsidR="003A428B" w:rsidRPr="003A428B" w14:paraId="0B9FD486" w14:textId="77777777" w:rsidTr="003A428B">
        <w:trPr>
          <w:trHeight w:val="340"/>
        </w:trPr>
        <w:tc>
          <w:tcPr>
            <w:tcW w:w="4531" w:type="dxa"/>
            <w:vAlign w:val="center"/>
          </w:tcPr>
          <w:p w14:paraId="5764F45C"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Cash and bank balances</w:t>
            </w:r>
          </w:p>
        </w:tc>
        <w:tc>
          <w:tcPr>
            <w:tcW w:w="1701" w:type="dxa"/>
            <w:vAlign w:val="center"/>
          </w:tcPr>
          <w:p w14:paraId="56FF56FF"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23,731</w:t>
            </w:r>
          </w:p>
        </w:tc>
        <w:tc>
          <w:tcPr>
            <w:tcW w:w="1701" w:type="dxa"/>
            <w:vAlign w:val="center"/>
          </w:tcPr>
          <w:p w14:paraId="1CB94BDB" w14:textId="77777777" w:rsidR="003A428B" w:rsidRPr="003A428B" w:rsidRDefault="003A428B" w:rsidP="003A428B">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A428B">
              <w:rPr>
                <w:rFonts w:cs="Arial"/>
                <w:color w:val="000000" w:themeColor="text1"/>
                <w:sz w:val="20"/>
                <w:szCs w:val="20"/>
              </w:rPr>
              <w:t>24,266</w:t>
            </w:r>
          </w:p>
        </w:tc>
      </w:tr>
    </w:tbl>
    <w:p w14:paraId="551E2D7A" w14:textId="77777777" w:rsidR="003A428B" w:rsidRDefault="003A428B" w:rsidP="003A428B">
      <w:pPr>
        <w:rPr>
          <w:b/>
          <w:bCs/>
          <w:sz w:val="28"/>
          <w:szCs w:val="28"/>
        </w:rPr>
      </w:pPr>
    </w:p>
    <w:p w14:paraId="35402C3B" w14:textId="77777777" w:rsidR="003A428B" w:rsidRPr="003A428B" w:rsidRDefault="003A428B" w:rsidP="003F4D72">
      <w:pPr>
        <w:pStyle w:val="Heading2"/>
      </w:pPr>
      <w:bookmarkStart w:id="296" w:name="_Toc213058728"/>
      <w:r w:rsidRPr="003A428B">
        <w:t>20. Employee Benefits</w:t>
      </w:r>
      <w:bookmarkEnd w:id="296"/>
    </w:p>
    <w:p w14:paraId="79EDAFBE" w14:textId="77777777" w:rsidR="003A428B" w:rsidRPr="003A428B" w:rsidRDefault="003A428B" w:rsidP="003F4D72">
      <w:pPr>
        <w:pStyle w:val="Heading3"/>
      </w:pPr>
      <w:bookmarkStart w:id="297" w:name="_Toc213058729"/>
      <w:proofErr w:type="spellStart"/>
      <w:r w:rsidRPr="003A428B">
        <w:t>i</w:t>
      </w:r>
      <w:proofErr w:type="spellEnd"/>
      <w:r w:rsidRPr="003A428B">
        <w:t>. Description of the Schemes</w:t>
      </w:r>
      <w:bookmarkEnd w:id="297"/>
    </w:p>
    <w:p w14:paraId="2E7C03D6" w14:textId="77777777" w:rsidR="003A428B" w:rsidRPr="003A428B" w:rsidRDefault="003A428B" w:rsidP="003A428B">
      <w:pPr>
        <w:rPr>
          <w:rFonts w:cs="Arial"/>
          <w:b/>
          <w:bCs/>
          <w:color w:val="000000" w:themeColor="text1"/>
        </w:rPr>
      </w:pPr>
      <w:r w:rsidRPr="003A428B">
        <w:rPr>
          <w:rFonts w:cs="Arial"/>
          <w:b/>
          <w:bCs/>
          <w:i/>
          <w:iCs/>
          <w:color w:val="000000" w:themeColor="text1"/>
        </w:rPr>
        <w:t>NILGOS Scheme</w:t>
      </w:r>
    </w:p>
    <w:p w14:paraId="66ABED4D" w14:textId="77777777" w:rsidR="003A428B" w:rsidRPr="003A428B" w:rsidRDefault="003A428B" w:rsidP="003A428B">
      <w:pPr>
        <w:rPr>
          <w:rFonts w:cs="Arial"/>
          <w:color w:val="000000" w:themeColor="text1"/>
        </w:rPr>
      </w:pPr>
      <w:r w:rsidRPr="003A428B">
        <w:rPr>
          <w:rFonts w:cs="Arial"/>
          <w:color w:val="000000" w:themeColor="text1"/>
        </w:rPr>
        <w:t>The Company participates in the Northern Ireland Local Government Officers’ Superannuation (“NILGOS”) scheme. The NILGOS scheme is a multi-employer defined benefit scheme, the assets of which are held in a separate fund.   </w:t>
      </w:r>
    </w:p>
    <w:p w14:paraId="6CBB8487" w14:textId="77777777" w:rsidR="003A428B" w:rsidRPr="003A428B" w:rsidRDefault="003A428B" w:rsidP="003A428B">
      <w:pPr>
        <w:rPr>
          <w:rFonts w:cs="Arial"/>
          <w:color w:val="000000" w:themeColor="text1"/>
        </w:rPr>
      </w:pPr>
      <w:r w:rsidRPr="003A428B">
        <w:rPr>
          <w:rFonts w:cs="Arial"/>
          <w:color w:val="000000" w:themeColor="text1"/>
        </w:rPr>
        <w:t> </w:t>
      </w:r>
    </w:p>
    <w:p w14:paraId="70D81BE9" w14:textId="77777777" w:rsidR="003A428B" w:rsidRPr="003A428B" w:rsidRDefault="003A428B" w:rsidP="003A428B">
      <w:pPr>
        <w:rPr>
          <w:rFonts w:cs="Arial"/>
          <w:color w:val="000000" w:themeColor="text1"/>
        </w:rPr>
      </w:pPr>
      <w:r w:rsidRPr="003A428B">
        <w:rPr>
          <w:rFonts w:cs="Arial"/>
          <w:color w:val="000000" w:themeColor="text1"/>
        </w:rPr>
        <w:t>Under the scheme, members are entitled to post-retirement benefits varying between one eightieth (plus lump sum of three eightieths) and one sixtieth of final pensionable salary on attainment of a retirement age of 65 years for service up to 29 March 2015 and to post-retirement benefits of one forty-ninth of pensionable salary in respect of each year on attainment</w:t>
      </w:r>
      <w:r w:rsidRPr="003A428B">
        <w:rPr>
          <w:rFonts w:cs="Arial"/>
          <w:color w:val="000000" w:themeColor="text1"/>
        </w:rPr>
        <w:br/>
        <w:t xml:space="preserve"> of retirement age for service from 1 April 2015. </w:t>
      </w:r>
    </w:p>
    <w:p w14:paraId="2DB3B700" w14:textId="77777777" w:rsidR="003A428B" w:rsidRPr="003A428B" w:rsidRDefault="003A428B" w:rsidP="003A428B">
      <w:pPr>
        <w:rPr>
          <w:rFonts w:cs="Arial"/>
          <w:color w:val="000000" w:themeColor="text1"/>
        </w:rPr>
      </w:pPr>
      <w:r w:rsidRPr="003A428B">
        <w:rPr>
          <w:rFonts w:cs="Arial"/>
          <w:color w:val="000000" w:themeColor="text1"/>
        </w:rPr>
        <w:t> </w:t>
      </w:r>
    </w:p>
    <w:p w14:paraId="6F9CD547" w14:textId="1A74BE49" w:rsidR="003A428B" w:rsidRPr="003A428B" w:rsidRDefault="003A428B" w:rsidP="003A428B">
      <w:pPr>
        <w:rPr>
          <w:rFonts w:cs="Arial"/>
          <w:color w:val="000000" w:themeColor="text1"/>
        </w:rPr>
      </w:pPr>
      <w:r w:rsidRPr="003A428B">
        <w:rPr>
          <w:rFonts w:cs="Arial"/>
          <w:color w:val="000000" w:themeColor="text1"/>
        </w:rPr>
        <w:t xml:space="preserve">The NILGOS scheme exposes the group to actuarial risks such as: </w:t>
      </w:r>
      <w:proofErr w:type="spellStart"/>
      <w:r w:rsidRPr="003A428B">
        <w:rPr>
          <w:rFonts w:cs="Arial"/>
          <w:color w:val="000000" w:themeColor="text1"/>
        </w:rPr>
        <w:t>investmentrisk</w:t>
      </w:r>
      <w:proofErr w:type="spellEnd"/>
      <w:r w:rsidRPr="003A428B">
        <w:rPr>
          <w:rFonts w:cs="Arial"/>
          <w:color w:val="000000" w:themeColor="text1"/>
        </w:rPr>
        <w:t>, interest rate risk, longevity risk and salary risk.    </w:t>
      </w:r>
    </w:p>
    <w:p w14:paraId="6EAEE705" w14:textId="77777777" w:rsidR="003A428B" w:rsidRPr="003A428B" w:rsidRDefault="003A428B" w:rsidP="003A428B">
      <w:pPr>
        <w:rPr>
          <w:rFonts w:cs="Arial"/>
          <w:color w:val="000000" w:themeColor="text1"/>
        </w:rPr>
      </w:pPr>
      <w:r w:rsidRPr="003A428B">
        <w:rPr>
          <w:rFonts w:cs="Arial"/>
          <w:color w:val="000000" w:themeColor="text1"/>
        </w:rPr>
        <w:lastRenderedPageBreak/>
        <w:t> </w:t>
      </w:r>
    </w:p>
    <w:p w14:paraId="46E1B01D" w14:textId="77777777" w:rsidR="003A428B" w:rsidRPr="003A428B" w:rsidRDefault="003A428B" w:rsidP="003A428B">
      <w:pPr>
        <w:rPr>
          <w:rFonts w:cs="Arial"/>
          <w:color w:val="000000" w:themeColor="text1"/>
        </w:rPr>
      </w:pPr>
      <w:r w:rsidRPr="003A428B">
        <w:rPr>
          <w:rFonts w:cs="Arial"/>
          <w:color w:val="000000" w:themeColor="text1"/>
        </w:rPr>
        <w:t xml:space="preserve">The pension cost and funding arrangements are assessed in accordance with the advice of qualified actuaries using the projected unit credit method (an accrued benefits valuation method in which the scheme liabilities make allowances for projected earnings).  The latest triennial valuation of the entire NILGOS scheme was </w:t>
      </w:r>
      <w:proofErr w:type="gramStart"/>
      <w:r w:rsidRPr="003A428B">
        <w:rPr>
          <w:rFonts w:cs="Arial"/>
          <w:color w:val="000000" w:themeColor="text1"/>
        </w:rPr>
        <w:t>at</w:t>
      </w:r>
      <w:proofErr w:type="gramEnd"/>
      <w:r w:rsidRPr="003A428B">
        <w:rPr>
          <w:rFonts w:cs="Arial"/>
          <w:color w:val="000000" w:themeColor="text1"/>
        </w:rPr>
        <w:t xml:space="preserve"> 31 March 2022.  The market value of the assets at the date of the valuation was £10,231 million and represented 111% of benefits accruing to members after allowing for expected future increase in earnings and pensions. The employer contribution rate had been set at 19.5% following the previous valuation.  The employer contribution rate for the year commencing 1 April 2023 and subsequent years has been set at 19%. </w:t>
      </w:r>
    </w:p>
    <w:p w14:paraId="5B2E27C5" w14:textId="77777777" w:rsidR="003A428B" w:rsidRPr="003A428B" w:rsidRDefault="003A428B" w:rsidP="003A428B">
      <w:pPr>
        <w:rPr>
          <w:rFonts w:cs="Arial"/>
          <w:color w:val="000000" w:themeColor="text1"/>
        </w:rPr>
      </w:pPr>
      <w:r w:rsidRPr="003A428B">
        <w:rPr>
          <w:rFonts w:cs="Arial"/>
          <w:color w:val="000000" w:themeColor="text1"/>
        </w:rPr>
        <w:t> </w:t>
      </w:r>
    </w:p>
    <w:p w14:paraId="14B8853D" w14:textId="77777777" w:rsidR="003A428B" w:rsidRDefault="003A428B" w:rsidP="003A428B">
      <w:pPr>
        <w:rPr>
          <w:rFonts w:cs="Arial"/>
          <w:color w:val="000000" w:themeColor="text1"/>
        </w:rPr>
      </w:pPr>
      <w:r w:rsidRPr="003A428B">
        <w:rPr>
          <w:rFonts w:cs="Arial"/>
          <w:color w:val="000000" w:themeColor="text1"/>
        </w:rPr>
        <w:t>The Directors have obtained an update from the 31 March 2022 NILGOS valuation to 30 March 2025 using the major assumptions set out below.  This update was prepared by qualified actuaries employed by Mercer Limited.</w:t>
      </w:r>
    </w:p>
    <w:p w14:paraId="317F388B" w14:textId="77777777" w:rsidR="003A428B" w:rsidRDefault="003A428B" w:rsidP="003A428B">
      <w:pPr>
        <w:rPr>
          <w:rFonts w:cs="Arial"/>
          <w:color w:val="000000" w:themeColor="text1"/>
        </w:rPr>
      </w:pPr>
    </w:p>
    <w:tbl>
      <w:tblPr>
        <w:tblStyle w:val="TableGrid"/>
        <w:tblW w:w="0" w:type="auto"/>
        <w:tblLayout w:type="fixed"/>
        <w:tblLook w:val="0000" w:firstRow="0" w:lastRow="0" w:firstColumn="0" w:lastColumn="0" w:noHBand="0" w:noVBand="0"/>
      </w:tblPr>
      <w:tblGrid>
        <w:gridCol w:w="5665"/>
        <w:gridCol w:w="1701"/>
        <w:gridCol w:w="1701"/>
      </w:tblGrid>
      <w:tr w:rsidR="003A428B" w:rsidRPr="003A428B" w14:paraId="3EF96091" w14:textId="77777777" w:rsidTr="003A428B">
        <w:trPr>
          <w:trHeight w:val="283"/>
        </w:trPr>
        <w:tc>
          <w:tcPr>
            <w:tcW w:w="5665" w:type="dxa"/>
          </w:tcPr>
          <w:p w14:paraId="42ED4EF4"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b/>
                <w:bCs/>
                <w:color w:val="000000" w:themeColor="text1"/>
                <w:sz w:val="20"/>
                <w:szCs w:val="20"/>
              </w:rPr>
              <w:t>NILGOS Scheme</w:t>
            </w:r>
          </w:p>
        </w:tc>
        <w:tc>
          <w:tcPr>
            <w:tcW w:w="1701" w:type="dxa"/>
          </w:tcPr>
          <w:p w14:paraId="24FAB2B2"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b/>
                <w:bCs/>
                <w:color w:val="000000" w:themeColor="text1"/>
                <w:sz w:val="20"/>
                <w:szCs w:val="20"/>
              </w:rPr>
              <w:t>2025</w:t>
            </w:r>
          </w:p>
        </w:tc>
        <w:tc>
          <w:tcPr>
            <w:tcW w:w="1701" w:type="dxa"/>
          </w:tcPr>
          <w:p w14:paraId="40A61827"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b/>
                <w:bCs/>
                <w:color w:val="000000" w:themeColor="text1"/>
                <w:sz w:val="20"/>
                <w:szCs w:val="20"/>
              </w:rPr>
              <w:t>2024</w:t>
            </w:r>
          </w:p>
        </w:tc>
      </w:tr>
      <w:tr w:rsidR="003A428B" w:rsidRPr="003A428B" w14:paraId="11B387B6" w14:textId="77777777" w:rsidTr="003A428B">
        <w:trPr>
          <w:trHeight w:val="283"/>
        </w:trPr>
        <w:tc>
          <w:tcPr>
            <w:tcW w:w="5665" w:type="dxa"/>
          </w:tcPr>
          <w:p w14:paraId="7FFA70B1"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Discount rate</w:t>
            </w:r>
          </w:p>
        </w:tc>
        <w:tc>
          <w:tcPr>
            <w:tcW w:w="1701" w:type="dxa"/>
          </w:tcPr>
          <w:p w14:paraId="45C22438"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5.9%</w:t>
            </w:r>
          </w:p>
        </w:tc>
        <w:tc>
          <w:tcPr>
            <w:tcW w:w="1701" w:type="dxa"/>
          </w:tcPr>
          <w:p w14:paraId="43F4642A"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4.9%</w:t>
            </w:r>
          </w:p>
        </w:tc>
      </w:tr>
      <w:tr w:rsidR="003A428B" w:rsidRPr="003A428B" w14:paraId="5DB74810" w14:textId="77777777" w:rsidTr="003A428B">
        <w:trPr>
          <w:trHeight w:val="283"/>
        </w:trPr>
        <w:tc>
          <w:tcPr>
            <w:tcW w:w="5665" w:type="dxa"/>
          </w:tcPr>
          <w:p w14:paraId="2F6A0C89"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Expected rate of salary increase</w:t>
            </w:r>
          </w:p>
        </w:tc>
        <w:tc>
          <w:tcPr>
            <w:tcW w:w="1701" w:type="dxa"/>
          </w:tcPr>
          <w:p w14:paraId="126FBF2F"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3.0%</w:t>
            </w:r>
          </w:p>
        </w:tc>
        <w:tc>
          <w:tcPr>
            <w:tcW w:w="1701" w:type="dxa"/>
          </w:tcPr>
          <w:p w14:paraId="640638A0"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3.0%</w:t>
            </w:r>
          </w:p>
        </w:tc>
      </w:tr>
      <w:tr w:rsidR="003A428B" w:rsidRPr="003A428B" w14:paraId="2D8B0FBA" w14:textId="77777777" w:rsidTr="003A428B">
        <w:trPr>
          <w:trHeight w:val="283"/>
        </w:trPr>
        <w:tc>
          <w:tcPr>
            <w:tcW w:w="5665" w:type="dxa"/>
          </w:tcPr>
          <w:p w14:paraId="5B5463E7"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 xml:space="preserve">Future pension increases </w:t>
            </w:r>
          </w:p>
        </w:tc>
        <w:tc>
          <w:tcPr>
            <w:tcW w:w="1701" w:type="dxa"/>
          </w:tcPr>
          <w:p w14:paraId="4F8989CE"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2.7%</w:t>
            </w:r>
          </w:p>
        </w:tc>
        <w:tc>
          <w:tcPr>
            <w:tcW w:w="1701" w:type="dxa"/>
          </w:tcPr>
          <w:p w14:paraId="6A788B76"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2.7%</w:t>
            </w:r>
          </w:p>
        </w:tc>
      </w:tr>
      <w:tr w:rsidR="003A428B" w:rsidRPr="003A428B" w14:paraId="4D4970F3" w14:textId="77777777" w:rsidTr="003A428B">
        <w:trPr>
          <w:trHeight w:val="283"/>
        </w:trPr>
        <w:tc>
          <w:tcPr>
            <w:tcW w:w="5665" w:type="dxa"/>
          </w:tcPr>
          <w:p w14:paraId="4AE70E96"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Inflation (RPI)</w:t>
            </w:r>
          </w:p>
        </w:tc>
        <w:tc>
          <w:tcPr>
            <w:tcW w:w="1701" w:type="dxa"/>
          </w:tcPr>
          <w:p w14:paraId="1D277D4A"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3.0%</w:t>
            </w:r>
          </w:p>
        </w:tc>
        <w:tc>
          <w:tcPr>
            <w:tcW w:w="1701" w:type="dxa"/>
          </w:tcPr>
          <w:p w14:paraId="0EFE4FD6"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3.1%</w:t>
            </w:r>
          </w:p>
        </w:tc>
      </w:tr>
      <w:tr w:rsidR="003A428B" w:rsidRPr="003A428B" w14:paraId="28BC61A0" w14:textId="77777777" w:rsidTr="003A428B">
        <w:trPr>
          <w:trHeight w:val="283"/>
        </w:trPr>
        <w:tc>
          <w:tcPr>
            <w:tcW w:w="5665" w:type="dxa"/>
          </w:tcPr>
          <w:p w14:paraId="157EFA90" w14:textId="77777777" w:rsidR="003A428B" w:rsidRPr="003A428B" w:rsidRDefault="003A428B" w:rsidP="003A428B">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Inflation (CPI)</w:t>
            </w:r>
          </w:p>
        </w:tc>
        <w:tc>
          <w:tcPr>
            <w:tcW w:w="1701" w:type="dxa"/>
          </w:tcPr>
          <w:p w14:paraId="435F2973"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2.7%</w:t>
            </w:r>
          </w:p>
        </w:tc>
        <w:tc>
          <w:tcPr>
            <w:tcW w:w="1701" w:type="dxa"/>
          </w:tcPr>
          <w:p w14:paraId="34C5F107" w14:textId="77777777" w:rsidR="003A428B" w:rsidRPr="003A428B" w:rsidRDefault="003A428B" w:rsidP="003A428B">
            <w:pPr>
              <w:autoSpaceDE w:val="0"/>
              <w:autoSpaceDN w:val="0"/>
              <w:adjustRightInd w:val="0"/>
              <w:spacing w:line="240" w:lineRule="auto"/>
              <w:ind w:left="539"/>
              <w:jc w:val="right"/>
              <w:textAlignment w:val="center"/>
              <w:rPr>
                <w:rFonts w:cs="Arial"/>
                <w:color w:val="000000" w:themeColor="text1"/>
                <w:sz w:val="20"/>
                <w:szCs w:val="20"/>
              </w:rPr>
            </w:pPr>
            <w:r w:rsidRPr="003A428B">
              <w:rPr>
                <w:rFonts w:cs="Arial"/>
                <w:color w:val="000000" w:themeColor="text1"/>
                <w:sz w:val="20"/>
                <w:szCs w:val="20"/>
              </w:rPr>
              <w:t>2.7%</w:t>
            </w:r>
          </w:p>
        </w:tc>
      </w:tr>
    </w:tbl>
    <w:p w14:paraId="08509850" w14:textId="77777777" w:rsidR="003A428B" w:rsidRPr="003A428B" w:rsidRDefault="003A428B" w:rsidP="003A428B">
      <w:pPr>
        <w:rPr>
          <w:rFonts w:cs="Arial"/>
          <w:color w:val="000000" w:themeColor="text1"/>
        </w:rPr>
      </w:pPr>
    </w:p>
    <w:p w14:paraId="2D2D29AE" w14:textId="77777777" w:rsidR="003A428B" w:rsidRDefault="003A428B" w:rsidP="003F4D72">
      <w:pPr>
        <w:pStyle w:val="Heading3"/>
      </w:pPr>
      <w:bookmarkStart w:id="298" w:name="_Toc213058730"/>
      <w:r w:rsidRPr="003A428B">
        <w:t>Mortality Assumptions</w:t>
      </w:r>
      <w:bookmarkEnd w:id="298"/>
    </w:p>
    <w:tbl>
      <w:tblPr>
        <w:tblStyle w:val="TableGrid"/>
        <w:tblW w:w="0" w:type="auto"/>
        <w:tblLayout w:type="fixed"/>
        <w:tblLook w:val="0000" w:firstRow="0" w:lastRow="0" w:firstColumn="0" w:lastColumn="0" w:noHBand="0" w:noVBand="0"/>
      </w:tblPr>
      <w:tblGrid>
        <w:gridCol w:w="5665"/>
        <w:gridCol w:w="1701"/>
        <w:gridCol w:w="1701"/>
      </w:tblGrid>
      <w:tr w:rsidR="003A428B" w:rsidRPr="003A428B" w14:paraId="44F8F762" w14:textId="77777777" w:rsidTr="00194FB9">
        <w:trPr>
          <w:trHeight w:val="283"/>
        </w:trPr>
        <w:tc>
          <w:tcPr>
            <w:tcW w:w="5665" w:type="dxa"/>
          </w:tcPr>
          <w:p w14:paraId="60F30035" w14:textId="77777777" w:rsidR="003A428B" w:rsidRPr="003A428B" w:rsidRDefault="003A428B" w:rsidP="00194FB9">
            <w:pPr>
              <w:autoSpaceDE w:val="0"/>
              <w:autoSpaceDN w:val="0"/>
              <w:adjustRightInd w:val="0"/>
              <w:spacing w:line="240" w:lineRule="auto"/>
              <w:rPr>
                <w:rFonts w:cs="Arial"/>
                <w:color w:val="000000" w:themeColor="text1"/>
                <w:sz w:val="20"/>
                <w:szCs w:val="20"/>
              </w:rPr>
            </w:pPr>
          </w:p>
        </w:tc>
        <w:tc>
          <w:tcPr>
            <w:tcW w:w="1701" w:type="dxa"/>
          </w:tcPr>
          <w:p w14:paraId="655BE47E" w14:textId="77777777" w:rsidR="003A428B" w:rsidRPr="003A428B" w:rsidRDefault="003A428B" w:rsidP="00194FB9">
            <w:pPr>
              <w:autoSpaceDE w:val="0"/>
              <w:autoSpaceDN w:val="0"/>
              <w:adjustRightInd w:val="0"/>
              <w:spacing w:line="240" w:lineRule="auto"/>
              <w:ind w:left="253" w:right="144"/>
              <w:jc w:val="right"/>
              <w:textAlignment w:val="center"/>
              <w:rPr>
                <w:rFonts w:cs="Arial"/>
                <w:b/>
                <w:bCs/>
                <w:color w:val="000000" w:themeColor="text1"/>
                <w:sz w:val="20"/>
                <w:szCs w:val="20"/>
              </w:rPr>
            </w:pPr>
            <w:r w:rsidRPr="003A428B">
              <w:rPr>
                <w:rFonts w:cs="Arial"/>
                <w:b/>
                <w:bCs/>
                <w:color w:val="000000" w:themeColor="text1"/>
                <w:sz w:val="20"/>
                <w:szCs w:val="20"/>
              </w:rPr>
              <w:t>2025</w:t>
            </w:r>
          </w:p>
          <w:p w14:paraId="11599D8D" w14:textId="77777777" w:rsidR="003A428B" w:rsidRPr="003A428B" w:rsidRDefault="003A428B" w:rsidP="00194FB9">
            <w:pPr>
              <w:autoSpaceDE w:val="0"/>
              <w:autoSpaceDN w:val="0"/>
              <w:adjustRightInd w:val="0"/>
              <w:spacing w:line="240" w:lineRule="auto"/>
              <w:ind w:left="253" w:right="144"/>
              <w:jc w:val="right"/>
              <w:textAlignment w:val="center"/>
              <w:rPr>
                <w:rFonts w:cs="Arial"/>
                <w:color w:val="000000" w:themeColor="text1"/>
                <w:sz w:val="20"/>
                <w:szCs w:val="20"/>
              </w:rPr>
            </w:pPr>
            <w:r w:rsidRPr="003A428B">
              <w:rPr>
                <w:rFonts w:cs="Arial"/>
                <w:b/>
                <w:bCs/>
                <w:color w:val="000000" w:themeColor="text1"/>
                <w:sz w:val="20"/>
                <w:szCs w:val="20"/>
              </w:rPr>
              <w:t>Years</w:t>
            </w:r>
          </w:p>
        </w:tc>
        <w:tc>
          <w:tcPr>
            <w:tcW w:w="1701" w:type="dxa"/>
          </w:tcPr>
          <w:p w14:paraId="35FDF3A7" w14:textId="77777777" w:rsidR="003A428B" w:rsidRPr="003A428B" w:rsidRDefault="003A428B" w:rsidP="00194FB9">
            <w:pPr>
              <w:autoSpaceDE w:val="0"/>
              <w:autoSpaceDN w:val="0"/>
              <w:adjustRightInd w:val="0"/>
              <w:spacing w:line="240" w:lineRule="auto"/>
              <w:ind w:left="253" w:right="144"/>
              <w:jc w:val="right"/>
              <w:textAlignment w:val="center"/>
              <w:rPr>
                <w:rFonts w:cs="Arial"/>
                <w:b/>
                <w:bCs/>
                <w:color w:val="000000" w:themeColor="text1"/>
                <w:sz w:val="20"/>
                <w:szCs w:val="20"/>
              </w:rPr>
            </w:pPr>
            <w:r w:rsidRPr="003A428B">
              <w:rPr>
                <w:rFonts w:cs="Arial"/>
                <w:b/>
                <w:bCs/>
                <w:color w:val="000000" w:themeColor="text1"/>
                <w:sz w:val="20"/>
                <w:szCs w:val="20"/>
              </w:rPr>
              <w:t>2024</w:t>
            </w:r>
          </w:p>
          <w:p w14:paraId="6A7927CE" w14:textId="77777777" w:rsidR="003A428B" w:rsidRPr="003A428B" w:rsidRDefault="003A428B" w:rsidP="00194FB9">
            <w:pPr>
              <w:autoSpaceDE w:val="0"/>
              <w:autoSpaceDN w:val="0"/>
              <w:adjustRightInd w:val="0"/>
              <w:spacing w:line="240" w:lineRule="auto"/>
              <w:ind w:left="253" w:right="144"/>
              <w:jc w:val="right"/>
              <w:textAlignment w:val="center"/>
              <w:rPr>
                <w:rFonts w:cs="Arial"/>
                <w:color w:val="000000" w:themeColor="text1"/>
                <w:sz w:val="20"/>
                <w:szCs w:val="20"/>
              </w:rPr>
            </w:pPr>
            <w:r w:rsidRPr="003A428B">
              <w:rPr>
                <w:rFonts w:cs="Arial"/>
                <w:b/>
                <w:bCs/>
                <w:color w:val="000000" w:themeColor="text1"/>
                <w:sz w:val="20"/>
                <w:szCs w:val="20"/>
              </w:rPr>
              <w:t>Years</w:t>
            </w:r>
          </w:p>
        </w:tc>
      </w:tr>
      <w:tr w:rsidR="003A428B" w:rsidRPr="003A428B" w14:paraId="667E0BFB" w14:textId="77777777" w:rsidTr="00194FB9">
        <w:trPr>
          <w:trHeight w:val="283"/>
        </w:trPr>
        <w:tc>
          <w:tcPr>
            <w:tcW w:w="5665" w:type="dxa"/>
          </w:tcPr>
          <w:p w14:paraId="1E373382"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Retiring today:</w:t>
            </w:r>
          </w:p>
        </w:tc>
        <w:tc>
          <w:tcPr>
            <w:tcW w:w="1701" w:type="dxa"/>
          </w:tcPr>
          <w:p w14:paraId="46BFD1F3" w14:textId="77777777" w:rsidR="003A428B" w:rsidRPr="003A428B" w:rsidRDefault="003A428B" w:rsidP="00194FB9">
            <w:pPr>
              <w:autoSpaceDE w:val="0"/>
              <w:autoSpaceDN w:val="0"/>
              <w:adjustRightInd w:val="0"/>
              <w:spacing w:line="240" w:lineRule="auto"/>
              <w:rPr>
                <w:rFonts w:cs="Arial"/>
                <w:color w:val="000000" w:themeColor="text1"/>
                <w:sz w:val="20"/>
                <w:szCs w:val="20"/>
              </w:rPr>
            </w:pPr>
          </w:p>
        </w:tc>
        <w:tc>
          <w:tcPr>
            <w:tcW w:w="1701" w:type="dxa"/>
          </w:tcPr>
          <w:p w14:paraId="47E63B4E" w14:textId="77777777" w:rsidR="003A428B" w:rsidRPr="003A428B" w:rsidRDefault="003A428B" w:rsidP="00194FB9">
            <w:pPr>
              <w:autoSpaceDE w:val="0"/>
              <w:autoSpaceDN w:val="0"/>
              <w:adjustRightInd w:val="0"/>
              <w:spacing w:line="240" w:lineRule="auto"/>
              <w:rPr>
                <w:rFonts w:cs="Arial"/>
                <w:color w:val="000000" w:themeColor="text1"/>
                <w:sz w:val="20"/>
                <w:szCs w:val="20"/>
              </w:rPr>
            </w:pPr>
          </w:p>
        </w:tc>
      </w:tr>
      <w:tr w:rsidR="003A428B" w:rsidRPr="003A428B" w14:paraId="7041010D" w14:textId="77777777" w:rsidTr="00194FB9">
        <w:trPr>
          <w:trHeight w:val="283"/>
        </w:trPr>
        <w:tc>
          <w:tcPr>
            <w:tcW w:w="5665" w:type="dxa"/>
          </w:tcPr>
          <w:p w14:paraId="0C9E8490"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Males</w:t>
            </w:r>
          </w:p>
        </w:tc>
        <w:tc>
          <w:tcPr>
            <w:tcW w:w="1701" w:type="dxa"/>
          </w:tcPr>
          <w:p w14:paraId="38503CC3"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22.4</w:t>
            </w:r>
          </w:p>
        </w:tc>
        <w:tc>
          <w:tcPr>
            <w:tcW w:w="1701" w:type="dxa"/>
          </w:tcPr>
          <w:p w14:paraId="7937E45F"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22.3</w:t>
            </w:r>
          </w:p>
        </w:tc>
      </w:tr>
      <w:tr w:rsidR="003A428B" w:rsidRPr="003A428B" w14:paraId="12832AE0" w14:textId="77777777" w:rsidTr="00194FB9">
        <w:trPr>
          <w:trHeight w:val="283"/>
        </w:trPr>
        <w:tc>
          <w:tcPr>
            <w:tcW w:w="5665" w:type="dxa"/>
          </w:tcPr>
          <w:p w14:paraId="08D2492F"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Females</w:t>
            </w:r>
          </w:p>
        </w:tc>
        <w:tc>
          <w:tcPr>
            <w:tcW w:w="1701" w:type="dxa"/>
          </w:tcPr>
          <w:p w14:paraId="064E547D"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25.2</w:t>
            </w:r>
          </w:p>
        </w:tc>
        <w:tc>
          <w:tcPr>
            <w:tcW w:w="1701" w:type="dxa"/>
          </w:tcPr>
          <w:p w14:paraId="060BECAC"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25.1</w:t>
            </w:r>
          </w:p>
        </w:tc>
      </w:tr>
      <w:tr w:rsidR="003A428B" w:rsidRPr="003A428B" w14:paraId="7CECD3EB" w14:textId="77777777" w:rsidTr="00194FB9">
        <w:trPr>
          <w:trHeight w:val="283"/>
        </w:trPr>
        <w:tc>
          <w:tcPr>
            <w:tcW w:w="5665" w:type="dxa"/>
          </w:tcPr>
          <w:p w14:paraId="4D10832E"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Retiring in 20 years:</w:t>
            </w:r>
          </w:p>
        </w:tc>
        <w:tc>
          <w:tcPr>
            <w:tcW w:w="1701" w:type="dxa"/>
          </w:tcPr>
          <w:p w14:paraId="0D855135" w14:textId="77777777" w:rsidR="003A428B" w:rsidRPr="003A428B" w:rsidRDefault="003A428B" w:rsidP="00194FB9">
            <w:pPr>
              <w:autoSpaceDE w:val="0"/>
              <w:autoSpaceDN w:val="0"/>
              <w:adjustRightInd w:val="0"/>
              <w:spacing w:line="240" w:lineRule="auto"/>
              <w:rPr>
                <w:rFonts w:cs="Arial"/>
                <w:color w:val="000000" w:themeColor="text1"/>
                <w:sz w:val="20"/>
                <w:szCs w:val="20"/>
              </w:rPr>
            </w:pPr>
          </w:p>
        </w:tc>
        <w:tc>
          <w:tcPr>
            <w:tcW w:w="1701" w:type="dxa"/>
          </w:tcPr>
          <w:p w14:paraId="4E891B65" w14:textId="77777777" w:rsidR="003A428B" w:rsidRPr="003A428B" w:rsidRDefault="003A428B" w:rsidP="00194FB9">
            <w:pPr>
              <w:autoSpaceDE w:val="0"/>
              <w:autoSpaceDN w:val="0"/>
              <w:adjustRightInd w:val="0"/>
              <w:spacing w:line="240" w:lineRule="auto"/>
              <w:rPr>
                <w:rFonts w:cs="Arial"/>
                <w:color w:val="000000" w:themeColor="text1"/>
                <w:sz w:val="20"/>
                <w:szCs w:val="20"/>
              </w:rPr>
            </w:pPr>
          </w:p>
        </w:tc>
      </w:tr>
      <w:tr w:rsidR="003A428B" w:rsidRPr="003A428B" w14:paraId="3EE86A0F" w14:textId="77777777" w:rsidTr="00194FB9">
        <w:trPr>
          <w:trHeight w:val="283"/>
        </w:trPr>
        <w:tc>
          <w:tcPr>
            <w:tcW w:w="5665" w:type="dxa"/>
          </w:tcPr>
          <w:p w14:paraId="248AE398"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Males</w:t>
            </w:r>
          </w:p>
        </w:tc>
        <w:tc>
          <w:tcPr>
            <w:tcW w:w="1701" w:type="dxa"/>
          </w:tcPr>
          <w:p w14:paraId="7F4A1668"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23.4</w:t>
            </w:r>
          </w:p>
        </w:tc>
        <w:tc>
          <w:tcPr>
            <w:tcW w:w="1701" w:type="dxa"/>
          </w:tcPr>
          <w:p w14:paraId="584A8BF7"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23.2</w:t>
            </w:r>
          </w:p>
        </w:tc>
      </w:tr>
      <w:tr w:rsidR="003A428B" w:rsidRPr="003A428B" w14:paraId="2DA0EE2F" w14:textId="77777777" w:rsidTr="00194FB9">
        <w:trPr>
          <w:trHeight w:val="283"/>
        </w:trPr>
        <w:tc>
          <w:tcPr>
            <w:tcW w:w="5665" w:type="dxa"/>
          </w:tcPr>
          <w:p w14:paraId="7539876E" w14:textId="77777777" w:rsidR="003A428B" w:rsidRPr="003A428B" w:rsidRDefault="003A428B" w:rsidP="00194FB9">
            <w:pPr>
              <w:autoSpaceDE w:val="0"/>
              <w:autoSpaceDN w:val="0"/>
              <w:adjustRightInd w:val="0"/>
              <w:spacing w:line="240" w:lineRule="auto"/>
              <w:textAlignment w:val="center"/>
              <w:rPr>
                <w:rFonts w:cs="Arial"/>
                <w:color w:val="000000" w:themeColor="text1"/>
                <w:sz w:val="20"/>
                <w:szCs w:val="20"/>
              </w:rPr>
            </w:pPr>
            <w:r w:rsidRPr="003A428B">
              <w:rPr>
                <w:rFonts w:cs="Arial"/>
                <w:color w:val="000000" w:themeColor="text1"/>
                <w:sz w:val="20"/>
                <w:szCs w:val="20"/>
              </w:rPr>
              <w:t>Females</w:t>
            </w:r>
          </w:p>
        </w:tc>
        <w:tc>
          <w:tcPr>
            <w:tcW w:w="1701" w:type="dxa"/>
          </w:tcPr>
          <w:p w14:paraId="3B0D79D4"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26.2</w:t>
            </w:r>
          </w:p>
        </w:tc>
        <w:tc>
          <w:tcPr>
            <w:tcW w:w="1701" w:type="dxa"/>
          </w:tcPr>
          <w:p w14:paraId="0F077F07" w14:textId="77777777" w:rsidR="003A428B" w:rsidRPr="003A428B" w:rsidRDefault="003A428B" w:rsidP="00194FB9">
            <w:pPr>
              <w:autoSpaceDE w:val="0"/>
              <w:autoSpaceDN w:val="0"/>
              <w:adjustRightInd w:val="0"/>
              <w:spacing w:line="240" w:lineRule="auto"/>
              <w:ind w:left="539" w:right="144"/>
              <w:jc w:val="right"/>
              <w:textAlignment w:val="center"/>
              <w:rPr>
                <w:rFonts w:cs="Arial"/>
                <w:color w:val="000000" w:themeColor="text1"/>
                <w:sz w:val="20"/>
                <w:szCs w:val="20"/>
              </w:rPr>
            </w:pPr>
            <w:r w:rsidRPr="003A428B">
              <w:rPr>
                <w:rFonts w:cs="Arial"/>
                <w:color w:val="000000" w:themeColor="text1"/>
                <w:sz w:val="20"/>
                <w:szCs w:val="20"/>
              </w:rPr>
              <w:t>26.2</w:t>
            </w:r>
          </w:p>
        </w:tc>
      </w:tr>
    </w:tbl>
    <w:p w14:paraId="2FBC08B7" w14:textId="77777777" w:rsidR="003A428B" w:rsidRPr="003A428B" w:rsidRDefault="003A428B" w:rsidP="003A428B">
      <w:pPr>
        <w:rPr>
          <w:b/>
          <w:bCs/>
          <w:sz w:val="28"/>
          <w:szCs w:val="28"/>
        </w:rPr>
      </w:pPr>
    </w:p>
    <w:p w14:paraId="49026FF2" w14:textId="000FB0A1" w:rsidR="00194FB9" w:rsidRDefault="00194FB9" w:rsidP="00194FB9">
      <w:r w:rsidRPr="00194FB9">
        <w:t>Significant actuarial assumptions for the determination of the defined benefit obligation are discount rate, expected salary increase and mortality.  The sensitivity analysis below has been determined based on reasonably possible changes of the assumptions occurring at the end of the reporting period assuming all other assumptions are held constant:</w:t>
      </w:r>
    </w:p>
    <w:p w14:paraId="5E15A960" w14:textId="5FC3F0CD" w:rsidR="00194FB9" w:rsidRDefault="00194FB9" w:rsidP="00194FB9">
      <w:pPr>
        <w:spacing w:line="240" w:lineRule="auto"/>
      </w:pPr>
      <w:r>
        <w:br w:type="page"/>
      </w:r>
    </w:p>
    <w:tbl>
      <w:tblPr>
        <w:tblStyle w:val="TableGrid"/>
        <w:tblW w:w="0" w:type="auto"/>
        <w:tblLayout w:type="fixed"/>
        <w:tblLook w:val="0000" w:firstRow="0" w:lastRow="0" w:firstColumn="0" w:lastColumn="0" w:noHBand="0" w:noVBand="0"/>
      </w:tblPr>
      <w:tblGrid>
        <w:gridCol w:w="3307"/>
        <w:gridCol w:w="3241"/>
        <w:gridCol w:w="3307"/>
      </w:tblGrid>
      <w:tr w:rsidR="00194FB9" w:rsidRPr="00194FB9" w14:paraId="0D9C3ADF" w14:textId="77777777" w:rsidTr="00194FB9">
        <w:trPr>
          <w:trHeight w:val="397"/>
        </w:trPr>
        <w:tc>
          <w:tcPr>
            <w:tcW w:w="3307" w:type="dxa"/>
            <w:vAlign w:val="center"/>
          </w:tcPr>
          <w:p w14:paraId="318F3F28" w14:textId="77777777" w:rsidR="00194FB9" w:rsidRPr="00194FB9" w:rsidRDefault="00194FB9" w:rsidP="00194FB9">
            <w:pPr>
              <w:autoSpaceDE w:val="0"/>
              <w:autoSpaceDN w:val="0"/>
              <w:adjustRightInd w:val="0"/>
              <w:spacing w:line="240" w:lineRule="auto"/>
              <w:textAlignment w:val="center"/>
              <w:rPr>
                <w:rFonts w:cs="Arial"/>
                <w:color w:val="000000" w:themeColor="text1"/>
                <w:sz w:val="20"/>
                <w:szCs w:val="20"/>
              </w:rPr>
            </w:pPr>
            <w:r w:rsidRPr="00194FB9">
              <w:rPr>
                <w:rFonts w:cs="Arial"/>
                <w:b/>
                <w:bCs/>
                <w:color w:val="000000" w:themeColor="text1"/>
                <w:sz w:val="20"/>
                <w:szCs w:val="20"/>
              </w:rPr>
              <w:lastRenderedPageBreak/>
              <w:t>Assumption</w:t>
            </w:r>
          </w:p>
        </w:tc>
        <w:tc>
          <w:tcPr>
            <w:tcW w:w="3241" w:type="dxa"/>
            <w:vAlign w:val="center"/>
          </w:tcPr>
          <w:p w14:paraId="5F76B4ED"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b/>
                <w:bCs/>
                <w:color w:val="000000" w:themeColor="text1"/>
                <w:sz w:val="20"/>
                <w:szCs w:val="20"/>
              </w:rPr>
              <w:t>Change in assumption</w:t>
            </w:r>
          </w:p>
        </w:tc>
        <w:tc>
          <w:tcPr>
            <w:tcW w:w="3307" w:type="dxa"/>
            <w:vAlign w:val="center"/>
          </w:tcPr>
          <w:p w14:paraId="6807C84E"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b/>
                <w:bCs/>
                <w:color w:val="000000" w:themeColor="text1"/>
                <w:sz w:val="20"/>
                <w:szCs w:val="20"/>
              </w:rPr>
              <w:t>Impact on scheme liabilities</w:t>
            </w:r>
          </w:p>
        </w:tc>
      </w:tr>
      <w:tr w:rsidR="00194FB9" w:rsidRPr="00194FB9" w14:paraId="2A0AF73E" w14:textId="77777777" w:rsidTr="00194FB9">
        <w:trPr>
          <w:trHeight w:val="397"/>
        </w:trPr>
        <w:tc>
          <w:tcPr>
            <w:tcW w:w="3307" w:type="dxa"/>
            <w:vAlign w:val="center"/>
          </w:tcPr>
          <w:p w14:paraId="3D8B2B05" w14:textId="77777777" w:rsidR="00194FB9" w:rsidRPr="00194FB9" w:rsidRDefault="00194FB9" w:rsidP="00194FB9">
            <w:pPr>
              <w:autoSpaceDE w:val="0"/>
              <w:autoSpaceDN w:val="0"/>
              <w:adjustRightInd w:val="0"/>
              <w:spacing w:line="240" w:lineRule="auto"/>
              <w:textAlignment w:val="center"/>
              <w:rPr>
                <w:rFonts w:cs="Arial"/>
                <w:color w:val="000000" w:themeColor="text1"/>
                <w:sz w:val="20"/>
                <w:szCs w:val="20"/>
              </w:rPr>
            </w:pPr>
            <w:r w:rsidRPr="00194FB9">
              <w:rPr>
                <w:rFonts w:cs="Arial"/>
                <w:color w:val="000000" w:themeColor="text1"/>
                <w:sz w:val="20"/>
                <w:szCs w:val="20"/>
              </w:rPr>
              <w:t>Discount rate</w:t>
            </w:r>
          </w:p>
        </w:tc>
        <w:tc>
          <w:tcPr>
            <w:tcW w:w="3241" w:type="dxa"/>
            <w:vAlign w:val="center"/>
          </w:tcPr>
          <w:p w14:paraId="1EFE2686"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Increase/decrease by 0.25%</w:t>
            </w:r>
          </w:p>
        </w:tc>
        <w:tc>
          <w:tcPr>
            <w:tcW w:w="3307" w:type="dxa"/>
            <w:vAlign w:val="center"/>
          </w:tcPr>
          <w:p w14:paraId="1718B601"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Decrease/increase by 4.0% (</w:t>
            </w:r>
            <w:r w:rsidRPr="00194FB9">
              <w:rPr>
                <w:rFonts w:cs="Arial"/>
                <w:color w:val="000000" w:themeColor="text1"/>
                <w:sz w:val="20"/>
                <w:szCs w:val="20"/>
                <w:rtl/>
                <w:lang w:bidi="ar-YE"/>
              </w:rPr>
              <w:t>£</w:t>
            </w:r>
            <w:r w:rsidRPr="00194FB9">
              <w:rPr>
                <w:rFonts w:cs="Arial"/>
                <w:color w:val="000000" w:themeColor="text1"/>
                <w:sz w:val="20"/>
                <w:szCs w:val="20"/>
              </w:rPr>
              <w:t>37.1m)</w:t>
            </w:r>
          </w:p>
        </w:tc>
      </w:tr>
      <w:tr w:rsidR="00194FB9" w:rsidRPr="00194FB9" w14:paraId="36598247" w14:textId="77777777" w:rsidTr="00194FB9">
        <w:trPr>
          <w:trHeight w:val="397"/>
        </w:trPr>
        <w:tc>
          <w:tcPr>
            <w:tcW w:w="3307" w:type="dxa"/>
            <w:vAlign w:val="center"/>
          </w:tcPr>
          <w:p w14:paraId="01BBC5D1" w14:textId="77777777" w:rsidR="00194FB9" w:rsidRPr="00194FB9" w:rsidRDefault="00194FB9" w:rsidP="00194FB9">
            <w:pPr>
              <w:autoSpaceDE w:val="0"/>
              <w:autoSpaceDN w:val="0"/>
              <w:adjustRightInd w:val="0"/>
              <w:spacing w:line="240" w:lineRule="auto"/>
              <w:textAlignment w:val="center"/>
              <w:rPr>
                <w:rFonts w:cs="Arial"/>
                <w:color w:val="000000" w:themeColor="text1"/>
                <w:sz w:val="20"/>
                <w:szCs w:val="20"/>
              </w:rPr>
            </w:pPr>
            <w:r w:rsidRPr="00194FB9">
              <w:rPr>
                <w:rFonts w:cs="Arial"/>
                <w:color w:val="000000" w:themeColor="text1"/>
                <w:sz w:val="20"/>
                <w:szCs w:val="20"/>
              </w:rPr>
              <w:t>Rate of salary growth</w:t>
            </w:r>
          </w:p>
        </w:tc>
        <w:tc>
          <w:tcPr>
            <w:tcW w:w="3241" w:type="dxa"/>
            <w:vAlign w:val="center"/>
          </w:tcPr>
          <w:p w14:paraId="1BA0908F"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Increase/decrease by 0.25%</w:t>
            </w:r>
          </w:p>
        </w:tc>
        <w:tc>
          <w:tcPr>
            <w:tcW w:w="3307" w:type="dxa"/>
            <w:vAlign w:val="center"/>
          </w:tcPr>
          <w:p w14:paraId="79D6892D"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Increase/decrease by 1.4% (</w:t>
            </w:r>
            <w:r w:rsidRPr="00194FB9">
              <w:rPr>
                <w:rFonts w:cs="Arial"/>
                <w:color w:val="000000" w:themeColor="text1"/>
                <w:sz w:val="20"/>
                <w:szCs w:val="20"/>
                <w:rtl/>
                <w:lang w:bidi="ar-YE"/>
              </w:rPr>
              <w:t>£</w:t>
            </w:r>
            <w:r w:rsidRPr="00194FB9">
              <w:rPr>
                <w:rFonts w:cs="Arial"/>
                <w:color w:val="000000" w:themeColor="text1"/>
                <w:sz w:val="20"/>
                <w:szCs w:val="20"/>
              </w:rPr>
              <w:t>13m)</w:t>
            </w:r>
          </w:p>
        </w:tc>
      </w:tr>
      <w:tr w:rsidR="00194FB9" w:rsidRPr="00194FB9" w14:paraId="02C8228B" w14:textId="77777777" w:rsidTr="00194FB9">
        <w:trPr>
          <w:trHeight w:val="397"/>
        </w:trPr>
        <w:tc>
          <w:tcPr>
            <w:tcW w:w="3307" w:type="dxa"/>
            <w:vAlign w:val="center"/>
          </w:tcPr>
          <w:p w14:paraId="22E7AC18" w14:textId="77777777" w:rsidR="00194FB9" w:rsidRPr="00194FB9" w:rsidRDefault="00194FB9" w:rsidP="00194FB9">
            <w:pPr>
              <w:autoSpaceDE w:val="0"/>
              <w:autoSpaceDN w:val="0"/>
              <w:adjustRightInd w:val="0"/>
              <w:spacing w:line="240" w:lineRule="auto"/>
              <w:textAlignment w:val="center"/>
              <w:rPr>
                <w:rFonts w:cs="Arial"/>
                <w:color w:val="000000" w:themeColor="text1"/>
                <w:sz w:val="20"/>
                <w:szCs w:val="20"/>
              </w:rPr>
            </w:pPr>
            <w:r w:rsidRPr="00194FB9">
              <w:rPr>
                <w:rFonts w:cs="Arial"/>
                <w:color w:val="000000" w:themeColor="text1"/>
                <w:sz w:val="20"/>
                <w:szCs w:val="20"/>
              </w:rPr>
              <w:t>Rate of inflation (CPI)</w:t>
            </w:r>
          </w:p>
        </w:tc>
        <w:tc>
          <w:tcPr>
            <w:tcW w:w="3241" w:type="dxa"/>
            <w:vAlign w:val="center"/>
          </w:tcPr>
          <w:p w14:paraId="2CC1E771"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Increase/decrease by 0.25%</w:t>
            </w:r>
          </w:p>
        </w:tc>
        <w:tc>
          <w:tcPr>
            <w:tcW w:w="3307" w:type="dxa"/>
            <w:vAlign w:val="center"/>
          </w:tcPr>
          <w:p w14:paraId="25D8A1E9"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Increase/decrease by 4.0</w:t>
            </w:r>
            <w:proofErr w:type="gramStart"/>
            <w:r w:rsidRPr="00194FB9">
              <w:rPr>
                <w:rFonts w:cs="Arial"/>
                <w:color w:val="000000" w:themeColor="text1"/>
                <w:sz w:val="20"/>
                <w:szCs w:val="20"/>
              </w:rPr>
              <w:t>%  (</w:t>
            </w:r>
            <w:proofErr w:type="gramEnd"/>
            <w:r w:rsidRPr="00194FB9">
              <w:rPr>
                <w:rFonts w:cs="Arial"/>
                <w:color w:val="000000" w:themeColor="text1"/>
                <w:sz w:val="20"/>
                <w:szCs w:val="20"/>
                <w:rtl/>
                <w:lang w:bidi="ar-YE"/>
              </w:rPr>
              <w:t>£</w:t>
            </w:r>
            <w:r w:rsidRPr="00194FB9">
              <w:rPr>
                <w:rFonts w:cs="Arial"/>
                <w:color w:val="000000" w:themeColor="text1"/>
                <w:sz w:val="20"/>
                <w:szCs w:val="20"/>
              </w:rPr>
              <w:t>36.7m)</w:t>
            </w:r>
          </w:p>
        </w:tc>
      </w:tr>
      <w:tr w:rsidR="00194FB9" w:rsidRPr="00194FB9" w14:paraId="57A1ADD5" w14:textId="77777777" w:rsidTr="00194FB9">
        <w:trPr>
          <w:trHeight w:val="397"/>
        </w:trPr>
        <w:tc>
          <w:tcPr>
            <w:tcW w:w="3307" w:type="dxa"/>
            <w:vAlign w:val="center"/>
          </w:tcPr>
          <w:p w14:paraId="52E1D921" w14:textId="77777777" w:rsidR="00194FB9" w:rsidRPr="00194FB9" w:rsidRDefault="00194FB9" w:rsidP="00194FB9">
            <w:pPr>
              <w:autoSpaceDE w:val="0"/>
              <w:autoSpaceDN w:val="0"/>
              <w:adjustRightInd w:val="0"/>
              <w:spacing w:line="240" w:lineRule="auto"/>
              <w:textAlignment w:val="center"/>
              <w:rPr>
                <w:rFonts w:cs="Arial"/>
                <w:color w:val="000000" w:themeColor="text1"/>
                <w:sz w:val="20"/>
                <w:szCs w:val="20"/>
              </w:rPr>
            </w:pPr>
            <w:r w:rsidRPr="00194FB9">
              <w:rPr>
                <w:rFonts w:cs="Arial"/>
                <w:color w:val="000000" w:themeColor="text1"/>
                <w:sz w:val="20"/>
                <w:szCs w:val="20"/>
              </w:rPr>
              <w:t>Rate of mortality</w:t>
            </w:r>
          </w:p>
        </w:tc>
        <w:tc>
          <w:tcPr>
            <w:tcW w:w="3241" w:type="dxa"/>
            <w:vAlign w:val="center"/>
          </w:tcPr>
          <w:p w14:paraId="3D53AE64"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 by 1 year</w:t>
            </w:r>
          </w:p>
        </w:tc>
        <w:tc>
          <w:tcPr>
            <w:tcW w:w="3307" w:type="dxa"/>
            <w:vAlign w:val="center"/>
          </w:tcPr>
          <w:p w14:paraId="4E561648" w14:textId="77777777" w:rsidR="00194FB9" w:rsidRPr="00194FB9" w:rsidRDefault="00194FB9" w:rsidP="00194FB9">
            <w:pPr>
              <w:autoSpaceDE w:val="0"/>
              <w:autoSpaceDN w:val="0"/>
              <w:adjustRightInd w:val="0"/>
              <w:spacing w:line="240" w:lineRule="auto"/>
              <w:jc w:val="right"/>
              <w:textAlignment w:val="center"/>
              <w:rPr>
                <w:rFonts w:cs="Arial"/>
                <w:color w:val="000000" w:themeColor="text1"/>
                <w:sz w:val="20"/>
                <w:szCs w:val="20"/>
              </w:rPr>
            </w:pPr>
            <w:r w:rsidRPr="00194FB9">
              <w:rPr>
                <w:rFonts w:cs="Arial"/>
                <w:color w:val="000000" w:themeColor="text1"/>
                <w:sz w:val="20"/>
                <w:szCs w:val="20"/>
              </w:rPr>
              <w:t>Increase by 1.9% (</w:t>
            </w:r>
            <w:r w:rsidRPr="00194FB9">
              <w:rPr>
                <w:rFonts w:cs="Arial"/>
                <w:color w:val="000000" w:themeColor="text1"/>
                <w:sz w:val="20"/>
                <w:szCs w:val="20"/>
                <w:rtl/>
                <w:lang w:bidi="ar-YE"/>
              </w:rPr>
              <w:t>£</w:t>
            </w:r>
            <w:r w:rsidRPr="00194FB9">
              <w:rPr>
                <w:rFonts w:cs="Arial"/>
                <w:color w:val="000000" w:themeColor="text1"/>
                <w:sz w:val="20"/>
                <w:szCs w:val="20"/>
              </w:rPr>
              <w:t>17.8m)</w:t>
            </w:r>
          </w:p>
        </w:tc>
      </w:tr>
    </w:tbl>
    <w:p w14:paraId="33DA87BF" w14:textId="77777777" w:rsidR="00194FB9" w:rsidRPr="00194FB9" w:rsidRDefault="00194FB9" w:rsidP="00194FB9"/>
    <w:p w14:paraId="73375704" w14:textId="77777777" w:rsidR="001353C2" w:rsidRPr="001353C2" w:rsidRDefault="001353C2" w:rsidP="001353C2">
      <w:pPr>
        <w:rPr>
          <w:rFonts w:cs="Arial"/>
          <w:color w:val="000000" w:themeColor="text1"/>
        </w:rPr>
      </w:pPr>
      <w:proofErr w:type="gramStart"/>
      <w:r w:rsidRPr="001353C2">
        <w:rPr>
          <w:rFonts w:cs="Arial"/>
          <w:color w:val="000000" w:themeColor="text1"/>
        </w:rPr>
        <w:t>In reality one</w:t>
      </w:r>
      <w:proofErr w:type="gramEnd"/>
      <w:r w:rsidRPr="001353C2">
        <w:rPr>
          <w:rFonts w:cs="Arial"/>
          <w:color w:val="000000" w:themeColor="text1"/>
        </w:rPr>
        <w:t xml:space="preserve"> might expect interrelationships between the assumptions, especially between discount rate and expected salary increases that both depend to a certain extent on expected inflation rates.  The above analysis does not take the effect of these interrelationships into account.</w:t>
      </w:r>
    </w:p>
    <w:p w14:paraId="2D123B67" w14:textId="77777777" w:rsidR="001353C2" w:rsidRPr="001353C2" w:rsidRDefault="001353C2" w:rsidP="001353C2">
      <w:pPr>
        <w:rPr>
          <w:rFonts w:cs="Arial"/>
          <w:color w:val="000000" w:themeColor="text1"/>
        </w:rPr>
      </w:pPr>
    </w:p>
    <w:p w14:paraId="2F7D9724" w14:textId="77777777" w:rsidR="001353C2" w:rsidRPr="003F4D72" w:rsidRDefault="001353C2" w:rsidP="003F4D72">
      <w:pPr>
        <w:pStyle w:val="Heading3"/>
        <w:rPr>
          <w:i/>
          <w:iCs/>
        </w:rPr>
      </w:pPr>
      <w:bookmarkStart w:id="299" w:name="_Toc213058731"/>
      <w:r w:rsidRPr="003F4D72">
        <w:rPr>
          <w:i/>
          <w:iCs/>
        </w:rPr>
        <w:t>Executive Scheme</w:t>
      </w:r>
      <w:bookmarkEnd w:id="299"/>
    </w:p>
    <w:p w14:paraId="001C06D1" w14:textId="77777777" w:rsidR="001353C2" w:rsidRPr="001353C2" w:rsidRDefault="001353C2" w:rsidP="001353C2">
      <w:pPr>
        <w:rPr>
          <w:rFonts w:cs="Arial"/>
          <w:color w:val="000000" w:themeColor="text1"/>
        </w:rPr>
      </w:pPr>
      <w:r w:rsidRPr="001353C2">
        <w:rPr>
          <w:rFonts w:cs="Arial"/>
          <w:color w:val="000000" w:themeColor="text1"/>
        </w:rPr>
        <w:t xml:space="preserve">This defined benefit scheme provides additional benefits for certain senior employees, with the assets being held in a separately administered fund.  Pension costs and funding arrangements are assessed by a qualified actuary.  The latest available full actuarial valuation was as </w:t>
      </w:r>
      <w:proofErr w:type="gramStart"/>
      <w:r w:rsidRPr="001353C2">
        <w:rPr>
          <w:rFonts w:cs="Arial"/>
          <w:color w:val="000000" w:themeColor="text1"/>
        </w:rPr>
        <w:t>at</w:t>
      </w:r>
      <w:proofErr w:type="gramEnd"/>
      <w:r w:rsidRPr="001353C2">
        <w:rPr>
          <w:rFonts w:cs="Arial"/>
          <w:color w:val="000000" w:themeColor="text1"/>
        </w:rPr>
        <w:t xml:space="preserve"> 1 April 2023.  The scheme is closed to new entrants.</w:t>
      </w:r>
    </w:p>
    <w:p w14:paraId="4E3E1F05" w14:textId="77777777" w:rsidR="001353C2" w:rsidRPr="001353C2" w:rsidRDefault="001353C2" w:rsidP="001353C2">
      <w:pPr>
        <w:rPr>
          <w:rFonts w:cs="Arial"/>
          <w:color w:val="000000" w:themeColor="text1"/>
        </w:rPr>
      </w:pPr>
    </w:p>
    <w:p w14:paraId="4038EB45" w14:textId="77777777" w:rsidR="001353C2" w:rsidRPr="003F4D72" w:rsidRDefault="001353C2" w:rsidP="003F4D72">
      <w:pPr>
        <w:pStyle w:val="Heading3"/>
        <w:rPr>
          <w:i/>
          <w:iCs/>
        </w:rPr>
      </w:pPr>
      <w:bookmarkStart w:id="300" w:name="_Toc213058732"/>
      <w:proofErr w:type="spellStart"/>
      <w:r w:rsidRPr="003F4D72">
        <w:rPr>
          <w:i/>
          <w:iCs/>
        </w:rPr>
        <w:t>Ulsterbus</w:t>
      </w:r>
      <w:proofErr w:type="spellEnd"/>
      <w:r w:rsidRPr="003F4D72">
        <w:rPr>
          <w:i/>
          <w:iCs/>
        </w:rPr>
        <w:t>/Citybus Retirement &amp; Death Benefits Plan (1997)</w:t>
      </w:r>
      <w:bookmarkEnd w:id="300"/>
    </w:p>
    <w:p w14:paraId="62A67FDE" w14:textId="77777777" w:rsidR="001353C2" w:rsidRPr="001353C2" w:rsidRDefault="001353C2" w:rsidP="001353C2">
      <w:pPr>
        <w:rPr>
          <w:rFonts w:cs="Arial"/>
          <w:color w:val="000000" w:themeColor="text1"/>
        </w:rPr>
      </w:pPr>
      <w:r w:rsidRPr="001353C2">
        <w:rPr>
          <w:rFonts w:cs="Arial"/>
          <w:color w:val="000000" w:themeColor="text1"/>
        </w:rPr>
        <w:t xml:space="preserve">The assets of this defined benefit scheme are held in a separate fund and although the scheme has no active members, a qualified actuary performs triennial actuarial valuations.  The latest available actuarial valuation was </w:t>
      </w:r>
      <w:proofErr w:type="gramStart"/>
      <w:r w:rsidRPr="001353C2">
        <w:rPr>
          <w:rFonts w:cs="Arial"/>
          <w:color w:val="000000" w:themeColor="text1"/>
        </w:rPr>
        <w:t>at</w:t>
      </w:r>
      <w:proofErr w:type="gramEnd"/>
      <w:r w:rsidRPr="001353C2">
        <w:rPr>
          <w:rFonts w:cs="Arial"/>
          <w:color w:val="000000" w:themeColor="text1"/>
        </w:rPr>
        <w:t xml:space="preserve"> 31 March 2023.  The scheme has no active members and is closed to new entrants.</w:t>
      </w:r>
    </w:p>
    <w:p w14:paraId="288464A1" w14:textId="77777777" w:rsidR="001353C2" w:rsidRPr="001353C2" w:rsidRDefault="001353C2" w:rsidP="001353C2">
      <w:pPr>
        <w:rPr>
          <w:rFonts w:cs="Arial"/>
          <w:color w:val="000000" w:themeColor="text1"/>
        </w:rPr>
      </w:pPr>
    </w:p>
    <w:p w14:paraId="55E0D3D5" w14:textId="7A154D6D" w:rsidR="003A428B" w:rsidRDefault="001353C2" w:rsidP="001353C2">
      <w:pPr>
        <w:rPr>
          <w:rFonts w:cs="Arial"/>
          <w:color w:val="000000" w:themeColor="text1"/>
        </w:rPr>
      </w:pPr>
      <w:r w:rsidRPr="001353C2">
        <w:rPr>
          <w:rFonts w:cs="Arial"/>
          <w:color w:val="000000" w:themeColor="text1"/>
        </w:rPr>
        <w:t xml:space="preserve">The latest available full actuarial valuations of the Executive and </w:t>
      </w:r>
      <w:proofErr w:type="spellStart"/>
      <w:r w:rsidRPr="001353C2">
        <w:rPr>
          <w:rFonts w:cs="Arial"/>
          <w:color w:val="000000" w:themeColor="text1"/>
        </w:rPr>
        <w:t>Ulsterbus</w:t>
      </w:r>
      <w:proofErr w:type="spellEnd"/>
      <w:r w:rsidRPr="001353C2">
        <w:rPr>
          <w:rFonts w:cs="Arial"/>
          <w:color w:val="000000" w:themeColor="text1"/>
        </w:rPr>
        <w:t>/Citybus schemes have been updated using the major assumptions as set out below.</w:t>
      </w:r>
    </w:p>
    <w:p w14:paraId="76F06CB5" w14:textId="77777777" w:rsidR="001353C2" w:rsidRDefault="001353C2" w:rsidP="001353C2">
      <w:pPr>
        <w:rPr>
          <w:rFonts w:cs="Arial"/>
          <w:color w:val="000000" w:themeColor="text1"/>
        </w:rPr>
      </w:pPr>
    </w:p>
    <w:tbl>
      <w:tblPr>
        <w:tblStyle w:val="TableGrid"/>
        <w:tblW w:w="0" w:type="auto"/>
        <w:tblLayout w:type="fixed"/>
        <w:tblLook w:val="0000" w:firstRow="0" w:lastRow="0" w:firstColumn="0" w:lastColumn="0" w:noHBand="0" w:noVBand="0"/>
      </w:tblPr>
      <w:tblGrid>
        <w:gridCol w:w="5807"/>
        <w:gridCol w:w="1701"/>
        <w:gridCol w:w="1559"/>
      </w:tblGrid>
      <w:tr w:rsidR="001353C2" w:rsidRPr="001353C2" w14:paraId="2BACD165" w14:textId="77777777" w:rsidTr="001353C2">
        <w:trPr>
          <w:trHeight w:val="283"/>
        </w:trPr>
        <w:tc>
          <w:tcPr>
            <w:tcW w:w="5807" w:type="dxa"/>
          </w:tcPr>
          <w:p w14:paraId="70646B9D"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701" w:type="dxa"/>
          </w:tcPr>
          <w:p w14:paraId="57814857"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2025</w:t>
            </w:r>
          </w:p>
        </w:tc>
        <w:tc>
          <w:tcPr>
            <w:tcW w:w="1559" w:type="dxa"/>
          </w:tcPr>
          <w:p w14:paraId="15C11770"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2024</w:t>
            </w:r>
          </w:p>
        </w:tc>
      </w:tr>
      <w:tr w:rsidR="001353C2" w:rsidRPr="001353C2" w14:paraId="3EE11693" w14:textId="77777777" w:rsidTr="001353C2">
        <w:trPr>
          <w:trHeight w:val="283"/>
        </w:trPr>
        <w:tc>
          <w:tcPr>
            <w:tcW w:w="5807" w:type="dxa"/>
          </w:tcPr>
          <w:p w14:paraId="1FE9E1E4"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 xml:space="preserve">Discount rate </w:t>
            </w:r>
          </w:p>
        </w:tc>
        <w:tc>
          <w:tcPr>
            <w:tcW w:w="1701" w:type="dxa"/>
          </w:tcPr>
          <w:p w14:paraId="6A8BA544"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5.9%</w:t>
            </w:r>
          </w:p>
        </w:tc>
        <w:tc>
          <w:tcPr>
            <w:tcW w:w="1559" w:type="dxa"/>
          </w:tcPr>
          <w:p w14:paraId="0A501FD0"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4.9%</w:t>
            </w:r>
          </w:p>
        </w:tc>
      </w:tr>
      <w:tr w:rsidR="001353C2" w:rsidRPr="001353C2" w14:paraId="4AF26768" w14:textId="77777777" w:rsidTr="001353C2">
        <w:trPr>
          <w:trHeight w:val="283"/>
        </w:trPr>
        <w:tc>
          <w:tcPr>
            <w:tcW w:w="5807" w:type="dxa"/>
          </w:tcPr>
          <w:p w14:paraId="5C2BDF17"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 xml:space="preserve">Expected rate of salary increase </w:t>
            </w:r>
          </w:p>
        </w:tc>
        <w:tc>
          <w:tcPr>
            <w:tcW w:w="1701" w:type="dxa"/>
          </w:tcPr>
          <w:p w14:paraId="1A1A5F75"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3.0%</w:t>
            </w:r>
          </w:p>
        </w:tc>
        <w:tc>
          <w:tcPr>
            <w:tcW w:w="1559" w:type="dxa"/>
          </w:tcPr>
          <w:p w14:paraId="00CCC6C7"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3.0%</w:t>
            </w:r>
          </w:p>
        </w:tc>
      </w:tr>
      <w:tr w:rsidR="001353C2" w:rsidRPr="001353C2" w14:paraId="52638EEB" w14:textId="77777777" w:rsidTr="001353C2">
        <w:trPr>
          <w:trHeight w:val="283"/>
        </w:trPr>
        <w:tc>
          <w:tcPr>
            <w:tcW w:w="5807" w:type="dxa"/>
          </w:tcPr>
          <w:p w14:paraId="5075D394"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Future pension increases</w:t>
            </w:r>
          </w:p>
        </w:tc>
        <w:tc>
          <w:tcPr>
            <w:tcW w:w="1701" w:type="dxa"/>
          </w:tcPr>
          <w:p w14:paraId="5342AF0E"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w:t>
            </w:r>
          </w:p>
        </w:tc>
        <w:tc>
          <w:tcPr>
            <w:tcW w:w="1559" w:type="dxa"/>
          </w:tcPr>
          <w:p w14:paraId="40428134"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w:t>
            </w:r>
          </w:p>
        </w:tc>
      </w:tr>
      <w:tr w:rsidR="001353C2" w:rsidRPr="001353C2" w14:paraId="18378650" w14:textId="77777777" w:rsidTr="001353C2">
        <w:trPr>
          <w:trHeight w:val="283"/>
        </w:trPr>
        <w:tc>
          <w:tcPr>
            <w:tcW w:w="5807" w:type="dxa"/>
          </w:tcPr>
          <w:p w14:paraId="506E9DD8"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Inflation (RPI)</w:t>
            </w:r>
          </w:p>
        </w:tc>
        <w:tc>
          <w:tcPr>
            <w:tcW w:w="1701" w:type="dxa"/>
          </w:tcPr>
          <w:p w14:paraId="3EAA4475"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3.0%</w:t>
            </w:r>
          </w:p>
        </w:tc>
        <w:tc>
          <w:tcPr>
            <w:tcW w:w="1559" w:type="dxa"/>
          </w:tcPr>
          <w:p w14:paraId="2510FFF1" w14:textId="77777777" w:rsidR="001353C2" w:rsidRPr="001353C2" w:rsidRDefault="001353C2" w:rsidP="001353C2">
            <w:pPr>
              <w:tabs>
                <w:tab w:val="decimal" w:pos="69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3.1%</w:t>
            </w:r>
          </w:p>
        </w:tc>
      </w:tr>
      <w:tr w:rsidR="001353C2" w:rsidRPr="001353C2" w14:paraId="32F61F73" w14:textId="77777777" w:rsidTr="001353C2">
        <w:trPr>
          <w:trHeight w:val="283"/>
        </w:trPr>
        <w:tc>
          <w:tcPr>
            <w:tcW w:w="5807" w:type="dxa"/>
          </w:tcPr>
          <w:p w14:paraId="252862A9"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Inflation (CPI)</w:t>
            </w:r>
          </w:p>
        </w:tc>
        <w:tc>
          <w:tcPr>
            <w:tcW w:w="1701" w:type="dxa"/>
          </w:tcPr>
          <w:p w14:paraId="195DBEB2" w14:textId="77777777" w:rsidR="001353C2" w:rsidRPr="001353C2" w:rsidRDefault="001353C2" w:rsidP="001353C2">
            <w:pPr>
              <w:tabs>
                <w:tab w:val="decimal" w:pos="43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w:t>
            </w:r>
          </w:p>
        </w:tc>
        <w:tc>
          <w:tcPr>
            <w:tcW w:w="1559" w:type="dxa"/>
          </w:tcPr>
          <w:p w14:paraId="3C696936" w14:textId="77777777" w:rsidR="001353C2" w:rsidRPr="001353C2" w:rsidRDefault="001353C2" w:rsidP="001353C2">
            <w:pPr>
              <w:tabs>
                <w:tab w:val="decimal" w:pos="432"/>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w:t>
            </w:r>
          </w:p>
        </w:tc>
      </w:tr>
    </w:tbl>
    <w:p w14:paraId="37AD8ABA" w14:textId="7E0508C9" w:rsidR="001353C2" w:rsidRDefault="001353C2" w:rsidP="001353C2">
      <w:pPr>
        <w:rPr>
          <w:rFonts w:cs="Arial"/>
          <w:b/>
          <w:bCs/>
          <w:color w:val="000000" w:themeColor="text1"/>
        </w:rPr>
      </w:pPr>
    </w:p>
    <w:p w14:paraId="222EF6D1" w14:textId="77777777" w:rsidR="001353C2" w:rsidRDefault="001353C2">
      <w:pPr>
        <w:spacing w:line="240" w:lineRule="auto"/>
        <w:rPr>
          <w:rFonts w:cs="Arial"/>
          <w:b/>
          <w:bCs/>
          <w:color w:val="000000" w:themeColor="text1"/>
        </w:rPr>
      </w:pPr>
      <w:r>
        <w:rPr>
          <w:rFonts w:cs="Arial"/>
          <w:b/>
          <w:bCs/>
          <w:color w:val="000000" w:themeColor="text1"/>
        </w:rPr>
        <w:br w:type="page"/>
      </w:r>
    </w:p>
    <w:p w14:paraId="7E764443" w14:textId="77777777" w:rsidR="001353C2" w:rsidRPr="001353C2" w:rsidRDefault="001353C2" w:rsidP="007430D9">
      <w:pPr>
        <w:pStyle w:val="Heading3"/>
      </w:pPr>
      <w:bookmarkStart w:id="301" w:name="_Toc213058733"/>
      <w:r w:rsidRPr="001353C2">
        <w:lastRenderedPageBreak/>
        <w:t>ii. Amounts Recognised in Income</w:t>
      </w:r>
      <w:bookmarkEnd w:id="301"/>
    </w:p>
    <w:p w14:paraId="1A25AAFD" w14:textId="77777777" w:rsidR="001353C2" w:rsidRDefault="001353C2" w:rsidP="001353C2">
      <w:pPr>
        <w:rPr>
          <w:color w:val="000000" w:themeColor="text1"/>
        </w:rPr>
      </w:pPr>
      <w:r w:rsidRPr="001353C2">
        <w:rPr>
          <w:color w:val="000000" w:themeColor="text1"/>
        </w:rPr>
        <w:t>Amounts recognised in income in respect of these defined benefit schemes are as follows:</w:t>
      </w:r>
    </w:p>
    <w:tbl>
      <w:tblPr>
        <w:tblStyle w:val="TableGrid"/>
        <w:tblW w:w="0" w:type="auto"/>
        <w:tblLayout w:type="fixed"/>
        <w:tblLook w:val="0000" w:firstRow="0" w:lastRow="0" w:firstColumn="0" w:lastColumn="0" w:noHBand="0" w:noVBand="0"/>
      </w:tblPr>
      <w:tblGrid>
        <w:gridCol w:w="3761"/>
        <w:gridCol w:w="1516"/>
        <w:gridCol w:w="1531"/>
        <w:gridCol w:w="1516"/>
        <w:gridCol w:w="1531"/>
      </w:tblGrid>
      <w:tr w:rsidR="001353C2" w:rsidRPr="001353C2" w14:paraId="7D273762" w14:textId="77777777" w:rsidTr="001353C2">
        <w:trPr>
          <w:trHeight w:val="283"/>
        </w:trPr>
        <w:tc>
          <w:tcPr>
            <w:tcW w:w="3761" w:type="dxa"/>
          </w:tcPr>
          <w:p w14:paraId="08C379C4"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4E2316AA"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33295605"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53D5C49F" w14:textId="77777777" w:rsidR="001353C2" w:rsidRPr="001353C2" w:rsidRDefault="001353C2" w:rsidP="001353C2">
            <w:pPr>
              <w:keepNext/>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31" w:type="dxa"/>
          </w:tcPr>
          <w:p w14:paraId="4AE4FA8D"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4D6CD78D"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63961E60" w14:textId="77777777" w:rsidR="001353C2" w:rsidRPr="001353C2" w:rsidRDefault="001353C2" w:rsidP="001353C2">
            <w:pPr>
              <w:keepNext/>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16" w:type="dxa"/>
          </w:tcPr>
          <w:p w14:paraId="11184722"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6B6D994C"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669EF06B" w14:textId="77777777" w:rsidR="001353C2" w:rsidRPr="001353C2" w:rsidRDefault="001353C2" w:rsidP="001353C2">
            <w:pPr>
              <w:keepNext/>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31" w:type="dxa"/>
          </w:tcPr>
          <w:p w14:paraId="7A7A23CA"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3ABC044E" w14:textId="77777777" w:rsidR="001353C2" w:rsidRPr="001353C2" w:rsidRDefault="001353C2" w:rsidP="001353C2">
            <w:pPr>
              <w:keepNext/>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59FDEAD8" w14:textId="77777777" w:rsidR="001353C2" w:rsidRPr="001353C2" w:rsidRDefault="001353C2" w:rsidP="001353C2">
            <w:pPr>
              <w:keepNext/>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r>
      <w:tr w:rsidR="001353C2" w:rsidRPr="001353C2" w14:paraId="498A7B4E" w14:textId="77777777" w:rsidTr="001353C2">
        <w:trPr>
          <w:trHeight w:val="283"/>
        </w:trPr>
        <w:tc>
          <w:tcPr>
            <w:tcW w:w="3761" w:type="dxa"/>
          </w:tcPr>
          <w:p w14:paraId="64849F6A" w14:textId="77777777" w:rsidR="001353C2" w:rsidRPr="001353C2" w:rsidRDefault="001353C2" w:rsidP="001353C2">
            <w:pPr>
              <w:keepNext/>
              <w:tabs>
                <w:tab w:val="left" w:pos="720"/>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Components of defined benefit cost</w:t>
            </w:r>
          </w:p>
        </w:tc>
        <w:tc>
          <w:tcPr>
            <w:tcW w:w="1516" w:type="dxa"/>
          </w:tcPr>
          <w:p w14:paraId="4EE4863D"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2FFEBF1B"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5AF64CB1"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35E912FE"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6F88FDE7" w14:textId="77777777" w:rsidTr="001353C2">
        <w:trPr>
          <w:trHeight w:val="283"/>
        </w:trPr>
        <w:tc>
          <w:tcPr>
            <w:tcW w:w="3761" w:type="dxa"/>
          </w:tcPr>
          <w:p w14:paraId="60A941CA" w14:textId="77777777" w:rsidR="001353C2" w:rsidRPr="001353C2" w:rsidRDefault="001353C2" w:rsidP="001353C2">
            <w:pPr>
              <w:keepNext/>
              <w:tabs>
                <w:tab w:val="left" w:pos="720"/>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Current service cost</w:t>
            </w:r>
          </w:p>
        </w:tc>
        <w:tc>
          <w:tcPr>
            <w:tcW w:w="1516" w:type="dxa"/>
          </w:tcPr>
          <w:p w14:paraId="584DD625"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29,893</w:t>
            </w:r>
          </w:p>
        </w:tc>
        <w:tc>
          <w:tcPr>
            <w:tcW w:w="1531" w:type="dxa"/>
          </w:tcPr>
          <w:p w14:paraId="3D1D3BA2"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444</w:t>
            </w:r>
          </w:p>
        </w:tc>
        <w:tc>
          <w:tcPr>
            <w:tcW w:w="1516" w:type="dxa"/>
          </w:tcPr>
          <w:p w14:paraId="258588CD"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24,565</w:t>
            </w:r>
          </w:p>
        </w:tc>
        <w:tc>
          <w:tcPr>
            <w:tcW w:w="1531" w:type="dxa"/>
          </w:tcPr>
          <w:p w14:paraId="0EDDD6E0"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378</w:t>
            </w:r>
          </w:p>
        </w:tc>
      </w:tr>
      <w:tr w:rsidR="001353C2" w:rsidRPr="001353C2" w14:paraId="5DBA358B" w14:textId="77777777" w:rsidTr="001353C2">
        <w:trPr>
          <w:trHeight w:val="283"/>
        </w:trPr>
        <w:tc>
          <w:tcPr>
            <w:tcW w:w="3761" w:type="dxa"/>
          </w:tcPr>
          <w:p w14:paraId="75817F66" w14:textId="77777777" w:rsidR="001353C2" w:rsidRPr="001353C2" w:rsidRDefault="001353C2" w:rsidP="001353C2">
            <w:pPr>
              <w:keepNext/>
              <w:tabs>
                <w:tab w:val="left" w:pos="284"/>
              </w:tabs>
              <w:suppressAutoHyphens/>
              <w:autoSpaceDE w:val="0"/>
              <w:autoSpaceDN w:val="0"/>
              <w:adjustRightInd w:val="0"/>
              <w:spacing w:line="240" w:lineRule="auto"/>
              <w:ind w:left="142" w:hanging="142"/>
              <w:textAlignment w:val="center"/>
              <w:rPr>
                <w:rFonts w:cs="Arial"/>
                <w:color w:val="000000" w:themeColor="text1"/>
                <w:sz w:val="20"/>
                <w:szCs w:val="20"/>
              </w:rPr>
            </w:pPr>
            <w:r w:rsidRPr="001353C2">
              <w:rPr>
                <w:rFonts w:cs="Arial"/>
                <w:color w:val="000000" w:themeColor="text1"/>
                <w:sz w:val="20"/>
                <w:szCs w:val="20"/>
              </w:rPr>
              <w:t>Past service cost</w:t>
            </w:r>
          </w:p>
        </w:tc>
        <w:tc>
          <w:tcPr>
            <w:tcW w:w="1516" w:type="dxa"/>
          </w:tcPr>
          <w:p w14:paraId="04016F42"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31" w:type="dxa"/>
          </w:tcPr>
          <w:p w14:paraId="4615EC8D"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16" w:type="dxa"/>
          </w:tcPr>
          <w:p w14:paraId="5220B231"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15</w:t>
            </w:r>
          </w:p>
        </w:tc>
        <w:tc>
          <w:tcPr>
            <w:tcW w:w="1531" w:type="dxa"/>
          </w:tcPr>
          <w:p w14:paraId="4B60DAE4"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14</w:t>
            </w:r>
          </w:p>
        </w:tc>
      </w:tr>
      <w:tr w:rsidR="001353C2" w:rsidRPr="001353C2" w14:paraId="140D0CA2" w14:textId="77777777" w:rsidTr="001353C2">
        <w:trPr>
          <w:trHeight w:val="283"/>
        </w:trPr>
        <w:tc>
          <w:tcPr>
            <w:tcW w:w="3761" w:type="dxa"/>
          </w:tcPr>
          <w:p w14:paraId="4BA4F1BC" w14:textId="77777777" w:rsidR="001353C2" w:rsidRPr="001353C2" w:rsidRDefault="001353C2" w:rsidP="001353C2">
            <w:pPr>
              <w:keepNext/>
              <w:tabs>
                <w:tab w:val="left" w:pos="284"/>
              </w:tabs>
              <w:suppressAutoHyphens/>
              <w:autoSpaceDE w:val="0"/>
              <w:autoSpaceDN w:val="0"/>
              <w:adjustRightInd w:val="0"/>
              <w:spacing w:line="240" w:lineRule="auto"/>
              <w:ind w:left="142" w:hanging="142"/>
              <w:textAlignment w:val="center"/>
              <w:rPr>
                <w:rFonts w:cs="Arial"/>
                <w:color w:val="000000" w:themeColor="text1"/>
                <w:sz w:val="20"/>
                <w:szCs w:val="20"/>
              </w:rPr>
            </w:pPr>
            <w:r w:rsidRPr="001353C2">
              <w:rPr>
                <w:rFonts w:cs="Arial"/>
                <w:b/>
                <w:bCs/>
                <w:color w:val="000000" w:themeColor="text1"/>
                <w:sz w:val="20"/>
                <w:szCs w:val="20"/>
              </w:rPr>
              <w:t>Total service cost</w:t>
            </w:r>
          </w:p>
        </w:tc>
        <w:tc>
          <w:tcPr>
            <w:tcW w:w="1516" w:type="dxa"/>
          </w:tcPr>
          <w:p w14:paraId="11DA83C7"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29,893</w:t>
            </w:r>
          </w:p>
        </w:tc>
        <w:tc>
          <w:tcPr>
            <w:tcW w:w="1531" w:type="dxa"/>
          </w:tcPr>
          <w:p w14:paraId="06FE31E7"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444</w:t>
            </w:r>
          </w:p>
        </w:tc>
        <w:tc>
          <w:tcPr>
            <w:tcW w:w="1516" w:type="dxa"/>
          </w:tcPr>
          <w:p w14:paraId="60CD1EC4"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b/>
                <w:bCs/>
                <w:color w:val="000000" w:themeColor="text1"/>
                <w:sz w:val="20"/>
                <w:szCs w:val="20"/>
              </w:rPr>
              <w:t>24,580</w:t>
            </w:r>
          </w:p>
        </w:tc>
        <w:tc>
          <w:tcPr>
            <w:tcW w:w="1531" w:type="dxa"/>
          </w:tcPr>
          <w:p w14:paraId="382239B8"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392</w:t>
            </w:r>
          </w:p>
        </w:tc>
      </w:tr>
      <w:tr w:rsidR="001353C2" w:rsidRPr="001353C2" w14:paraId="269D9703" w14:textId="77777777" w:rsidTr="001353C2">
        <w:trPr>
          <w:trHeight w:val="283"/>
        </w:trPr>
        <w:tc>
          <w:tcPr>
            <w:tcW w:w="3761" w:type="dxa"/>
          </w:tcPr>
          <w:p w14:paraId="53AA4C96" w14:textId="77777777" w:rsidR="001353C2" w:rsidRPr="001353C2" w:rsidRDefault="001353C2" w:rsidP="001353C2">
            <w:pPr>
              <w:keepNext/>
              <w:tabs>
                <w:tab w:val="left" w:pos="284"/>
              </w:tabs>
              <w:suppressAutoHyphens/>
              <w:autoSpaceDE w:val="0"/>
              <w:autoSpaceDN w:val="0"/>
              <w:adjustRightInd w:val="0"/>
              <w:spacing w:line="240" w:lineRule="auto"/>
              <w:ind w:left="142" w:hanging="142"/>
              <w:textAlignment w:val="center"/>
              <w:rPr>
                <w:rFonts w:cs="Arial"/>
                <w:color w:val="000000" w:themeColor="text1"/>
                <w:sz w:val="20"/>
                <w:szCs w:val="20"/>
              </w:rPr>
            </w:pPr>
            <w:r w:rsidRPr="001353C2">
              <w:rPr>
                <w:rFonts w:cs="Arial"/>
                <w:color w:val="000000" w:themeColor="text1"/>
                <w:sz w:val="20"/>
                <w:szCs w:val="20"/>
              </w:rPr>
              <w:t>Interest cost</w:t>
            </w:r>
          </w:p>
        </w:tc>
        <w:tc>
          <w:tcPr>
            <w:tcW w:w="1516" w:type="dxa"/>
          </w:tcPr>
          <w:p w14:paraId="4748F700"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50,809</w:t>
            </w:r>
          </w:p>
        </w:tc>
        <w:tc>
          <w:tcPr>
            <w:tcW w:w="1531" w:type="dxa"/>
          </w:tcPr>
          <w:p w14:paraId="5538930A"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1,199</w:t>
            </w:r>
          </w:p>
        </w:tc>
        <w:tc>
          <w:tcPr>
            <w:tcW w:w="1516" w:type="dxa"/>
          </w:tcPr>
          <w:p w14:paraId="766DD0E1"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47,170</w:t>
            </w:r>
          </w:p>
        </w:tc>
        <w:tc>
          <w:tcPr>
            <w:tcW w:w="1531" w:type="dxa"/>
          </w:tcPr>
          <w:p w14:paraId="6DF3374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1,144</w:t>
            </w:r>
          </w:p>
        </w:tc>
      </w:tr>
      <w:tr w:rsidR="001353C2" w:rsidRPr="001353C2" w14:paraId="2F7B814F" w14:textId="77777777" w:rsidTr="001353C2">
        <w:trPr>
          <w:trHeight w:val="283"/>
        </w:trPr>
        <w:tc>
          <w:tcPr>
            <w:tcW w:w="3761" w:type="dxa"/>
          </w:tcPr>
          <w:p w14:paraId="06B70252" w14:textId="77777777" w:rsidR="001353C2" w:rsidRPr="001353C2" w:rsidRDefault="001353C2" w:rsidP="001353C2">
            <w:pPr>
              <w:keepNext/>
              <w:tabs>
                <w:tab w:val="left" w:pos="284"/>
              </w:tabs>
              <w:suppressAutoHyphens/>
              <w:autoSpaceDE w:val="0"/>
              <w:autoSpaceDN w:val="0"/>
              <w:adjustRightInd w:val="0"/>
              <w:spacing w:line="240" w:lineRule="auto"/>
              <w:ind w:left="142" w:hanging="142"/>
              <w:textAlignment w:val="center"/>
              <w:rPr>
                <w:rFonts w:cs="Arial"/>
                <w:color w:val="000000" w:themeColor="text1"/>
                <w:sz w:val="20"/>
                <w:szCs w:val="20"/>
              </w:rPr>
            </w:pPr>
            <w:r w:rsidRPr="001353C2">
              <w:rPr>
                <w:rFonts w:cs="Arial"/>
                <w:color w:val="000000" w:themeColor="text1"/>
                <w:sz w:val="20"/>
                <w:szCs w:val="20"/>
              </w:rPr>
              <w:t>Interest income on plan assets</w:t>
            </w:r>
          </w:p>
        </w:tc>
        <w:tc>
          <w:tcPr>
            <w:tcW w:w="1516" w:type="dxa"/>
          </w:tcPr>
          <w:p w14:paraId="35E0A80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(58,851)</w:t>
            </w:r>
          </w:p>
        </w:tc>
        <w:tc>
          <w:tcPr>
            <w:tcW w:w="1531" w:type="dxa"/>
          </w:tcPr>
          <w:p w14:paraId="069BF7A2"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(1,381)</w:t>
            </w:r>
          </w:p>
        </w:tc>
        <w:tc>
          <w:tcPr>
            <w:tcW w:w="1516" w:type="dxa"/>
          </w:tcPr>
          <w:p w14:paraId="2877AD76"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(51,997)</w:t>
            </w:r>
          </w:p>
        </w:tc>
        <w:tc>
          <w:tcPr>
            <w:tcW w:w="1531" w:type="dxa"/>
          </w:tcPr>
          <w:p w14:paraId="124656C5"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(1,270)</w:t>
            </w:r>
          </w:p>
        </w:tc>
      </w:tr>
      <w:tr w:rsidR="001353C2" w:rsidRPr="001353C2" w14:paraId="1A6C6D7C" w14:textId="77777777" w:rsidTr="001353C2">
        <w:trPr>
          <w:trHeight w:val="283"/>
        </w:trPr>
        <w:tc>
          <w:tcPr>
            <w:tcW w:w="3761" w:type="dxa"/>
          </w:tcPr>
          <w:p w14:paraId="301C80F4" w14:textId="77777777" w:rsidR="001353C2" w:rsidRPr="001353C2" w:rsidRDefault="001353C2" w:rsidP="001353C2">
            <w:pPr>
              <w:keepNext/>
              <w:tabs>
                <w:tab w:val="left" w:pos="284"/>
              </w:tabs>
              <w:suppressAutoHyphens/>
              <w:autoSpaceDE w:val="0"/>
              <w:autoSpaceDN w:val="0"/>
              <w:adjustRightInd w:val="0"/>
              <w:spacing w:line="240" w:lineRule="auto"/>
              <w:ind w:left="142" w:hanging="142"/>
              <w:textAlignment w:val="center"/>
              <w:rPr>
                <w:rFonts w:cs="Arial"/>
                <w:color w:val="000000" w:themeColor="text1"/>
                <w:sz w:val="20"/>
                <w:szCs w:val="20"/>
              </w:rPr>
            </w:pPr>
            <w:r w:rsidRPr="001353C2">
              <w:rPr>
                <w:rFonts w:cs="Arial"/>
                <w:b/>
                <w:bCs/>
                <w:color w:val="000000" w:themeColor="text1"/>
                <w:sz w:val="20"/>
                <w:szCs w:val="20"/>
              </w:rPr>
              <w:t>Total net interest cost</w:t>
            </w:r>
          </w:p>
        </w:tc>
        <w:tc>
          <w:tcPr>
            <w:tcW w:w="1516" w:type="dxa"/>
          </w:tcPr>
          <w:p w14:paraId="508BCE88"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(8,042)</w:t>
            </w:r>
          </w:p>
        </w:tc>
        <w:tc>
          <w:tcPr>
            <w:tcW w:w="1531" w:type="dxa"/>
          </w:tcPr>
          <w:p w14:paraId="1E7F1299"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(182)</w:t>
            </w:r>
          </w:p>
        </w:tc>
        <w:tc>
          <w:tcPr>
            <w:tcW w:w="1516" w:type="dxa"/>
          </w:tcPr>
          <w:p w14:paraId="0BF92D3C"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b/>
                <w:bCs/>
                <w:color w:val="000000" w:themeColor="text1"/>
                <w:sz w:val="20"/>
                <w:szCs w:val="20"/>
              </w:rPr>
              <w:t>(4,827)</w:t>
            </w:r>
          </w:p>
        </w:tc>
        <w:tc>
          <w:tcPr>
            <w:tcW w:w="1531" w:type="dxa"/>
          </w:tcPr>
          <w:p w14:paraId="71490C5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(126)</w:t>
            </w:r>
          </w:p>
        </w:tc>
      </w:tr>
      <w:tr w:rsidR="001353C2" w:rsidRPr="001353C2" w14:paraId="3DD088FF" w14:textId="77777777" w:rsidTr="001353C2">
        <w:trPr>
          <w:trHeight w:val="283"/>
        </w:trPr>
        <w:tc>
          <w:tcPr>
            <w:tcW w:w="3761" w:type="dxa"/>
          </w:tcPr>
          <w:p w14:paraId="4CB0E0C6"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Administrative expenses and taxes</w:t>
            </w:r>
          </w:p>
        </w:tc>
        <w:tc>
          <w:tcPr>
            <w:tcW w:w="1516" w:type="dxa"/>
          </w:tcPr>
          <w:p w14:paraId="38ABE4A5"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950</w:t>
            </w:r>
          </w:p>
        </w:tc>
        <w:tc>
          <w:tcPr>
            <w:tcW w:w="1531" w:type="dxa"/>
          </w:tcPr>
          <w:p w14:paraId="356F6A2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w:t>
            </w:r>
          </w:p>
        </w:tc>
        <w:tc>
          <w:tcPr>
            <w:tcW w:w="1516" w:type="dxa"/>
          </w:tcPr>
          <w:p w14:paraId="0E493131"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806</w:t>
            </w:r>
          </w:p>
        </w:tc>
        <w:tc>
          <w:tcPr>
            <w:tcW w:w="1531" w:type="dxa"/>
          </w:tcPr>
          <w:p w14:paraId="28F0ED68"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w:t>
            </w:r>
          </w:p>
        </w:tc>
      </w:tr>
      <w:tr w:rsidR="001353C2" w:rsidRPr="001353C2" w14:paraId="3A34509F" w14:textId="77777777" w:rsidTr="001353C2">
        <w:trPr>
          <w:trHeight w:val="283"/>
        </w:trPr>
        <w:tc>
          <w:tcPr>
            <w:tcW w:w="3761" w:type="dxa"/>
          </w:tcPr>
          <w:p w14:paraId="04246CCA"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Insurance premiums for risk benefits</w:t>
            </w:r>
          </w:p>
        </w:tc>
        <w:tc>
          <w:tcPr>
            <w:tcW w:w="1516" w:type="dxa"/>
          </w:tcPr>
          <w:p w14:paraId="046E462C"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3,798</w:t>
            </w:r>
          </w:p>
        </w:tc>
        <w:tc>
          <w:tcPr>
            <w:tcW w:w="1531" w:type="dxa"/>
          </w:tcPr>
          <w:p w14:paraId="1586AFB9"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51</w:t>
            </w:r>
          </w:p>
        </w:tc>
        <w:tc>
          <w:tcPr>
            <w:tcW w:w="1516" w:type="dxa"/>
          </w:tcPr>
          <w:p w14:paraId="6B100659"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3,228</w:t>
            </w:r>
          </w:p>
        </w:tc>
        <w:tc>
          <w:tcPr>
            <w:tcW w:w="1531" w:type="dxa"/>
          </w:tcPr>
          <w:p w14:paraId="60D082BC"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45</w:t>
            </w:r>
          </w:p>
        </w:tc>
      </w:tr>
      <w:tr w:rsidR="001353C2" w:rsidRPr="001353C2" w14:paraId="4B0DDDA5" w14:textId="77777777" w:rsidTr="001353C2">
        <w:trPr>
          <w:trHeight w:val="283"/>
        </w:trPr>
        <w:tc>
          <w:tcPr>
            <w:tcW w:w="3761" w:type="dxa"/>
          </w:tcPr>
          <w:p w14:paraId="0405B3F0"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Defined benefit cost included in consolidated income statement</w:t>
            </w:r>
          </w:p>
        </w:tc>
        <w:tc>
          <w:tcPr>
            <w:tcW w:w="1516" w:type="dxa"/>
          </w:tcPr>
          <w:p w14:paraId="69D4BF4C"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26,599</w:t>
            </w:r>
          </w:p>
        </w:tc>
        <w:tc>
          <w:tcPr>
            <w:tcW w:w="1531" w:type="dxa"/>
          </w:tcPr>
          <w:p w14:paraId="21BBC0E5"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326</w:t>
            </w:r>
          </w:p>
        </w:tc>
        <w:tc>
          <w:tcPr>
            <w:tcW w:w="1516" w:type="dxa"/>
          </w:tcPr>
          <w:p w14:paraId="3AE3D574"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b/>
                <w:bCs/>
                <w:color w:val="000000" w:themeColor="text1"/>
                <w:sz w:val="20"/>
                <w:szCs w:val="20"/>
              </w:rPr>
              <w:t>23,787</w:t>
            </w:r>
          </w:p>
        </w:tc>
        <w:tc>
          <w:tcPr>
            <w:tcW w:w="1531" w:type="dxa"/>
          </w:tcPr>
          <w:p w14:paraId="518088D3"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322</w:t>
            </w:r>
          </w:p>
        </w:tc>
      </w:tr>
      <w:tr w:rsidR="001353C2" w:rsidRPr="001353C2" w14:paraId="0E421EE3" w14:textId="77777777" w:rsidTr="001353C2">
        <w:trPr>
          <w:trHeight w:val="283"/>
        </w:trPr>
        <w:tc>
          <w:tcPr>
            <w:tcW w:w="3761" w:type="dxa"/>
          </w:tcPr>
          <w:p w14:paraId="6DFCD85B" w14:textId="77777777" w:rsidR="001353C2" w:rsidRPr="001353C2" w:rsidRDefault="001353C2" w:rsidP="001353C2">
            <w:pPr>
              <w:keepNext/>
              <w:tabs>
                <w:tab w:val="left" w:pos="720"/>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Remeasurements (recognised in other comprehensive income)</w:t>
            </w:r>
          </w:p>
        </w:tc>
        <w:tc>
          <w:tcPr>
            <w:tcW w:w="1516" w:type="dxa"/>
          </w:tcPr>
          <w:p w14:paraId="18051DF6"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175B266F"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1EDE2F6B"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4CCDCD19"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4B786303" w14:textId="77777777" w:rsidTr="001353C2">
        <w:trPr>
          <w:trHeight w:val="283"/>
        </w:trPr>
        <w:tc>
          <w:tcPr>
            <w:tcW w:w="3761" w:type="dxa"/>
          </w:tcPr>
          <w:p w14:paraId="19A7A609"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Effect of changes in financial assumptions</w:t>
            </w:r>
          </w:p>
        </w:tc>
        <w:tc>
          <w:tcPr>
            <w:tcW w:w="1516" w:type="dxa"/>
          </w:tcPr>
          <w:p w14:paraId="4F996A41"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(168,211)</w:t>
            </w:r>
          </w:p>
        </w:tc>
        <w:tc>
          <w:tcPr>
            <w:tcW w:w="1531" w:type="dxa"/>
          </w:tcPr>
          <w:p w14:paraId="4B8E284A"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(2,936)</w:t>
            </w:r>
          </w:p>
        </w:tc>
        <w:tc>
          <w:tcPr>
            <w:tcW w:w="1516" w:type="dxa"/>
          </w:tcPr>
          <w:p w14:paraId="27AC6F35"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(11,986)</w:t>
            </w:r>
          </w:p>
        </w:tc>
        <w:tc>
          <w:tcPr>
            <w:tcW w:w="1531" w:type="dxa"/>
          </w:tcPr>
          <w:p w14:paraId="1D33134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(263)</w:t>
            </w:r>
          </w:p>
        </w:tc>
      </w:tr>
      <w:tr w:rsidR="001353C2" w:rsidRPr="001353C2" w14:paraId="3099C873" w14:textId="77777777" w:rsidTr="001353C2">
        <w:trPr>
          <w:trHeight w:val="283"/>
        </w:trPr>
        <w:tc>
          <w:tcPr>
            <w:tcW w:w="3761" w:type="dxa"/>
          </w:tcPr>
          <w:p w14:paraId="647B5576"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Effect of experience adjustments</w:t>
            </w:r>
          </w:p>
        </w:tc>
        <w:tc>
          <w:tcPr>
            <w:tcW w:w="1516" w:type="dxa"/>
          </w:tcPr>
          <w:p w14:paraId="6A8A74DE"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31" w:type="dxa"/>
          </w:tcPr>
          <w:p w14:paraId="5CB26328"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16" w:type="dxa"/>
          </w:tcPr>
          <w:p w14:paraId="4292CEB2"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10,857</w:t>
            </w:r>
          </w:p>
        </w:tc>
        <w:tc>
          <w:tcPr>
            <w:tcW w:w="1531" w:type="dxa"/>
          </w:tcPr>
          <w:p w14:paraId="1510625A"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293</w:t>
            </w:r>
          </w:p>
        </w:tc>
      </w:tr>
      <w:tr w:rsidR="001353C2" w:rsidRPr="001353C2" w14:paraId="691A42FD" w14:textId="77777777" w:rsidTr="001353C2">
        <w:trPr>
          <w:trHeight w:val="283"/>
        </w:trPr>
        <w:tc>
          <w:tcPr>
            <w:tcW w:w="3761" w:type="dxa"/>
          </w:tcPr>
          <w:p w14:paraId="16ABAEA2"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Return on plan assets (excluding interest income)</w:t>
            </w:r>
          </w:p>
        </w:tc>
        <w:tc>
          <w:tcPr>
            <w:tcW w:w="1516" w:type="dxa"/>
          </w:tcPr>
          <w:p w14:paraId="535741EF"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2,718</w:t>
            </w:r>
          </w:p>
        </w:tc>
        <w:tc>
          <w:tcPr>
            <w:tcW w:w="1531" w:type="dxa"/>
          </w:tcPr>
          <w:p w14:paraId="558959CB"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326</w:t>
            </w:r>
          </w:p>
        </w:tc>
        <w:tc>
          <w:tcPr>
            <w:tcW w:w="1516" w:type="dxa"/>
          </w:tcPr>
          <w:p w14:paraId="1146B723"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color w:val="000000" w:themeColor="text1"/>
                <w:sz w:val="20"/>
                <w:szCs w:val="20"/>
              </w:rPr>
              <w:t>(54,572)</w:t>
            </w:r>
          </w:p>
        </w:tc>
        <w:tc>
          <w:tcPr>
            <w:tcW w:w="1531" w:type="dxa"/>
          </w:tcPr>
          <w:p w14:paraId="60EC6CE4"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(1,001)</w:t>
            </w:r>
          </w:p>
        </w:tc>
      </w:tr>
      <w:tr w:rsidR="001353C2" w:rsidRPr="001353C2" w14:paraId="08488DBD" w14:textId="77777777" w:rsidTr="001353C2">
        <w:trPr>
          <w:trHeight w:val="283"/>
        </w:trPr>
        <w:tc>
          <w:tcPr>
            <w:tcW w:w="3761" w:type="dxa"/>
          </w:tcPr>
          <w:p w14:paraId="2F88CDC9" w14:textId="77777777" w:rsidR="001353C2" w:rsidRPr="001353C2" w:rsidRDefault="001353C2" w:rsidP="001353C2">
            <w:pPr>
              <w:keepNext/>
              <w:tabs>
                <w:tab w:val="left" w:pos="284"/>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Total remeasurements included in other comprehensive income</w:t>
            </w:r>
          </w:p>
        </w:tc>
        <w:tc>
          <w:tcPr>
            <w:tcW w:w="1516" w:type="dxa"/>
          </w:tcPr>
          <w:p w14:paraId="2E4B64BF"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(165,493)</w:t>
            </w:r>
          </w:p>
        </w:tc>
        <w:tc>
          <w:tcPr>
            <w:tcW w:w="1531" w:type="dxa"/>
          </w:tcPr>
          <w:p w14:paraId="1D64CD3A"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(2,610)</w:t>
            </w:r>
          </w:p>
        </w:tc>
        <w:tc>
          <w:tcPr>
            <w:tcW w:w="1516" w:type="dxa"/>
          </w:tcPr>
          <w:p w14:paraId="3F21FBBE"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b/>
                <w:bCs/>
                <w:color w:val="000000" w:themeColor="text1"/>
                <w:sz w:val="20"/>
                <w:szCs w:val="20"/>
              </w:rPr>
              <w:t>(55,701)</w:t>
            </w:r>
          </w:p>
        </w:tc>
        <w:tc>
          <w:tcPr>
            <w:tcW w:w="1531" w:type="dxa"/>
          </w:tcPr>
          <w:p w14:paraId="15C3816A"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(971)</w:t>
            </w:r>
          </w:p>
        </w:tc>
      </w:tr>
      <w:tr w:rsidR="001353C2" w:rsidRPr="001353C2" w14:paraId="092EFA00" w14:textId="77777777" w:rsidTr="001353C2">
        <w:trPr>
          <w:trHeight w:val="283"/>
        </w:trPr>
        <w:tc>
          <w:tcPr>
            <w:tcW w:w="3761" w:type="dxa"/>
          </w:tcPr>
          <w:p w14:paraId="6272310C" w14:textId="77777777" w:rsidR="001353C2" w:rsidRPr="001353C2" w:rsidRDefault="001353C2" w:rsidP="001353C2">
            <w:pPr>
              <w:keepNext/>
              <w:tabs>
                <w:tab w:val="left" w:pos="720"/>
                <w:tab w:val="left" w:pos="851"/>
              </w:tabs>
              <w:suppressAutoHyphen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Total pension credit recognised in consolidated income statement and other comprehensive income</w:t>
            </w:r>
          </w:p>
        </w:tc>
        <w:tc>
          <w:tcPr>
            <w:tcW w:w="1516" w:type="dxa"/>
          </w:tcPr>
          <w:p w14:paraId="51D08BB3"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(138,894)</w:t>
            </w:r>
          </w:p>
        </w:tc>
        <w:tc>
          <w:tcPr>
            <w:tcW w:w="1531" w:type="dxa"/>
          </w:tcPr>
          <w:p w14:paraId="488C32E9"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(2,284)</w:t>
            </w:r>
          </w:p>
        </w:tc>
        <w:tc>
          <w:tcPr>
            <w:tcW w:w="1516" w:type="dxa"/>
          </w:tcPr>
          <w:p w14:paraId="4589E92A" w14:textId="77777777" w:rsidR="001353C2" w:rsidRPr="001353C2" w:rsidRDefault="001353C2" w:rsidP="001353C2">
            <w:pPr>
              <w:keepNext/>
              <w:suppressAutoHyphens/>
              <w:autoSpaceDE w:val="0"/>
              <w:autoSpaceDN w:val="0"/>
              <w:adjustRightInd w:val="0"/>
              <w:spacing w:line="240" w:lineRule="auto"/>
              <w:ind w:right="86"/>
              <w:jc w:val="right"/>
              <w:textAlignment w:val="center"/>
              <w:rPr>
                <w:rFonts w:cs="Arial"/>
                <w:color w:val="000000" w:themeColor="text1"/>
                <w:sz w:val="20"/>
                <w:szCs w:val="20"/>
              </w:rPr>
            </w:pPr>
            <w:r w:rsidRPr="001353C2">
              <w:rPr>
                <w:rFonts w:cs="Arial"/>
                <w:b/>
                <w:bCs/>
                <w:color w:val="000000" w:themeColor="text1"/>
                <w:sz w:val="20"/>
                <w:szCs w:val="20"/>
              </w:rPr>
              <w:t>(31,914)</w:t>
            </w:r>
          </w:p>
        </w:tc>
        <w:tc>
          <w:tcPr>
            <w:tcW w:w="1531" w:type="dxa"/>
          </w:tcPr>
          <w:p w14:paraId="56C2C5E6" w14:textId="77777777" w:rsidR="001353C2" w:rsidRPr="001353C2" w:rsidRDefault="001353C2" w:rsidP="001353C2">
            <w:pPr>
              <w:tabs>
                <w:tab w:val="decimal" w:pos="993"/>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(649)</w:t>
            </w:r>
          </w:p>
        </w:tc>
      </w:tr>
    </w:tbl>
    <w:p w14:paraId="5D1B74A9" w14:textId="77777777" w:rsidR="001353C2" w:rsidRPr="001353C2" w:rsidRDefault="001353C2" w:rsidP="001353C2">
      <w:pPr>
        <w:rPr>
          <w:color w:val="000000" w:themeColor="text1"/>
        </w:rPr>
      </w:pPr>
    </w:p>
    <w:p w14:paraId="769F7AB3" w14:textId="77777777" w:rsidR="001353C2" w:rsidRPr="001353C2" w:rsidRDefault="001353C2" w:rsidP="001353C2">
      <w:r w:rsidRPr="001353C2">
        <w:t>Of the expense for the period (total service cost), £23.8m (2024: £23.8m) has been included in cost of sales and the remainder has been included within administrative expenses. The actual return on plan assets for the Group was positive £56.1m (2024: positive £106.6m); Company: positive £1.1m (2024: positive £1.9m).</w:t>
      </w:r>
    </w:p>
    <w:p w14:paraId="5F33126C" w14:textId="77777777" w:rsidR="001353C2" w:rsidRPr="001353C2" w:rsidRDefault="001353C2" w:rsidP="001353C2"/>
    <w:p w14:paraId="6489300B" w14:textId="45569A91" w:rsidR="001353C2" w:rsidRDefault="001353C2" w:rsidP="001353C2">
      <w:r w:rsidRPr="001353C2">
        <w:t xml:space="preserve">The gross cumulative </w:t>
      </w:r>
      <w:proofErr w:type="gramStart"/>
      <w:r w:rsidRPr="001353C2">
        <w:t>amount</w:t>
      </w:r>
      <w:proofErr w:type="gramEnd"/>
      <w:r w:rsidRPr="001353C2">
        <w:t xml:space="preserve"> of actuarial gains and losses recognised in other comprehensive income is gains of £473.8m (2024: gains of £308.3m). Expected contributions to the schemes in the next annual reporting period are £31.2m.</w:t>
      </w:r>
    </w:p>
    <w:p w14:paraId="38E7A70E" w14:textId="77777777" w:rsidR="001353C2" w:rsidRPr="001353C2" w:rsidRDefault="001353C2" w:rsidP="001353C2">
      <w:pPr>
        <w:rPr>
          <w:rFonts w:cs="Arial"/>
          <w:b/>
          <w:bCs/>
          <w:color w:val="000000" w:themeColor="text1"/>
        </w:rPr>
      </w:pPr>
    </w:p>
    <w:p w14:paraId="7281183E" w14:textId="77777777" w:rsidR="001353C2" w:rsidRDefault="001353C2">
      <w:pPr>
        <w:spacing w:line="240" w:lineRule="auto"/>
      </w:pPr>
      <w:r>
        <w:br w:type="page"/>
      </w:r>
    </w:p>
    <w:p w14:paraId="58006E4A" w14:textId="2A008F2A" w:rsidR="001353C2" w:rsidRPr="001353C2" w:rsidRDefault="001353C2" w:rsidP="007430D9">
      <w:pPr>
        <w:pStyle w:val="Heading3"/>
        <w:rPr>
          <w:color w:val="007D6C"/>
        </w:rPr>
      </w:pPr>
      <w:bookmarkStart w:id="302" w:name="_Toc213058734"/>
      <w:r w:rsidRPr="001353C2">
        <w:lastRenderedPageBreak/>
        <w:t>iii. Amounts Included Within the Balance Sheet</w:t>
      </w:r>
      <w:bookmarkEnd w:id="302"/>
    </w:p>
    <w:p w14:paraId="2393E407" w14:textId="77777777" w:rsidR="001353C2" w:rsidRPr="001353C2" w:rsidRDefault="001353C2" w:rsidP="001353C2">
      <w:pPr>
        <w:rPr>
          <w:color w:val="000000"/>
        </w:rPr>
      </w:pPr>
      <w:r w:rsidRPr="001353C2">
        <w:rPr>
          <w:color w:val="000000"/>
        </w:rPr>
        <w:t>The amount included in the balance sheet arising from the Group and Company’s obligations in respect of its defined benefit retirement benefit schemes is as follows:</w:t>
      </w:r>
    </w:p>
    <w:tbl>
      <w:tblPr>
        <w:tblStyle w:val="TableGrid"/>
        <w:tblW w:w="0" w:type="auto"/>
        <w:tblLayout w:type="fixed"/>
        <w:tblLook w:val="0000" w:firstRow="0" w:lastRow="0" w:firstColumn="0" w:lastColumn="0" w:noHBand="0" w:noVBand="0"/>
      </w:tblPr>
      <w:tblGrid>
        <w:gridCol w:w="3844"/>
        <w:gridCol w:w="1464"/>
        <w:gridCol w:w="1517"/>
        <w:gridCol w:w="1516"/>
        <w:gridCol w:w="1521"/>
      </w:tblGrid>
      <w:tr w:rsidR="001353C2" w:rsidRPr="001353C2" w14:paraId="60FD6DE2" w14:textId="77777777" w:rsidTr="001353C2">
        <w:trPr>
          <w:trHeight w:val="283"/>
        </w:trPr>
        <w:tc>
          <w:tcPr>
            <w:tcW w:w="3844" w:type="dxa"/>
          </w:tcPr>
          <w:p w14:paraId="23493CC6"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464" w:type="dxa"/>
          </w:tcPr>
          <w:p w14:paraId="4BAD2E1A"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4DCE81CC"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06564D99"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17" w:type="dxa"/>
          </w:tcPr>
          <w:p w14:paraId="37EB9BEF"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64C9DFE3"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2F9EECEB"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16" w:type="dxa"/>
          </w:tcPr>
          <w:p w14:paraId="7EF3CAF5"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69BE262B"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3ECB218E"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21" w:type="dxa"/>
          </w:tcPr>
          <w:p w14:paraId="11D30793"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67D654B6"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247CC0CE"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r>
      <w:tr w:rsidR="001353C2" w:rsidRPr="001353C2" w14:paraId="6DDC472F" w14:textId="77777777" w:rsidTr="001353C2">
        <w:trPr>
          <w:trHeight w:val="283"/>
        </w:trPr>
        <w:tc>
          <w:tcPr>
            <w:tcW w:w="3844" w:type="dxa"/>
          </w:tcPr>
          <w:p w14:paraId="756D6924"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Present value of funded defined benefit obligations</w:t>
            </w:r>
          </w:p>
        </w:tc>
        <w:tc>
          <w:tcPr>
            <w:tcW w:w="1464" w:type="dxa"/>
          </w:tcPr>
          <w:p w14:paraId="01677574"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7" w:type="dxa"/>
          </w:tcPr>
          <w:p w14:paraId="7911A1DA"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347B29AC"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21" w:type="dxa"/>
          </w:tcPr>
          <w:p w14:paraId="73FA8C10"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0B455CAB" w14:textId="77777777" w:rsidTr="001353C2">
        <w:trPr>
          <w:trHeight w:val="283"/>
        </w:trPr>
        <w:tc>
          <w:tcPr>
            <w:tcW w:w="3844" w:type="dxa"/>
          </w:tcPr>
          <w:p w14:paraId="36A3BC34"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t>NILGOS Scheme</w:t>
            </w:r>
          </w:p>
        </w:tc>
        <w:tc>
          <w:tcPr>
            <w:tcW w:w="1464" w:type="dxa"/>
          </w:tcPr>
          <w:p w14:paraId="4277E08C"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(924,194)</w:t>
            </w:r>
          </w:p>
        </w:tc>
        <w:tc>
          <w:tcPr>
            <w:tcW w:w="1517" w:type="dxa"/>
          </w:tcPr>
          <w:p w14:paraId="0BEE238B"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(20,687)</w:t>
            </w:r>
          </w:p>
        </w:tc>
        <w:tc>
          <w:tcPr>
            <w:tcW w:w="1516" w:type="dxa"/>
          </w:tcPr>
          <w:p w14:paraId="49D64651"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(1,029,653)</w:t>
            </w:r>
          </w:p>
        </w:tc>
        <w:tc>
          <w:tcPr>
            <w:tcW w:w="1521" w:type="dxa"/>
          </w:tcPr>
          <w:p w14:paraId="3C545B75"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(22,653)</w:t>
            </w:r>
          </w:p>
        </w:tc>
      </w:tr>
      <w:tr w:rsidR="001353C2" w:rsidRPr="001353C2" w14:paraId="0557BF6A" w14:textId="77777777" w:rsidTr="001353C2">
        <w:trPr>
          <w:trHeight w:val="283"/>
        </w:trPr>
        <w:tc>
          <w:tcPr>
            <w:tcW w:w="3844" w:type="dxa"/>
          </w:tcPr>
          <w:p w14:paraId="7F00B255"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r>
            <w:proofErr w:type="spellStart"/>
            <w:r w:rsidRPr="001353C2">
              <w:rPr>
                <w:rFonts w:cs="Arial"/>
                <w:color w:val="000000" w:themeColor="text1"/>
                <w:sz w:val="20"/>
                <w:szCs w:val="20"/>
              </w:rPr>
              <w:t>Ulsterbus</w:t>
            </w:r>
            <w:proofErr w:type="spellEnd"/>
            <w:r w:rsidRPr="001353C2">
              <w:rPr>
                <w:rFonts w:cs="Arial"/>
                <w:color w:val="000000" w:themeColor="text1"/>
                <w:sz w:val="20"/>
                <w:szCs w:val="20"/>
              </w:rPr>
              <w:t>/Citybus Scheme</w:t>
            </w:r>
          </w:p>
        </w:tc>
        <w:tc>
          <w:tcPr>
            <w:tcW w:w="1464" w:type="dxa"/>
          </w:tcPr>
          <w:p w14:paraId="58C65925" w14:textId="77777777" w:rsidR="001353C2" w:rsidRPr="001353C2" w:rsidRDefault="001353C2" w:rsidP="001353C2">
            <w:pPr>
              <w:tabs>
                <w:tab w:val="left" w:pos="198"/>
              </w:tabs>
              <w:autoSpaceDE w:val="0"/>
              <w:autoSpaceDN w:val="0"/>
              <w:adjustRightInd w:val="0"/>
              <w:spacing w:line="240" w:lineRule="auto"/>
              <w:ind w:left="142" w:hanging="142"/>
              <w:jc w:val="right"/>
              <w:textAlignment w:val="center"/>
              <w:rPr>
                <w:rFonts w:cs="Arial"/>
                <w:color w:val="000000" w:themeColor="text1"/>
                <w:sz w:val="20"/>
                <w:szCs w:val="20"/>
              </w:rPr>
            </w:pPr>
            <w:r w:rsidRPr="001353C2">
              <w:rPr>
                <w:rFonts w:cs="Arial"/>
                <w:color w:val="000000" w:themeColor="text1"/>
                <w:sz w:val="20"/>
                <w:szCs w:val="20"/>
              </w:rPr>
              <w:t>(340)</w:t>
            </w:r>
          </w:p>
        </w:tc>
        <w:tc>
          <w:tcPr>
            <w:tcW w:w="1517" w:type="dxa"/>
          </w:tcPr>
          <w:p w14:paraId="4C56BA6E" w14:textId="77777777" w:rsidR="001353C2" w:rsidRPr="001353C2" w:rsidRDefault="001353C2" w:rsidP="001353C2">
            <w:pPr>
              <w:tabs>
                <w:tab w:val="left" w:pos="198"/>
              </w:tabs>
              <w:autoSpaceDE w:val="0"/>
              <w:autoSpaceDN w:val="0"/>
              <w:adjustRightInd w:val="0"/>
              <w:spacing w:line="240" w:lineRule="auto"/>
              <w:ind w:left="142" w:hanging="142"/>
              <w:jc w:val="right"/>
              <w:textAlignment w:val="center"/>
              <w:rPr>
                <w:rFonts w:cs="Arial"/>
                <w:color w:val="000000" w:themeColor="text1"/>
                <w:sz w:val="20"/>
                <w:szCs w:val="20"/>
              </w:rPr>
            </w:pPr>
            <w:r w:rsidRPr="001353C2">
              <w:rPr>
                <w:rFonts w:cs="Arial"/>
                <w:color w:val="000000" w:themeColor="text1"/>
                <w:sz w:val="20"/>
                <w:szCs w:val="20"/>
              </w:rPr>
              <w:t>(340)</w:t>
            </w:r>
          </w:p>
        </w:tc>
        <w:tc>
          <w:tcPr>
            <w:tcW w:w="1516" w:type="dxa"/>
          </w:tcPr>
          <w:p w14:paraId="363AED92" w14:textId="77777777" w:rsidR="001353C2" w:rsidRPr="001353C2" w:rsidRDefault="001353C2" w:rsidP="001353C2">
            <w:pPr>
              <w:tabs>
                <w:tab w:val="left" w:pos="198"/>
              </w:tabs>
              <w:autoSpaceDE w:val="0"/>
              <w:autoSpaceDN w:val="0"/>
              <w:adjustRightInd w:val="0"/>
              <w:spacing w:line="240" w:lineRule="auto"/>
              <w:ind w:left="142" w:hanging="142"/>
              <w:jc w:val="right"/>
              <w:textAlignment w:val="center"/>
              <w:rPr>
                <w:rFonts w:cs="Arial"/>
                <w:color w:val="000000" w:themeColor="text1"/>
                <w:sz w:val="20"/>
                <w:szCs w:val="20"/>
              </w:rPr>
            </w:pPr>
            <w:r w:rsidRPr="001353C2">
              <w:rPr>
                <w:rFonts w:cs="Arial"/>
                <w:color w:val="000000" w:themeColor="text1"/>
                <w:sz w:val="20"/>
                <w:szCs w:val="20"/>
              </w:rPr>
              <w:t>(396)</w:t>
            </w:r>
          </w:p>
        </w:tc>
        <w:tc>
          <w:tcPr>
            <w:tcW w:w="1521" w:type="dxa"/>
          </w:tcPr>
          <w:p w14:paraId="0DB8CB31" w14:textId="77777777" w:rsidR="001353C2" w:rsidRPr="001353C2" w:rsidRDefault="001353C2" w:rsidP="001353C2">
            <w:pPr>
              <w:tabs>
                <w:tab w:val="left" w:pos="198"/>
              </w:tabs>
              <w:autoSpaceDE w:val="0"/>
              <w:autoSpaceDN w:val="0"/>
              <w:adjustRightInd w:val="0"/>
              <w:spacing w:line="240" w:lineRule="auto"/>
              <w:ind w:left="142" w:hanging="142"/>
              <w:jc w:val="right"/>
              <w:textAlignment w:val="center"/>
              <w:rPr>
                <w:rFonts w:cs="Arial"/>
                <w:color w:val="000000" w:themeColor="text1"/>
                <w:sz w:val="20"/>
                <w:szCs w:val="20"/>
              </w:rPr>
            </w:pPr>
            <w:r w:rsidRPr="001353C2">
              <w:rPr>
                <w:rFonts w:cs="Arial"/>
                <w:color w:val="000000" w:themeColor="text1"/>
                <w:sz w:val="20"/>
                <w:szCs w:val="20"/>
              </w:rPr>
              <w:t>(396)</w:t>
            </w:r>
          </w:p>
        </w:tc>
      </w:tr>
      <w:tr w:rsidR="001353C2" w:rsidRPr="001353C2" w14:paraId="79E1A2C8" w14:textId="77777777" w:rsidTr="001353C2">
        <w:trPr>
          <w:trHeight w:val="283"/>
        </w:trPr>
        <w:tc>
          <w:tcPr>
            <w:tcW w:w="3844" w:type="dxa"/>
          </w:tcPr>
          <w:p w14:paraId="12570A38"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t>Executive Scheme</w:t>
            </w:r>
          </w:p>
        </w:tc>
        <w:tc>
          <w:tcPr>
            <w:tcW w:w="1464" w:type="dxa"/>
          </w:tcPr>
          <w:p w14:paraId="302FCF7A"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(1,465)</w:t>
            </w:r>
          </w:p>
        </w:tc>
        <w:tc>
          <w:tcPr>
            <w:tcW w:w="1517" w:type="dxa"/>
          </w:tcPr>
          <w:p w14:paraId="35373996"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(1,465)</w:t>
            </w:r>
          </w:p>
        </w:tc>
        <w:tc>
          <w:tcPr>
            <w:tcW w:w="1516" w:type="dxa"/>
          </w:tcPr>
          <w:p w14:paraId="22A90729"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(1,710)</w:t>
            </w:r>
          </w:p>
        </w:tc>
        <w:tc>
          <w:tcPr>
            <w:tcW w:w="1521" w:type="dxa"/>
          </w:tcPr>
          <w:p w14:paraId="4984774D"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(1,710)</w:t>
            </w:r>
          </w:p>
        </w:tc>
      </w:tr>
      <w:tr w:rsidR="001353C2" w:rsidRPr="001353C2" w14:paraId="27E12A1D" w14:textId="77777777" w:rsidTr="001353C2">
        <w:trPr>
          <w:trHeight w:val="283"/>
        </w:trPr>
        <w:tc>
          <w:tcPr>
            <w:tcW w:w="3844" w:type="dxa"/>
          </w:tcPr>
          <w:p w14:paraId="602EBC61"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Total Present Value</w:t>
            </w:r>
          </w:p>
        </w:tc>
        <w:tc>
          <w:tcPr>
            <w:tcW w:w="1464" w:type="dxa"/>
          </w:tcPr>
          <w:p w14:paraId="7BFDBA7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(925,999)</w:t>
            </w:r>
          </w:p>
        </w:tc>
        <w:tc>
          <w:tcPr>
            <w:tcW w:w="1517" w:type="dxa"/>
          </w:tcPr>
          <w:p w14:paraId="4FE7504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(22,492)</w:t>
            </w:r>
          </w:p>
        </w:tc>
        <w:tc>
          <w:tcPr>
            <w:tcW w:w="1516" w:type="dxa"/>
          </w:tcPr>
          <w:p w14:paraId="77FFA6F4"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(1,031,759)</w:t>
            </w:r>
          </w:p>
        </w:tc>
        <w:tc>
          <w:tcPr>
            <w:tcW w:w="1521" w:type="dxa"/>
          </w:tcPr>
          <w:p w14:paraId="25B4E5D0"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(24,759)</w:t>
            </w:r>
          </w:p>
        </w:tc>
      </w:tr>
      <w:tr w:rsidR="001353C2" w:rsidRPr="001353C2" w14:paraId="0B3CEEFA" w14:textId="77777777" w:rsidTr="001353C2">
        <w:trPr>
          <w:trHeight w:val="283"/>
        </w:trPr>
        <w:tc>
          <w:tcPr>
            <w:tcW w:w="3844" w:type="dxa"/>
          </w:tcPr>
          <w:p w14:paraId="0419744E"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Fair value of scheme assets</w:t>
            </w:r>
          </w:p>
        </w:tc>
        <w:tc>
          <w:tcPr>
            <w:tcW w:w="1464" w:type="dxa"/>
          </w:tcPr>
          <w:p w14:paraId="5F8F78AD"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7" w:type="dxa"/>
          </w:tcPr>
          <w:p w14:paraId="1E15625C"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356B3146"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21" w:type="dxa"/>
          </w:tcPr>
          <w:p w14:paraId="6C4E19B4"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79CE76D0" w14:textId="77777777" w:rsidTr="001353C2">
        <w:trPr>
          <w:trHeight w:val="283"/>
        </w:trPr>
        <w:tc>
          <w:tcPr>
            <w:tcW w:w="3844" w:type="dxa"/>
          </w:tcPr>
          <w:p w14:paraId="3BA8A58B"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t>NILGOS Scheme</w:t>
            </w:r>
          </w:p>
        </w:tc>
        <w:tc>
          <w:tcPr>
            <w:tcW w:w="1464" w:type="dxa"/>
          </w:tcPr>
          <w:p w14:paraId="4FE38C3A"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1,261,300</w:t>
            </w:r>
          </w:p>
        </w:tc>
        <w:tc>
          <w:tcPr>
            <w:tcW w:w="1517" w:type="dxa"/>
          </w:tcPr>
          <w:p w14:paraId="678778E4"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25,910</w:t>
            </w:r>
          </w:p>
        </w:tc>
        <w:tc>
          <w:tcPr>
            <w:tcW w:w="1516" w:type="dxa"/>
          </w:tcPr>
          <w:p w14:paraId="5335AB4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1,190,536</w:t>
            </w:r>
          </w:p>
        </w:tc>
        <w:tc>
          <w:tcPr>
            <w:tcW w:w="1521" w:type="dxa"/>
          </w:tcPr>
          <w:p w14:paraId="4CF8A493"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25,078</w:t>
            </w:r>
          </w:p>
        </w:tc>
      </w:tr>
      <w:tr w:rsidR="001353C2" w:rsidRPr="001353C2" w14:paraId="60036410" w14:textId="77777777" w:rsidTr="001353C2">
        <w:trPr>
          <w:trHeight w:val="283"/>
        </w:trPr>
        <w:tc>
          <w:tcPr>
            <w:tcW w:w="3844" w:type="dxa"/>
          </w:tcPr>
          <w:p w14:paraId="00B0FA7C"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r>
            <w:proofErr w:type="spellStart"/>
            <w:r w:rsidRPr="001353C2">
              <w:rPr>
                <w:rFonts w:cs="Arial"/>
                <w:color w:val="000000" w:themeColor="text1"/>
                <w:sz w:val="20"/>
                <w:szCs w:val="20"/>
              </w:rPr>
              <w:t>Ulsterbus</w:t>
            </w:r>
            <w:proofErr w:type="spellEnd"/>
            <w:r w:rsidRPr="001353C2">
              <w:rPr>
                <w:rFonts w:cs="Arial"/>
                <w:color w:val="000000" w:themeColor="text1"/>
                <w:sz w:val="20"/>
                <w:szCs w:val="20"/>
              </w:rPr>
              <w:t>/Citybus Scheme</w:t>
            </w:r>
          </w:p>
        </w:tc>
        <w:tc>
          <w:tcPr>
            <w:tcW w:w="1464" w:type="dxa"/>
          </w:tcPr>
          <w:p w14:paraId="20861056"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1,228</w:t>
            </w:r>
          </w:p>
        </w:tc>
        <w:tc>
          <w:tcPr>
            <w:tcW w:w="1517" w:type="dxa"/>
          </w:tcPr>
          <w:p w14:paraId="522D69F1"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1,228</w:t>
            </w:r>
          </w:p>
        </w:tc>
        <w:tc>
          <w:tcPr>
            <w:tcW w:w="1516" w:type="dxa"/>
          </w:tcPr>
          <w:p w14:paraId="33461875"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1,323</w:t>
            </w:r>
          </w:p>
        </w:tc>
        <w:tc>
          <w:tcPr>
            <w:tcW w:w="1521" w:type="dxa"/>
          </w:tcPr>
          <w:p w14:paraId="232510D4"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1,323</w:t>
            </w:r>
          </w:p>
        </w:tc>
      </w:tr>
      <w:tr w:rsidR="001353C2" w:rsidRPr="001353C2" w14:paraId="39A205AB" w14:textId="77777777" w:rsidTr="001353C2">
        <w:trPr>
          <w:trHeight w:val="283"/>
        </w:trPr>
        <w:tc>
          <w:tcPr>
            <w:tcW w:w="3844" w:type="dxa"/>
          </w:tcPr>
          <w:p w14:paraId="7D22ABDA"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w:t>
            </w:r>
            <w:r w:rsidRPr="001353C2">
              <w:rPr>
                <w:rFonts w:cs="Arial"/>
                <w:color w:val="000000" w:themeColor="text1"/>
                <w:sz w:val="20"/>
                <w:szCs w:val="20"/>
              </w:rPr>
              <w:tab/>
              <w:t>Executive Scheme</w:t>
            </w:r>
          </w:p>
        </w:tc>
        <w:tc>
          <w:tcPr>
            <w:tcW w:w="1464" w:type="dxa"/>
          </w:tcPr>
          <w:p w14:paraId="3627B592"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1,822</w:t>
            </w:r>
          </w:p>
        </w:tc>
        <w:tc>
          <w:tcPr>
            <w:tcW w:w="1517" w:type="dxa"/>
          </w:tcPr>
          <w:p w14:paraId="2C6D60C1"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1,822</w:t>
            </w:r>
          </w:p>
        </w:tc>
        <w:tc>
          <w:tcPr>
            <w:tcW w:w="1516" w:type="dxa"/>
          </w:tcPr>
          <w:p w14:paraId="7B25A739"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2,027</w:t>
            </w:r>
          </w:p>
        </w:tc>
        <w:tc>
          <w:tcPr>
            <w:tcW w:w="1521" w:type="dxa"/>
          </w:tcPr>
          <w:p w14:paraId="6E8D311D"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2,027</w:t>
            </w:r>
          </w:p>
        </w:tc>
      </w:tr>
      <w:tr w:rsidR="001353C2" w:rsidRPr="001353C2" w14:paraId="44384880" w14:textId="77777777" w:rsidTr="001353C2">
        <w:trPr>
          <w:trHeight w:val="283"/>
        </w:trPr>
        <w:tc>
          <w:tcPr>
            <w:tcW w:w="3844" w:type="dxa"/>
          </w:tcPr>
          <w:p w14:paraId="17C04CC3"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Total Fair Value</w:t>
            </w:r>
          </w:p>
        </w:tc>
        <w:tc>
          <w:tcPr>
            <w:tcW w:w="1464" w:type="dxa"/>
          </w:tcPr>
          <w:p w14:paraId="474D8DEF"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1,264,350</w:t>
            </w:r>
          </w:p>
        </w:tc>
        <w:tc>
          <w:tcPr>
            <w:tcW w:w="1517" w:type="dxa"/>
          </w:tcPr>
          <w:p w14:paraId="054AF36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28,960</w:t>
            </w:r>
          </w:p>
        </w:tc>
        <w:tc>
          <w:tcPr>
            <w:tcW w:w="1516" w:type="dxa"/>
          </w:tcPr>
          <w:p w14:paraId="27686746"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1,193,886</w:t>
            </w:r>
          </w:p>
        </w:tc>
        <w:tc>
          <w:tcPr>
            <w:tcW w:w="1521" w:type="dxa"/>
          </w:tcPr>
          <w:p w14:paraId="6B4EAC63"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28,428</w:t>
            </w:r>
          </w:p>
        </w:tc>
      </w:tr>
      <w:tr w:rsidR="001353C2" w:rsidRPr="001353C2" w14:paraId="06F82A86" w14:textId="77777777" w:rsidTr="001353C2">
        <w:trPr>
          <w:trHeight w:val="283"/>
        </w:trPr>
        <w:tc>
          <w:tcPr>
            <w:tcW w:w="3844" w:type="dxa"/>
          </w:tcPr>
          <w:p w14:paraId="3E423DFA"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Net asset arising from defined benefit obligation</w:t>
            </w:r>
          </w:p>
        </w:tc>
        <w:tc>
          <w:tcPr>
            <w:tcW w:w="1464" w:type="dxa"/>
          </w:tcPr>
          <w:p w14:paraId="0E5073BE"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338,351</w:t>
            </w:r>
          </w:p>
        </w:tc>
        <w:tc>
          <w:tcPr>
            <w:tcW w:w="1517" w:type="dxa"/>
          </w:tcPr>
          <w:p w14:paraId="3F750449"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6,468</w:t>
            </w:r>
          </w:p>
        </w:tc>
        <w:tc>
          <w:tcPr>
            <w:tcW w:w="1516" w:type="dxa"/>
          </w:tcPr>
          <w:p w14:paraId="07322A35"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162,127</w:t>
            </w:r>
          </w:p>
        </w:tc>
        <w:tc>
          <w:tcPr>
            <w:tcW w:w="1521" w:type="dxa"/>
          </w:tcPr>
          <w:p w14:paraId="2A89E3E2"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3,669</w:t>
            </w:r>
          </w:p>
        </w:tc>
      </w:tr>
      <w:tr w:rsidR="001353C2" w:rsidRPr="001353C2" w14:paraId="11A024AC" w14:textId="77777777" w:rsidTr="001353C2">
        <w:trPr>
          <w:trHeight w:val="283"/>
        </w:trPr>
        <w:tc>
          <w:tcPr>
            <w:tcW w:w="3844" w:type="dxa"/>
          </w:tcPr>
          <w:p w14:paraId="79840CDA"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Disclosed as:</w:t>
            </w:r>
          </w:p>
        </w:tc>
        <w:tc>
          <w:tcPr>
            <w:tcW w:w="1464" w:type="dxa"/>
          </w:tcPr>
          <w:p w14:paraId="59EDED8C"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7" w:type="dxa"/>
          </w:tcPr>
          <w:p w14:paraId="17BEF259"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1363F5AF"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21" w:type="dxa"/>
          </w:tcPr>
          <w:p w14:paraId="7CD4FAA2"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2AA7328E" w14:textId="77777777" w:rsidTr="001353C2">
        <w:trPr>
          <w:trHeight w:val="283"/>
        </w:trPr>
        <w:tc>
          <w:tcPr>
            <w:tcW w:w="3844" w:type="dxa"/>
          </w:tcPr>
          <w:p w14:paraId="47AB8BB6"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Defined benefit obligation</w:t>
            </w:r>
          </w:p>
        </w:tc>
        <w:tc>
          <w:tcPr>
            <w:tcW w:w="1464" w:type="dxa"/>
          </w:tcPr>
          <w:p w14:paraId="1B1BABEC"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17" w:type="dxa"/>
          </w:tcPr>
          <w:p w14:paraId="0F9F384E"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16" w:type="dxa"/>
          </w:tcPr>
          <w:p w14:paraId="6A3FCB52"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21" w:type="dxa"/>
          </w:tcPr>
          <w:p w14:paraId="2C67F17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r>
      <w:tr w:rsidR="001353C2" w:rsidRPr="001353C2" w14:paraId="35053263" w14:textId="77777777" w:rsidTr="001353C2">
        <w:trPr>
          <w:trHeight w:val="283"/>
        </w:trPr>
        <w:tc>
          <w:tcPr>
            <w:tcW w:w="3844" w:type="dxa"/>
          </w:tcPr>
          <w:p w14:paraId="6B4B40A2"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Defined benefit asset</w:t>
            </w:r>
          </w:p>
        </w:tc>
        <w:tc>
          <w:tcPr>
            <w:tcW w:w="1464" w:type="dxa"/>
          </w:tcPr>
          <w:p w14:paraId="40FB78E5"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338,351</w:t>
            </w:r>
          </w:p>
        </w:tc>
        <w:tc>
          <w:tcPr>
            <w:tcW w:w="1517" w:type="dxa"/>
          </w:tcPr>
          <w:p w14:paraId="0A59AE34"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6,468</w:t>
            </w:r>
          </w:p>
        </w:tc>
        <w:tc>
          <w:tcPr>
            <w:tcW w:w="1516" w:type="dxa"/>
          </w:tcPr>
          <w:p w14:paraId="2D7CBF88"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162,127</w:t>
            </w:r>
          </w:p>
        </w:tc>
        <w:tc>
          <w:tcPr>
            <w:tcW w:w="1521" w:type="dxa"/>
          </w:tcPr>
          <w:p w14:paraId="25CC988D"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3,669</w:t>
            </w:r>
          </w:p>
        </w:tc>
      </w:tr>
      <w:tr w:rsidR="001353C2" w:rsidRPr="001353C2" w14:paraId="0667436C" w14:textId="77777777" w:rsidTr="001353C2">
        <w:trPr>
          <w:trHeight w:val="283"/>
        </w:trPr>
        <w:tc>
          <w:tcPr>
            <w:tcW w:w="3844" w:type="dxa"/>
          </w:tcPr>
          <w:p w14:paraId="236ADFA6" w14:textId="77777777" w:rsidR="001353C2" w:rsidRPr="001353C2" w:rsidRDefault="001353C2" w:rsidP="001353C2">
            <w:pPr>
              <w:tabs>
                <w:tab w:val="left" w:pos="140"/>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Total Fair Value</w:t>
            </w:r>
          </w:p>
        </w:tc>
        <w:tc>
          <w:tcPr>
            <w:tcW w:w="1464" w:type="dxa"/>
          </w:tcPr>
          <w:p w14:paraId="5612BB6B"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338,351</w:t>
            </w:r>
          </w:p>
        </w:tc>
        <w:tc>
          <w:tcPr>
            <w:tcW w:w="1517" w:type="dxa"/>
          </w:tcPr>
          <w:p w14:paraId="27ACE917"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6,468</w:t>
            </w:r>
          </w:p>
        </w:tc>
        <w:tc>
          <w:tcPr>
            <w:tcW w:w="1516" w:type="dxa"/>
          </w:tcPr>
          <w:p w14:paraId="2F76DC71"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162,127</w:t>
            </w:r>
          </w:p>
        </w:tc>
        <w:tc>
          <w:tcPr>
            <w:tcW w:w="1521" w:type="dxa"/>
          </w:tcPr>
          <w:p w14:paraId="7DF3A0A8"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3,669</w:t>
            </w:r>
          </w:p>
        </w:tc>
      </w:tr>
    </w:tbl>
    <w:p w14:paraId="55E522E2" w14:textId="77777777" w:rsidR="003A428B" w:rsidRPr="001353C2" w:rsidRDefault="003A428B" w:rsidP="006675EF">
      <w:pPr>
        <w:rPr>
          <w:rFonts w:cs="Arial"/>
          <w:color w:val="000000" w:themeColor="text1"/>
        </w:rPr>
      </w:pPr>
    </w:p>
    <w:p w14:paraId="700AD97D" w14:textId="77777777" w:rsidR="001353C2" w:rsidRPr="001353C2" w:rsidRDefault="001353C2" w:rsidP="007430D9">
      <w:pPr>
        <w:pStyle w:val="Heading3"/>
      </w:pPr>
      <w:bookmarkStart w:id="303" w:name="_Toc213058735"/>
      <w:r w:rsidRPr="001353C2">
        <w:t>iv. Movements in Present Value of Defined Benefit Obligation</w:t>
      </w:r>
      <w:bookmarkEnd w:id="303"/>
    </w:p>
    <w:p w14:paraId="6B4677A9" w14:textId="77777777" w:rsidR="001353C2" w:rsidRPr="001353C2" w:rsidRDefault="001353C2" w:rsidP="001353C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themeColor="text1"/>
        </w:rPr>
      </w:pPr>
      <w:r w:rsidRPr="001353C2">
        <w:rPr>
          <w:rFonts w:cs="Arial"/>
          <w:color w:val="000000" w:themeColor="text1"/>
        </w:rPr>
        <w:t>Movements in the present value of defined benefit obligation in the current period were as follows:</w:t>
      </w:r>
    </w:p>
    <w:p w14:paraId="096973C7" w14:textId="77777777" w:rsidR="001353C2" w:rsidRPr="001353C2" w:rsidRDefault="001353C2" w:rsidP="001353C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themeColor="text1"/>
        </w:rPr>
      </w:pPr>
    </w:p>
    <w:p w14:paraId="2D8B43A1" w14:textId="77777777" w:rsidR="001353C2" w:rsidRDefault="001353C2" w:rsidP="001353C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before="85" w:after="85" w:line="300" w:lineRule="atLeast"/>
        <w:textAlignment w:val="center"/>
        <w:rPr>
          <w:rFonts w:cs="Arial"/>
          <w:i/>
          <w:iCs/>
          <w:color w:val="000000" w:themeColor="text1"/>
        </w:rPr>
      </w:pPr>
      <w:r w:rsidRPr="001353C2">
        <w:rPr>
          <w:rFonts w:cs="Arial"/>
          <w:i/>
          <w:iCs/>
          <w:color w:val="000000" w:themeColor="text1"/>
        </w:rPr>
        <w:t>NILGOS Scheme</w:t>
      </w:r>
    </w:p>
    <w:tbl>
      <w:tblPr>
        <w:tblStyle w:val="TableGrid"/>
        <w:tblW w:w="0" w:type="auto"/>
        <w:tblLayout w:type="fixed"/>
        <w:tblLook w:val="0000" w:firstRow="0" w:lastRow="0" w:firstColumn="0" w:lastColumn="0" w:noHBand="0" w:noVBand="0"/>
      </w:tblPr>
      <w:tblGrid>
        <w:gridCol w:w="3780"/>
        <w:gridCol w:w="1502"/>
        <w:gridCol w:w="1531"/>
        <w:gridCol w:w="1516"/>
        <w:gridCol w:w="1521"/>
      </w:tblGrid>
      <w:tr w:rsidR="001353C2" w:rsidRPr="001353C2" w14:paraId="36D6EEFD" w14:textId="77777777" w:rsidTr="001353C2">
        <w:trPr>
          <w:trHeight w:val="283"/>
        </w:trPr>
        <w:tc>
          <w:tcPr>
            <w:tcW w:w="3780" w:type="dxa"/>
          </w:tcPr>
          <w:p w14:paraId="7B340B6C"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02" w:type="dxa"/>
          </w:tcPr>
          <w:p w14:paraId="16A7302A"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26EF6D63"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4A44364C"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31" w:type="dxa"/>
          </w:tcPr>
          <w:p w14:paraId="35E3D874"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00F3A1A0"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1D8C358B"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16" w:type="dxa"/>
          </w:tcPr>
          <w:p w14:paraId="26EED4BD"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Group </w:t>
            </w:r>
          </w:p>
          <w:p w14:paraId="33642154"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235F5A5D"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521" w:type="dxa"/>
          </w:tcPr>
          <w:p w14:paraId="1C1A5E84"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 xml:space="preserve">Company </w:t>
            </w:r>
          </w:p>
          <w:p w14:paraId="3AA8BD0A"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76690AF9" w14:textId="77777777" w:rsidR="001353C2" w:rsidRPr="001353C2" w:rsidRDefault="001353C2" w:rsidP="001353C2">
            <w:pPr>
              <w:keepNext/>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r>
      <w:tr w:rsidR="001353C2" w:rsidRPr="001353C2" w14:paraId="5ACE432E" w14:textId="77777777" w:rsidTr="001353C2">
        <w:trPr>
          <w:trHeight w:val="283"/>
        </w:trPr>
        <w:tc>
          <w:tcPr>
            <w:tcW w:w="3780" w:type="dxa"/>
          </w:tcPr>
          <w:p w14:paraId="6E9B3567"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At beginning of period</w:t>
            </w:r>
          </w:p>
        </w:tc>
        <w:tc>
          <w:tcPr>
            <w:tcW w:w="1502" w:type="dxa"/>
          </w:tcPr>
          <w:p w14:paraId="535C93EC"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1,029,653</w:t>
            </w:r>
          </w:p>
        </w:tc>
        <w:tc>
          <w:tcPr>
            <w:tcW w:w="1531" w:type="dxa"/>
          </w:tcPr>
          <w:p w14:paraId="21A3A6F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22,653</w:t>
            </w:r>
          </w:p>
        </w:tc>
        <w:tc>
          <w:tcPr>
            <w:tcW w:w="1516" w:type="dxa"/>
          </w:tcPr>
          <w:p w14:paraId="1E49309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978,216</w:t>
            </w:r>
          </w:p>
        </w:tc>
        <w:tc>
          <w:tcPr>
            <w:tcW w:w="1521" w:type="dxa"/>
          </w:tcPr>
          <w:p w14:paraId="78D9E90B"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22,119</w:t>
            </w:r>
          </w:p>
        </w:tc>
      </w:tr>
      <w:tr w:rsidR="001353C2" w:rsidRPr="001353C2" w14:paraId="592AE997" w14:textId="77777777" w:rsidTr="001353C2">
        <w:trPr>
          <w:trHeight w:val="283"/>
        </w:trPr>
        <w:tc>
          <w:tcPr>
            <w:tcW w:w="3780" w:type="dxa"/>
          </w:tcPr>
          <w:p w14:paraId="35F4230A"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Service cost</w:t>
            </w:r>
          </w:p>
        </w:tc>
        <w:tc>
          <w:tcPr>
            <w:tcW w:w="1502" w:type="dxa"/>
          </w:tcPr>
          <w:p w14:paraId="71F0FC9D"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451805E6"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45A733ED"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21" w:type="dxa"/>
          </w:tcPr>
          <w:p w14:paraId="3A7FF01A"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3633AAA3" w14:textId="77777777" w:rsidTr="001353C2">
        <w:trPr>
          <w:trHeight w:val="283"/>
        </w:trPr>
        <w:tc>
          <w:tcPr>
            <w:tcW w:w="3780" w:type="dxa"/>
          </w:tcPr>
          <w:p w14:paraId="5E501F05"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Current service cost</w:t>
            </w:r>
          </w:p>
        </w:tc>
        <w:tc>
          <w:tcPr>
            <w:tcW w:w="1502" w:type="dxa"/>
          </w:tcPr>
          <w:p w14:paraId="42C2E280"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29,893</w:t>
            </w:r>
          </w:p>
        </w:tc>
        <w:tc>
          <w:tcPr>
            <w:tcW w:w="1531" w:type="dxa"/>
          </w:tcPr>
          <w:p w14:paraId="4978209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444</w:t>
            </w:r>
          </w:p>
        </w:tc>
        <w:tc>
          <w:tcPr>
            <w:tcW w:w="1516" w:type="dxa"/>
          </w:tcPr>
          <w:p w14:paraId="20881841"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24,565</w:t>
            </w:r>
          </w:p>
        </w:tc>
        <w:tc>
          <w:tcPr>
            <w:tcW w:w="1521" w:type="dxa"/>
          </w:tcPr>
          <w:p w14:paraId="20173AB3"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378</w:t>
            </w:r>
          </w:p>
        </w:tc>
      </w:tr>
      <w:tr w:rsidR="001353C2" w:rsidRPr="001353C2" w14:paraId="46B4B26D" w14:textId="77777777" w:rsidTr="001353C2">
        <w:trPr>
          <w:trHeight w:val="283"/>
        </w:trPr>
        <w:tc>
          <w:tcPr>
            <w:tcW w:w="3780" w:type="dxa"/>
          </w:tcPr>
          <w:p w14:paraId="7725FF3C"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Past service cost</w:t>
            </w:r>
          </w:p>
        </w:tc>
        <w:tc>
          <w:tcPr>
            <w:tcW w:w="1502" w:type="dxa"/>
          </w:tcPr>
          <w:p w14:paraId="07BDA0B4"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31" w:type="dxa"/>
          </w:tcPr>
          <w:p w14:paraId="10CACF44"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w:t>
            </w:r>
          </w:p>
        </w:tc>
        <w:tc>
          <w:tcPr>
            <w:tcW w:w="1516" w:type="dxa"/>
          </w:tcPr>
          <w:p w14:paraId="4F7E2E2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15</w:t>
            </w:r>
          </w:p>
        </w:tc>
        <w:tc>
          <w:tcPr>
            <w:tcW w:w="1521" w:type="dxa"/>
          </w:tcPr>
          <w:p w14:paraId="36BE89A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14</w:t>
            </w:r>
          </w:p>
        </w:tc>
      </w:tr>
      <w:tr w:rsidR="001353C2" w:rsidRPr="001353C2" w14:paraId="2A038881" w14:textId="77777777" w:rsidTr="001353C2">
        <w:trPr>
          <w:trHeight w:val="283"/>
        </w:trPr>
        <w:tc>
          <w:tcPr>
            <w:tcW w:w="3780" w:type="dxa"/>
          </w:tcPr>
          <w:p w14:paraId="1D2DCDC0"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Administrative expenses</w:t>
            </w:r>
          </w:p>
        </w:tc>
        <w:tc>
          <w:tcPr>
            <w:tcW w:w="1502" w:type="dxa"/>
          </w:tcPr>
          <w:p w14:paraId="013B038A"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950</w:t>
            </w:r>
          </w:p>
        </w:tc>
        <w:tc>
          <w:tcPr>
            <w:tcW w:w="1531" w:type="dxa"/>
          </w:tcPr>
          <w:p w14:paraId="50036ED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w:t>
            </w:r>
          </w:p>
        </w:tc>
        <w:tc>
          <w:tcPr>
            <w:tcW w:w="1516" w:type="dxa"/>
          </w:tcPr>
          <w:p w14:paraId="2EC11B29"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806</w:t>
            </w:r>
          </w:p>
        </w:tc>
        <w:tc>
          <w:tcPr>
            <w:tcW w:w="1521" w:type="dxa"/>
          </w:tcPr>
          <w:p w14:paraId="413BB109"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w:t>
            </w:r>
          </w:p>
        </w:tc>
      </w:tr>
      <w:tr w:rsidR="001353C2" w:rsidRPr="001353C2" w14:paraId="55E15C47" w14:textId="77777777" w:rsidTr="001353C2">
        <w:trPr>
          <w:trHeight w:val="283"/>
        </w:trPr>
        <w:tc>
          <w:tcPr>
            <w:tcW w:w="3780" w:type="dxa"/>
          </w:tcPr>
          <w:p w14:paraId="6498755B"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Insurance premiums for risk benefits</w:t>
            </w:r>
          </w:p>
        </w:tc>
        <w:tc>
          <w:tcPr>
            <w:tcW w:w="1502" w:type="dxa"/>
          </w:tcPr>
          <w:p w14:paraId="47DB229D"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3,798</w:t>
            </w:r>
          </w:p>
        </w:tc>
        <w:tc>
          <w:tcPr>
            <w:tcW w:w="1531" w:type="dxa"/>
          </w:tcPr>
          <w:p w14:paraId="3CCBB2DB"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51</w:t>
            </w:r>
          </w:p>
        </w:tc>
        <w:tc>
          <w:tcPr>
            <w:tcW w:w="1516" w:type="dxa"/>
          </w:tcPr>
          <w:p w14:paraId="6D9962E2"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3,228</w:t>
            </w:r>
          </w:p>
        </w:tc>
        <w:tc>
          <w:tcPr>
            <w:tcW w:w="1521" w:type="dxa"/>
          </w:tcPr>
          <w:p w14:paraId="30736473"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45</w:t>
            </w:r>
          </w:p>
        </w:tc>
      </w:tr>
      <w:tr w:rsidR="001353C2" w:rsidRPr="001353C2" w14:paraId="674F1D2E" w14:textId="77777777" w:rsidTr="001353C2">
        <w:trPr>
          <w:trHeight w:val="283"/>
        </w:trPr>
        <w:tc>
          <w:tcPr>
            <w:tcW w:w="3780" w:type="dxa"/>
          </w:tcPr>
          <w:p w14:paraId="419DFB17"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Interest cost</w:t>
            </w:r>
          </w:p>
        </w:tc>
        <w:tc>
          <w:tcPr>
            <w:tcW w:w="1502" w:type="dxa"/>
          </w:tcPr>
          <w:p w14:paraId="64B67F63"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50,809</w:t>
            </w:r>
          </w:p>
        </w:tc>
        <w:tc>
          <w:tcPr>
            <w:tcW w:w="1531" w:type="dxa"/>
          </w:tcPr>
          <w:p w14:paraId="4841F79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1,101</w:t>
            </w:r>
          </w:p>
        </w:tc>
        <w:tc>
          <w:tcPr>
            <w:tcW w:w="1516" w:type="dxa"/>
          </w:tcPr>
          <w:p w14:paraId="25C45B03"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47,077</w:t>
            </w:r>
          </w:p>
        </w:tc>
        <w:tc>
          <w:tcPr>
            <w:tcW w:w="1521" w:type="dxa"/>
          </w:tcPr>
          <w:p w14:paraId="78E43EE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1,051</w:t>
            </w:r>
          </w:p>
        </w:tc>
      </w:tr>
      <w:tr w:rsidR="001353C2" w:rsidRPr="001353C2" w14:paraId="21BE03AC" w14:textId="77777777" w:rsidTr="001353C2">
        <w:trPr>
          <w:trHeight w:val="283"/>
        </w:trPr>
        <w:tc>
          <w:tcPr>
            <w:tcW w:w="3780" w:type="dxa"/>
          </w:tcPr>
          <w:p w14:paraId="611F5D21"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Cash flows</w:t>
            </w:r>
          </w:p>
        </w:tc>
        <w:tc>
          <w:tcPr>
            <w:tcW w:w="1502" w:type="dxa"/>
          </w:tcPr>
          <w:p w14:paraId="0B4498A7"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31" w:type="dxa"/>
          </w:tcPr>
          <w:p w14:paraId="61A0F417"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16" w:type="dxa"/>
          </w:tcPr>
          <w:p w14:paraId="76C103BF"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521" w:type="dxa"/>
          </w:tcPr>
          <w:p w14:paraId="65B9BE14"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49390D42" w14:textId="77777777" w:rsidTr="001353C2">
        <w:trPr>
          <w:trHeight w:val="283"/>
        </w:trPr>
        <w:tc>
          <w:tcPr>
            <w:tcW w:w="3780" w:type="dxa"/>
          </w:tcPr>
          <w:p w14:paraId="119FA15F"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Benefits paid</w:t>
            </w:r>
          </w:p>
        </w:tc>
        <w:tc>
          <w:tcPr>
            <w:tcW w:w="1502" w:type="dxa"/>
          </w:tcPr>
          <w:p w14:paraId="33FE82B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(30,992)</w:t>
            </w:r>
          </w:p>
        </w:tc>
        <w:tc>
          <w:tcPr>
            <w:tcW w:w="1531" w:type="dxa"/>
          </w:tcPr>
          <w:p w14:paraId="45E99214"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(1,018)</w:t>
            </w:r>
          </w:p>
        </w:tc>
        <w:tc>
          <w:tcPr>
            <w:tcW w:w="1516" w:type="dxa"/>
          </w:tcPr>
          <w:p w14:paraId="2C95DCD0"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(29,779)</w:t>
            </w:r>
          </w:p>
        </w:tc>
        <w:tc>
          <w:tcPr>
            <w:tcW w:w="1521" w:type="dxa"/>
          </w:tcPr>
          <w:p w14:paraId="0C44DF59"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(997)</w:t>
            </w:r>
          </w:p>
        </w:tc>
      </w:tr>
      <w:tr w:rsidR="001353C2" w:rsidRPr="001353C2" w14:paraId="2AD4F964" w14:textId="77777777" w:rsidTr="001353C2">
        <w:trPr>
          <w:trHeight w:val="283"/>
        </w:trPr>
        <w:tc>
          <w:tcPr>
            <w:tcW w:w="3780" w:type="dxa"/>
          </w:tcPr>
          <w:p w14:paraId="2CBE7219"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Contributions from plan participants</w:t>
            </w:r>
          </w:p>
        </w:tc>
        <w:tc>
          <w:tcPr>
            <w:tcW w:w="1502" w:type="dxa"/>
          </w:tcPr>
          <w:p w14:paraId="212BE9BF"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12,741</w:t>
            </w:r>
          </w:p>
        </w:tc>
        <w:tc>
          <w:tcPr>
            <w:tcW w:w="1531" w:type="dxa"/>
          </w:tcPr>
          <w:p w14:paraId="2CB314DC"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230</w:t>
            </w:r>
          </w:p>
        </w:tc>
        <w:tc>
          <w:tcPr>
            <w:tcW w:w="1516" w:type="dxa"/>
          </w:tcPr>
          <w:p w14:paraId="6D3418E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10,834</w:t>
            </w:r>
          </w:p>
        </w:tc>
        <w:tc>
          <w:tcPr>
            <w:tcW w:w="1521" w:type="dxa"/>
          </w:tcPr>
          <w:p w14:paraId="02AC6616"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202</w:t>
            </w:r>
          </w:p>
        </w:tc>
      </w:tr>
      <w:tr w:rsidR="001353C2" w:rsidRPr="001353C2" w14:paraId="2E13F5DA" w14:textId="77777777" w:rsidTr="001353C2">
        <w:trPr>
          <w:trHeight w:val="283"/>
        </w:trPr>
        <w:tc>
          <w:tcPr>
            <w:tcW w:w="3780" w:type="dxa"/>
          </w:tcPr>
          <w:p w14:paraId="477028ED"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Administrative expenses</w:t>
            </w:r>
          </w:p>
        </w:tc>
        <w:tc>
          <w:tcPr>
            <w:tcW w:w="1502" w:type="dxa"/>
          </w:tcPr>
          <w:p w14:paraId="34DEF466"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(950)</w:t>
            </w:r>
          </w:p>
        </w:tc>
        <w:tc>
          <w:tcPr>
            <w:tcW w:w="1531" w:type="dxa"/>
          </w:tcPr>
          <w:p w14:paraId="6852C0E6"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(13)</w:t>
            </w:r>
          </w:p>
        </w:tc>
        <w:tc>
          <w:tcPr>
            <w:tcW w:w="1516" w:type="dxa"/>
          </w:tcPr>
          <w:p w14:paraId="49BF1B36"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(806)</w:t>
            </w:r>
          </w:p>
        </w:tc>
        <w:tc>
          <w:tcPr>
            <w:tcW w:w="1521" w:type="dxa"/>
          </w:tcPr>
          <w:p w14:paraId="4383B06C"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w:t>
            </w:r>
          </w:p>
        </w:tc>
      </w:tr>
      <w:tr w:rsidR="001353C2" w:rsidRPr="001353C2" w14:paraId="32D1CE39" w14:textId="77777777" w:rsidTr="001353C2">
        <w:trPr>
          <w:trHeight w:val="283"/>
        </w:trPr>
        <w:tc>
          <w:tcPr>
            <w:tcW w:w="3780" w:type="dxa"/>
          </w:tcPr>
          <w:p w14:paraId="4ECB8522"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Insurance premiums for risk benefits</w:t>
            </w:r>
          </w:p>
        </w:tc>
        <w:tc>
          <w:tcPr>
            <w:tcW w:w="1502" w:type="dxa"/>
          </w:tcPr>
          <w:p w14:paraId="70BF5A7E"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(3,798)</w:t>
            </w:r>
          </w:p>
        </w:tc>
        <w:tc>
          <w:tcPr>
            <w:tcW w:w="1531" w:type="dxa"/>
          </w:tcPr>
          <w:p w14:paraId="77FF7840"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(51)</w:t>
            </w:r>
          </w:p>
        </w:tc>
        <w:tc>
          <w:tcPr>
            <w:tcW w:w="1516" w:type="dxa"/>
          </w:tcPr>
          <w:p w14:paraId="1EB51F6C"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(3,228)</w:t>
            </w:r>
          </w:p>
        </w:tc>
        <w:tc>
          <w:tcPr>
            <w:tcW w:w="1521" w:type="dxa"/>
          </w:tcPr>
          <w:p w14:paraId="25832291"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(45)</w:t>
            </w:r>
          </w:p>
        </w:tc>
      </w:tr>
      <w:tr w:rsidR="001353C2" w:rsidRPr="001353C2" w14:paraId="16C31091" w14:textId="77777777" w:rsidTr="001353C2">
        <w:trPr>
          <w:trHeight w:val="283"/>
        </w:trPr>
        <w:tc>
          <w:tcPr>
            <w:tcW w:w="3780" w:type="dxa"/>
          </w:tcPr>
          <w:p w14:paraId="35E1275E"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Actuarial gains and losses</w:t>
            </w:r>
          </w:p>
        </w:tc>
        <w:tc>
          <w:tcPr>
            <w:tcW w:w="1502" w:type="dxa"/>
          </w:tcPr>
          <w:p w14:paraId="19AFFFA4"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(167,910)</w:t>
            </w:r>
          </w:p>
        </w:tc>
        <w:tc>
          <w:tcPr>
            <w:tcW w:w="1531" w:type="dxa"/>
          </w:tcPr>
          <w:p w14:paraId="0FEEFCCA"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(2,723)</w:t>
            </w:r>
          </w:p>
        </w:tc>
        <w:tc>
          <w:tcPr>
            <w:tcW w:w="1516" w:type="dxa"/>
          </w:tcPr>
          <w:p w14:paraId="5E648C6D"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(1,275)</w:t>
            </w:r>
          </w:p>
        </w:tc>
        <w:tc>
          <w:tcPr>
            <w:tcW w:w="1521" w:type="dxa"/>
          </w:tcPr>
          <w:p w14:paraId="526C1088"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(114)</w:t>
            </w:r>
          </w:p>
        </w:tc>
      </w:tr>
      <w:tr w:rsidR="001353C2" w:rsidRPr="001353C2" w14:paraId="0C7E9C71" w14:textId="77777777" w:rsidTr="001353C2">
        <w:trPr>
          <w:trHeight w:val="283"/>
        </w:trPr>
        <w:tc>
          <w:tcPr>
            <w:tcW w:w="3780" w:type="dxa"/>
          </w:tcPr>
          <w:p w14:paraId="545F5860" w14:textId="77777777" w:rsidR="001353C2" w:rsidRPr="001353C2" w:rsidRDefault="001353C2" w:rsidP="001353C2">
            <w:pPr>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At end of period</w:t>
            </w:r>
          </w:p>
        </w:tc>
        <w:tc>
          <w:tcPr>
            <w:tcW w:w="1502" w:type="dxa"/>
          </w:tcPr>
          <w:p w14:paraId="68CE4293"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924,194</w:t>
            </w:r>
          </w:p>
        </w:tc>
        <w:tc>
          <w:tcPr>
            <w:tcW w:w="1531" w:type="dxa"/>
          </w:tcPr>
          <w:p w14:paraId="4BDCEA3A"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20,687</w:t>
            </w:r>
          </w:p>
        </w:tc>
        <w:tc>
          <w:tcPr>
            <w:tcW w:w="1516" w:type="dxa"/>
          </w:tcPr>
          <w:p w14:paraId="75129154"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1,029,653</w:t>
            </w:r>
          </w:p>
        </w:tc>
        <w:tc>
          <w:tcPr>
            <w:tcW w:w="1521" w:type="dxa"/>
          </w:tcPr>
          <w:p w14:paraId="645E30AF" w14:textId="77777777" w:rsidR="001353C2" w:rsidRPr="001353C2" w:rsidRDefault="001353C2" w:rsidP="001353C2">
            <w:pPr>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Pr>
              <w:t>22,653</w:t>
            </w:r>
          </w:p>
        </w:tc>
      </w:tr>
    </w:tbl>
    <w:p w14:paraId="578FC84F" w14:textId="77777777" w:rsidR="001353C2" w:rsidRDefault="001353C2" w:rsidP="001353C2">
      <w:pPr>
        <w:rPr>
          <w:rFonts w:cs="Arial"/>
          <w:i/>
          <w:iCs/>
          <w:color w:val="000000" w:themeColor="text1"/>
        </w:rPr>
      </w:pPr>
    </w:p>
    <w:p w14:paraId="70F42947" w14:textId="77777777" w:rsidR="001353C2" w:rsidRDefault="001353C2">
      <w:pPr>
        <w:spacing w:line="240" w:lineRule="auto"/>
        <w:rPr>
          <w:rFonts w:cs="Arial"/>
          <w:i/>
          <w:iCs/>
          <w:color w:val="000000" w:themeColor="text1"/>
        </w:rPr>
      </w:pPr>
      <w:r>
        <w:rPr>
          <w:rFonts w:cs="Arial"/>
          <w:i/>
          <w:iCs/>
          <w:color w:val="000000" w:themeColor="text1"/>
        </w:rPr>
        <w:br w:type="page"/>
      </w:r>
    </w:p>
    <w:p w14:paraId="7369584E" w14:textId="39BBB3F9" w:rsidR="001353C2" w:rsidRDefault="001353C2" w:rsidP="001353C2">
      <w:pPr>
        <w:rPr>
          <w:i/>
          <w:iCs/>
          <w:color w:val="000000" w:themeColor="text1"/>
        </w:rPr>
      </w:pPr>
      <w:proofErr w:type="spellStart"/>
      <w:r w:rsidRPr="001353C2">
        <w:rPr>
          <w:i/>
          <w:iCs/>
          <w:color w:val="000000" w:themeColor="text1"/>
        </w:rPr>
        <w:lastRenderedPageBreak/>
        <w:t>Ulsterbus</w:t>
      </w:r>
      <w:proofErr w:type="spellEnd"/>
      <w:r w:rsidRPr="001353C2">
        <w:rPr>
          <w:i/>
          <w:iCs/>
          <w:color w:val="000000" w:themeColor="text1"/>
        </w:rPr>
        <w:t>/Citybus Scheme</w:t>
      </w:r>
    </w:p>
    <w:tbl>
      <w:tblPr>
        <w:tblStyle w:val="TableGrid"/>
        <w:tblW w:w="0" w:type="auto"/>
        <w:tblLayout w:type="fixed"/>
        <w:tblLook w:val="0000" w:firstRow="0" w:lastRow="0" w:firstColumn="0" w:lastColumn="0" w:noHBand="0" w:noVBand="0"/>
      </w:tblPr>
      <w:tblGrid>
        <w:gridCol w:w="4815"/>
        <w:gridCol w:w="2126"/>
        <w:gridCol w:w="1985"/>
      </w:tblGrid>
      <w:tr w:rsidR="001353C2" w:rsidRPr="001353C2" w14:paraId="64C1D481" w14:textId="77777777" w:rsidTr="001353C2">
        <w:trPr>
          <w:trHeight w:val="283"/>
        </w:trPr>
        <w:tc>
          <w:tcPr>
            <w:tcW w:w="4815" w:type="dxa"/>
          </w:tcPr>
          <w:p w14:paraId="0C2B71D1"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2126" w:type="dxa"/>
          </w:tcPr>
          <w:p w14:paraId="79BA1266"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Group &amp; Company</w:t>
            </w:r>
          </w:p>
          <w:p w14:paraId="7260CB16"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2025</w:t>
            </w:r>
          </w:p>
          <w:p w14:paraId="065C0AC0"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c>
          <w:tcPr>
            <w:tcW w:w="1985" w:type="dxa"/>
          </w:tcPr>
          <w:p w14:paraId="14150FB1"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Group &amp; Company</w:t>
            </w:r>
          </w:p>
          <w:p w14:paraId="0707A5AA"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1353C2">
              <w:rPr>
                <w:rFonts w:cs="Arial"/>
                <w:b/>
                <w:bCs/>
                <w:color w:val="000000" w:themeColor="text1"/>
                <w:sz w:val="20"/>
                <w:szCs w:val="20"/>
              </w:rPr>
              <w:t>2024</w:t>
            </w:r>
          </w:p>
          <w:p w14:paraId="4B6B0C40"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b/>
                <w:bCs/>
                <w:color w:val="000000" w:themeColor="text1"/>
                <w:sz w:val="20"/>
                <w:szCs w:val="20"/>
                <w:rtl/>
                <w:lang w:bidi="ar-YE"/>
              </w:rPr>
              <w:t>£’000</w:t>
            </w:r>
          </w:p>
        </w:tc>
      </w:tr>
      <w:tr w:rsidR="001353C2" w:rsidRPr="001353C2" w14:paraId="42A44902" w14:textId="77777777" w:rsidTr="001353C2">
        <w:trPr>
          <w:trHeight w:val="283"/>
        </w:trPr>
        <w:tc>
          <w:tcPr>
            <w:tcW w:w="4815" w:type="dxa"/>
          </w:tcPr>
          <w:p w14:paraId="7B025039"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At beginning of period</w:t>
            </w:r>
          </w:p>
        </w:tc>
        <w:tc>
          <w:tcPr>
            <w:tcW w:w="2126" w:type="dxa"/>
          </w:tcPr>
          <w:p w14:paraId="22CC821C" w14:textId="77777777" w:rsidR="001353C2" w:rsidRPr="001353C2" w:rsidRDefault="001353C2" w:rsidP="001353C2">
            <w:pPr>
              <w:tabs>
                <w:tab w:val="left" w:pos="198"/>
              </w:tabs>
              <w:autoSpaceDE w:val="0"/>
              <w:autoSpaceDN w:val="0"/>
              <w:adjustRightInd w:val="0"/>
              <w:spacing w:line="240" w:lineRule="auto"/>
              <w:ind w:left="286"/>
              <w:jc w:val="right"/>
              <w:textAlignment w:val="center"/>
              <w:rPr>
                <w:rFonts w:cs="Arial"/>
                <w:color w:val="000000" w:themeColor="text1"/>
                <w:sz w:val="20"/>
                <w:szCs w:val="20"/>
              </w:rPr>
            </w:pPr>
            <w:r w:rsidRPr="001353C2">
              <w:rPr>
                <w:rFonts w:cs="Arial"/>
                <w:color w:val="000000" w:themeColor="text1"/>
                <w:sz w:val="20"/>
                <w:szCs w:val="20"/>
              </w:rPr>
              <w:t>396</w:t>
            </w:r>
          </w:p>
        </w:tc>
        <w:tc>
          <w:tcPr>
            <w:tcW w:w="1985" w:type="dxa"/>
          </w:tcPr>
          <w:p w14:paraId="1AA83920" w14:textId="77777777" w:rsidR="001353C2" w:rsidRPr="001353C2" w:rsidRDefault="001353C2" w:rsidP="001353C2">
            <w:pPr>
              <w:tabs>
                <w:tab w:val="left" w:pos="198"/>
              </w:tabs>
              <w:autoSpaceDE w:val="0"/>
              <w:autoSpaceDN w:val="0"/>
              <w:adjustRightInd w:val="0"/>
              <w:spacing w:line="240" w:lineRule="auto"/>
              <w:ind w:left="286"/>
              <w:jc w:val="right"/>
              <w:textAlignment w:val="center"/>
              <w:rPr>
                <w:rFonts w:cs="Arial"/>
                <w:color w:val="000000" w:themeColor="text1"/>
                <w:sz w:val="20"/>
                <w:szCs w:val="20"/>
              </w:rPr>
            </w:pPr>
            <w:r w:rsidRPr="001353C2">
              <w:rPr>
                <w:rFonts w:cs="Arial"/>
                <w:color w:val="000000" w:themeColor="text1"/>
                <w:sz w:val="20"/>
                <w:szCs w:val="20"/>
              </w:rPr>
              <w:t>466</w:t>
            </w:r>
          </w:p>
        </w:tc>
      </w:tr>
      <w:tr w:rsidR="001353C2" w:rsidRPr="001353C2" w14:paraId="52E405F3" w14:textId="77777777" w:rsidTr="001353C2">
        <w:trPr>
          <w:trHeight w:val="283"/>
        </w:trPr>
        <w:tc>
          <w:tcPr>
            <w:tcW w:w="4815" w:type="dxa"/>
          </w:tcPr>
          <w:p w14:paraId="33919709"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Interest cost</w:t>
            </w:r>
          </w:p>
        </w:tc>
        <w:tc>
          <w:tcPr>
            <w:tcW w:w="2126" w:type="dxa"/>
          </w:tcPr>
          <w:p w14:paraId="735C0EC8"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18</w:t>
            </w:r>
          </w:p>
        </w:tc>
        <w:tc>
          <w:tcPr>
            <w:tcW w:w="1985" w:type="dxa"/>
          </w:tcPr>
          <w:p w14:paraId="2DAFF8AE"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w:t>
            </w:r>
          </w:p>
        </w:tc>
      </w:tr>
      <w:tr w:rsidR="001353C2" w:rsidRPr="001353C2" w14:paraId="3A2EC1BD" w14:textId="77777777" w:rsidTr="001353C2">
        <w:trPr>
          <w:trHeight w:val="283"/>
        </w:trPr>
        <w:tc>
          <w:tcPr>
            <w:tcW w:w="4815" w:type="dxa"/>
          </w:tcPr>
          <w:p w14:paraId="10C513D9"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Cash flows</w:t>
            </w:r>
          </w:p>
        </w:tc>
        <w:tc>
          <w:tcPr>
            <w:tcW w:w="2126" w:type="dxa"/>
          </w:tcPr>
          <w:p w14:paraId="739713C4"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c>
          <w:tcPr>
            <w:tcW w:w="1985" w:type="dxa"/>
          </w:tcPr>
          <w:p w14:paraId="05DE3F4B" w14:textId="77777777" w:rsidR="001353C2" w:rsidRPr="001353C2" w:rsidRDefault="001353C2" w:rsidP="001353C2">
            <w:pPr>
              <w:autoSpaceDE w:val="0"/>
              <w:autoSpaceDN w:val="0"/>
              <w:adjustRightInd w:val="0"/>
              <w:spacing w:line="240" w:lineRule="auto"/>
              <w:rPr>
                <w:rFonts w:cs="Arial"/>
                <w:color w:val="000000" w:themeColor="text1"/>
                <w:sz w:val="20"/>
                <w:szCs w:val="20"/>
              </w:rPr>
            </w:pPr>
          </w:p>
        </w:tc>
      </w:tr>
      <w:tr w:rsidR="001353C2" w:rsidRPr="001353C2" w14:paraId="6C94AF2C" w14:textId="77777777" w:rsidTr="001353C2">
        <w:trPr>
          <w:trHeight w:val="283"/>
        </w:trPr>
        <w:tc>
          <w:tcPr>
            <w:tcW w:w="4815" w:type="dxa"/>
          </w:tcPr>
          <w:p w14:paraId="2ECB50EB"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color w:val="000000" w:themeColor="text1"/>
                <w:sz w:val="20"/>
                <w:szCs w:val="20"/>
              </w:rPr>
              <w:t>Benefits paid</w:t>
            </w:r>
          </w:p>
        </w:tc>
        <w:tc>
          <w:tcPr>
            <w:tcW w:w="2126" w:type="dxa"/>
          </w:tcPr>
          <w:p w14:paraId="48EC185E"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(54)</w:t>
            </w:r>
          </w:p>
        </w:tc>
        <w:tc>
          <w:tcPr>
            <w:tcW w:w="1985" w:type="dxa"/>
          </w:tcPr>
          <w:p w14:paraId="246FB58D"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(60)</w:t>
            </w:r>
          </w:p>
        </w:tc>
      </w:tr>
      <w:tr w:rsidR="001353C2" w:rsidRPr="001353C2" w14:paraId="335B944B" w14:textId="77777777" w:rsidTr="001353C2">
        <w:trPr>
          <w:trHeight w:val="283"/>
        </w:trPr>
        <w:tc>
          <w:tcPr>
            <w:tcW w:w="4815" w:type="dxa"/>
          </w:tcPr>
          <w:p w14:paraId="1F1119BB"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Actuarial gains and losses</w:t>
            </w:r>
          </w:p>
        </w:tc>
        <w:tc>
          <w:tcPr>
            <w:tcW w:w="2126" w:type="dxa"/>
          </w:tcPr>
          <w:p w14:paraId="6E14E03D"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(20)</w:t>
            </w:r>
          </w:p>
        </w:tc>
        <w:tc>
          <w:tcPr>
            <w:tcW w:w="1985" w:type="dxa"/>
          </w:tcPr>
          <w:p w14:paraId="31EB850A" w14:textId="77777777" w:rsidR="001353C2" w:rsidRPr="001353C2" w:rsidRDefault="001353C2" w:rsidP="001353C2">
            <w:pPr>
              <w:tabs>
                <w:tab w:val="left" w:pos="198"/>
              </w:tabs>
              <w:autoSpaceDE w:val="0"/>
              <w:autoSpaceDN w:val="0"/>
              <w:adjustRightInd w:val="0"/>
              <w:spacing w:line="240" w:lineRule="auto"/>
              <w:jc w:val="right"/>
              <w:textAlignment w:val="center"/>
              <w:rPr>
                <w:rFonts w:cs="Arial"/>
                <w:color w:val="000000" w:themeColor="text1"/>
                <w:sz w:val="20"/>
                <w:szCs w:val="20"/>
              </w:rPr>
            </w:pPr>
            <w:r w:rsidRPr="001353C2">
              <w:rPr>
                <w:rFonts w:cs="Arial"/>
                <w:color w:val="000000" w:themeColor="text1"/>
                <w:sz w:val="20"/>
                <w:szCs w:val="20"/>
              </w:rPr>
              <w:t>(30)</w:t>
            </w:r>
          </w:p>
        </w:tc>
      </w:tr>
      <w:tr w:rsidR="001353C2" w:rsidRPr="001353C2" w14:paraId="29682543" w14:textId="77777777" w:rsidTr="001353C2">
        <w:trPr>
          <w:trHeight w:val="283"/>
        </w:trPr>
        <w:tc>
          <w:tcPr>
            <w:tcW w:w="4815" w:type="dxa"/>
          </w:tcPr>
          <w:p w14:paraId="5B54DBE8" w14:textId="77777777" w:rsidR="001353C2" w:rsidRPr="001353C2" w:rsidRDefault="001353C2" w:rsidP="001353C2">
            <w:pPr>
              <w:tabs>
                <w:tab w:val="left" w:pos="198"/>
              </w:tabs>
              <w:autoSpaceDE w:val="0"/>
              <w:autoSpaceDN w:val="0"/>
              <w:adjustRightInd w:val="0"/>
              <w:spacing w:line="240" w:lineRule="auto"/>
              <w:textAlignment w:val="center"/>
              <w:rPr>
                <w:rFonts w:cs="Arial"/>
                <w:color w:val="000000" w:themeColor="text1"/>
                <w:sz w:val="20"/>
                <w:szCs w:val="20"/>
              </w:rPr>
            </w:pPr>
            <w:r w:rsidRPr="001353C2">
              <w:rPr>
                <w:rFonts w:cs="Arial"/>
                <w:b/>
                <w:bCs/>
                <w:color w:val="000000" w:themeColor="text1"/>
                <w:sz w:val="20"/>
                <w:szCs w:val="20"/>
              </w:rPr>
              <w:t>At end of period</w:t>
            </w:r>
          </w:p>
        </w:tc>
        <w:tc>
          <w:tcPr>
            <w:tcW w:w="2126" w:type="dxa"/>
          </w:tcPr>
          <w:p w14:paraId="61854B3D" w14:textId="77777777" w:rsidR="001353C2" w:rsidRPr="001353C2" w:rsidRDefault="001353C2" w:rsidP="001353C2">
            <w:pPr>
              <w:tabs>
                <w:tab w:val="left" w:pos="198"/>
              </w:tabs>
              <w:autoSpaceDE w:val="0"/>
              <w:autoSpaceDN w:val="0"/>
              <w:adjustRightInd w:val="0"/>
              <w:spacing w:line="240" w:lineRule="auto"/>
              <w:ind w:left="286"/>
              <w:jc w:val="right"/>
              <w:textAlignment w:val="center"/>
              <w:rPr>
                <w:rFonts w:cs="Arial"/>
                <w:color w:val="000000" w:themeColor="text1"/>
                <w:sz w:val="20"/>
                <w:szCs w:val="20"/>
              </w:rPr>
            </w:pPr>
            <w:r w:rsidRPr="001353C2">
              <w:rPr>
                <w:rFonts w:cs="Arial"/>
                <w:b/>
                <w:bCs/>
                <w:color w:val="000000" w:themeColor="text1"/>
                <w:sz w:val="20"/>
                <w:szCs w:val="20"/>
              </w:rPr>
              <w:t>340</w:t>
            </w:r>
          </w:p>
        </w:tc>
        <w:tc>
          <w:tcPr>
            <w:tcW w:w="1985" w:type="dxa"/>
          </w:tcPr>
          <w:p w14:paraId="51A45BF2" w14:textId="77777777" w:rsidR="001353C2" w:rsidRPr="001353C2" w:rsidRDefault="001353C2" w:rsidP="001353C2">
            <w:pPr>
              <w:tabs>
                <w:tab w:val="left" w:pos="198"/>
              </w:tabs>
              <w:autoSpaceDE w:val="0"/>
              <w:autoSpaceDN w:val="0"/>
              <w:adjustRightInd w:val="0"/>
              <w:spacing w:line="240" w:lineRule="auto"/>
              <w:ind w:left="286"/>
              <w:jc w:val="right"/>
              <w:textAlignment w:val="center"/>
              <w:rPr>
                <w:rFonts w:cs="Arial"/>
                <w:color w:val="000000" w:themeColor="text1"/>
                <w:sz w:val="20"/>
                <w:szCs w:val="20"/>
              </w:rPr>
            </w:pPr>
            <w:r w:rsidRPr="001353C2">
              <w:rPr>
                <w:rFonts w:cs="Arial"/>
                <w:b/>
                <w:bCs/>
                <w:color w:val="000000" w:themeColor="text1"/>
                <w:sz w:val="20"/>
                <w:szCs w:val="20"/>
              </w:rPr>
              <w:t>396</w:t>
            </w:r>
          </w:p>
        </w:tc>
      </w:tr>
    </w:tbl>
    <w:p w14:paraId="518205D6" w14:textId="77777777" w:rsidR="001353C2" w:rsidRDefault="001353C2" w:rsidP="001353C2">
      <w:pPr>
        <w:rPr>
          <w:i/>
          <w:iCs/>
          <w:color w:val="000000" w:themeColor="text1"/>
        </w:rPr>
      </w:pPr>
    </w:p>
    <w:p w14:paraId="7854A363" w14:textId="77777777" w:rsidR="00A22B20" w:rsidRDefault="00A22B20" w:rsidP="00A22B20">
      <w:pPr>
        <w:rPr>
          <w:i/>
          <w:iCs/>
        </w:rPr>
      </w:pPr>
      <w:r w:rsidRPr="00A22B20">
        <w:rPr>
          <w:i/>
          <w:iCs/>
        </w:rPr>
        <w:t>Executive Scheme</w:t>
      </w:r>
    </w:p>
    <w:tbl>
      <w:tblPr>
        <w:tblStyle w:val="TableGrid"/>
        <w:tblW w:w="0" w:type="auto"/>
        <w:tblLayout w:type="fixed"/>
        <w:tblLook w:val="0000" w:firstRow="0" w:lastRow="0" w:firstColumn="0" w:lastColumn="0" w:noHBand="0" w:noVBand="0"/>
      </w:tblPr>
      <w:tblGrid>
        <w:gridCol w:w="6826"/>
        <w:gridCol w:w="1516"/>
        <w:gridCol w:w="1521"/>
      </w:tblGrid>
      <w:tr w:rsidR="00A22B20" w:rsidRPr="00A22B20" w14:paraId="044C54A1" w14:textId="77777777" w:rsidTr="00A22B20">
        <w:trPr>
          <w:trHeight w:val="283"/>
        </w:trPr>
        <w:tc>
          <w:tcPr>
            <w:tcW w:w="6826" w:type="dxa"/>
          </w:tcPr>
          <w:p w14:paraId="0D918D5B"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16" w:type="dxa"/>
          </w:tcPr>
          <w:p w14:paraId="23E886EB"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Group &amp; Company</w:t>
            </w:r>
          </w:p>
          <w:p w14:paraId="2A8CBB51"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73FAD303"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c>
          <w:tcPr>
            <w:tcW w:w="1521" w:type="dxa"/>
          </w:tcPr>
          <w:p w14:paraId="787E09F4"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Group &amp; Company</w:t>
            </w:r>
          </w:p>
          <w:p w14:paraId="1650DD3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3742448B"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r>
      <w:tr w:rsidR="00A22B20" w:rsidRPr="00A22B20" w14:paraId="27073C62" w14:textId="77777777" w:rsidTr="00A22B20">
        <w:trPr>
          <w:trHeight w:val="283"/>
        </w:trPr>
        <w:tc>
          <w:tcPr>
            <w:tcW w:w="6826" w:type="dxa"/>
          </w:tcPr>
          <w:p w14:paraId="7F574694"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At beginning of period</w:t>
            </w:r>
          </w:p>
        </w:tc>
        <w:tc>
          <w:tcPr>
            <w:tcW w:w="1516" w:type="dxa"/>
          </w:tcPr>
          <w:p w14:paraId="523B8E68"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1,710</w:t>
            </w:r>
          </w:p>
        </w:tc>
        <w:tc>
          <w:tcPr>
            <w:tcW w:w="1521" w:type="dxa"/>
          </w:tcPr>
          <w:p w14:paraId="51D3022C"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1,582</w:t>
            </w:r>
          </w:p>
        </w:tc>
      </w:tr>
      <w:tr w:rsidR="00A22B20" w:rsidRPr="00A22B20" w14:paraId="448AE782" w14:textId="77777777" w:rsidTr="00A22B20">
        <w:trPr>
          <w:trHeight w:val="283"/>
        </w:trPr>
        <w:tc>
          <w:tcPr>
            <w:tcW w:w="6826" w:type="dxa"/>
          </w:tcPr>
          <w:p w14:paraId="5BA452BE"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Service cost</w:t>
            </w:r>
          </w:p>
        </w:tc>
        <w:tc>
          <w:tcPr>
            <w:tcW w:w="1516" w:type="dxa"/>
          </w:tcPr>
          <w:p w14:paraId="4A072661"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21" w:type="dxa"/>
          </w:tcPr>
          <w:p w14:paraId="0F582B89"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r>
      <w:tr w:rsidR="00A22B20" w:rsidRPr="00A22B20" w14:paraId="5814BD84" w14:textId="77777777" w:rsidTr="00A22B20">
        <w:trPr>
          <w:trHeight w:val="283"/>
        </w:trPr>
        <w:tc>
          <w:tcPr>
            <w:tcW w:w="6826" w:type="dxa"/>
          </w:tcPr>
          <w:p w14:paraId="1FE03DAC"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Current service cost</w:t>
            </w:r>
          </w:p>
        </w:tc>
        <w:tc>
          <w:tcPr>
            <w:tcW w:w="1516" w:type="dxa"/>
          </w:tcPr>
          <w:p w14:paraId="78AAA1FC"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1521" w:type="dxa"/>
          </w:tcPr>
          <w:p w14:paraId="45152AB8"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r>
      <w:tr w:rsidR="00A22B20" w:rsidRPr="00A22B20" w14:paraId="1145E7A2" w14:textId="77777777" w:rsidTr="00A22B20">
        <w:trPr>
          <w:trHeight w:val="283"/>
        </w:trPr>
        <w:tc>
          <w:tcPr>
            <w:tcW w:w="6826" w:type="dxa"/>
          </w:tcPr>
          <w:p w14:paraId="2EB767A4"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Interest cost</w:t>
            </w:r>
          </w:p>
        </w:tc>
        <w:tc>
          <w:tcPr>
            <w:tcW w:w="1516" w:type="dxa"/>
          </w:tcPr>
          <w:p w14:paraId="4D0FCDA1"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80</w:t>
            </w:r>
          </w:p>
        </w:tc>
        <w:tc>
          <w:tcPr>
            <w:tcW w:w="1521" w:type="dxa"/>
          </w:tcPr>
          <w:p w14:paraId="7250652A"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73</w:t>
            </w:r>
          </w:p>
        </w:tc>
      </w:tr>
      <w:tr w:rsidR="00A22B20" w:rsidRPr="00A22B20" w14:paraId="0D6D54BC" w14:textId="77777777" w:rsidTr="00A22B20">
        <w:trPr>
          <w:trHeight w:val="283"/>
        </w:trPr>
        <w:tc>
          <w:tcPr>
            <w:tcW w:w="6826" w:type="dxa"/>
          </w:tcPr>
          <w:p w14:paraId="41D3F091"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Cash flows</w:t>
            </w:r>
          </w:p>
        </w:tc>
        <w:tc>
          <w:tcPr>
            <w:tcW w:w="1516" w:type="dxa"/>
          </w:tcPr>
          <w:p w14:paraId="7AC0C5C9"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21" w:type="dxa"/>
          </w:tcPr>
          <w:p w14:paraId="5070AB6D"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r>
      <w:tr w:rsidR="00A22B20" w:rsidRPr="00A22B20" w14:paraId="43E71322" w14:textId="77777777" w:rsidTr="00A22B20">
        <w:trPr>
          <w:trHeight w:val="283"/>
        </w:trPr>
        <w:tc>
          <w:tcPr>
            <w:tcW w:w="6826" w:type="dxa"/>
          </w:tcPr>
          <w:p w14:paraId="3658657F"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Benefits paid</w:t>
            </w:r>
          </w:p>
        </w:tc>
        <w:tc>
          <w:tcPr>
            <w:tcW w:w="1516" w:type="dxa"/>
          </w:tcPr>
          <w:p w14:paraId="783A91A0"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(132)</w:t>
            </w:r>
          </w:p>
        </w:tc>
        <w:tc>
          <w:tcPr>
            <w:tcW w:w="1521" w:type="dxa"/>
          </w:tcPr>
          <w:p w14:paraId="79F194D1"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(120)</w:t>
            </w:r>
          </w:p>
        </w:tc>
      </w:tr>
      <w:tr w:rsidR="00A22B20" w:rsidRPr="00A22B20" w14:paraId="70AF5014" w14:textId="77777777" w:rsidTr="00A22B20">
        <w:trPr>
          <w:trHeight w:val="283"/>
        </w:trPr>
        <w:tc>
          <w:tcPr>
            <w:tcW w:w="6826" w:type="dxa"/>
          </w:tcPr>
          <w:p w14:paraId="12D5C6E9"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Actuarial gains and losses</w:t>
            </w:r>
          </w:p>
        </w:tc>
        <w:tc>
          <w:tcPr>
            <w:tcW w:w="1516" w:type="dxa"/>
          </w:tcPr>
          <w:p w14:paraId="2E3C9E08"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193</w:t>
            </w:r>
          </w:p>
        </w:tc>
        <w:tc>
          <w:tcPr>
            <w:tcW w:w="1521" w:type="dxa"/>
          </w:tcPr>
          <w:p w14:paraId="66875406"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175</w:t>
            </w:r>
          </w:p>
        </w:tc>
      </w:tr>
      <w:tr w:rsidR="00A22B20" w:rsidRPr="00A22B20" w14:paraId="3856B614" w14:textId="77777777" w:rsidTr="00A22B20">
        <w:trPr>
          <w:trHeight w:val="283"/>
        </w:trPr>
        <w:tc>
          <w:tcPr>
            <w:tcW w:w="6826" w:type="dxa"/>
          </w:tcPr>
          <w:p w14:paraId="10A010AC" w14:textId="77777777" w:rsidR="00A22B20" w:rsidRPr="00A22B20" w:rsidRDefault="00A22B20" w:rsidP="00A22B20">
            <w:pPr>
              <w:suppressAutoHyphens/>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At end of period</w:t>
            </w:r>
          </w:p>
        </w:tc>
        <w:tc>
          <w:tcPr>
            <w:tcW w:w="1516" w:type="dxa"/>
          </w:tcPr>
          <w:p w14:paraId="67AC3E45"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1,465</w:t>
            </w:r>
          </w:p>
        </w:tc>
        <w:tc>
          <w:tcPr>
            <w:tcW w:w="1521" w:type="dxa"/>
          </w:tcPr>
          <w:p w14:paraId="55DDC836" w14:textId="77777777" w:rsidR="00A22B20" w:rsidRPr="00A22B20" w:rsidRDefault="00A22B20" w:rsidP="00A22B20">
            <w:pPr>
              <w:tabs>
                <w:tab w:val="left" w:pos="198"/>
              </w:tabs>
              <w:suppressAutoHyphen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1,710</w:t>
            </w:r>
          </w:p>
        </w:tc>
      </w:tr>
    </w:tbl>
    <w:p w14:paraId="7F40AFEF" w14:textId="77777777" w:rsidR="00A22B20" w:rsidRPr="00A22B20" w:rsidRDefault="00A22B20" w:rsidP="00A22B20">
      <w:pPr>
        <w:rPr>
          <w:i/>
          <w:iCs/>
        </w:rPr>
      </w:pPr>
    </w:p>
    <w:p w14:paraId="698455BB" w14:textId="77777777" w:rsidR="00A22B20" w:rsidRPr="00A22B20" w:rsidRDefault="00A22B20" w:rsidP="007430D9">
      <w:pPr>
        <w:pStyle w:val="Heading3"/>
      </w:pPr>
      <w:bookmarkStart w:id="304" w:name="_Toc213058736"/>
      <w:r w:rsidRPr="00A22B20">
        <w:t>v. Movements in Fair Value and Analysis of Scheme Assets</w:t>
      </w:r>
      <w:bookmarkEnd w:id="304"/>
    </w:p>
    <w:p w14:paraId="14D9D382" w14:textId="77777777" w:rsidR="00A22B20" w:rsidRPr="00A22B20" w:rsidRDefault="00A22B20" w:rsidP="00A22B20">
      <w:pPr>
        <w:rPr>
          <w:rFonts w:cs="Arial"/>
          <w:color w:val="000000"/>
        </w:rPr>
      </w:pPr>
      <w:r w:rsidRPr="00A22B20">
        <w:rPr>
          <w:rFonts w:cs="Arial"/>
          <w:color w:val="000000"/>
        </w:rPr>
        <w:t>Movements in the fair value of scheme assets were as follows:</w:t>
      </w:r>
    </w:p>
    <w:p w14:paraId="0393DD46" w14:textId="77777777" w:rsidR="00A22B20" w:rsidRPr="00A22B20" w:rsidRDefault="00A22B20" w:rsidP="00A22B20">
      <w:pPr>
        <w:rPr>
          <w:rFonts w:cs="Arial"/>
          <w:color w:val="000000"/>
        </w:rPr>
      </w:pPr>
    </w:p>
    <w:p w14:paraId="5A9C7F00" w14:textId="77777777" w:rsidR="00A22B20" w:rsidRDefault="00A22B20" w:rsidP="00A22B20">
      <w:pPr>
        <w:rPr>
          <w:rFonts w:cs="Arial"/>
          <w:i/>
          <w:iCs/>
        </w:rPr>
      </w:pPr>
      <w:r w:rsidRPr="00A22B20">
        <w:rPr>
          <w:rFonts w:cs="Arial"/>
          <w:i/>
          <w:iCs/>
        </w:rPr>
        <w:t>NILGOS Scheme</w:t>
      </w:r>
    </w:p>
    <w:tbl>
      <w:tblPr>
        <w:tblStyle w:val="TableGrid"/>
        <w:tblW w:w="0" w:type="auto"/>
        <w:tblLayout w:type="fixed"/>
        <w:tblLook w:val="0000" w:firstRow="0" w:lastRow="0" w:firstColumn="0" w:lastColumn="0" w:noHBand="0" w:noVBand="0"/>
      </w:tblPr>
      <w:tblGrid>
        <w:gridCol w:w="3628"/>
        <w:gridCol w:w="1673"/>
        <w:gridCol w:w="1512"/>
        <w:gridCol w:w="1517"/>
        <w:gridCol w:w="1531"/>
      </w:tblGrid>
      <w:tr w:rsidR="00A22B20" w:rsidRPr="00A22B20" w14:paraId="4A71F0D6" w14:textId="77777777" w:rsidTr="00A22B20">
        <w:trPr>
          <w:trHeight w:val="283"/>
        </w:trPr>
        <w:tc>
          <w:tcPr>
            <w:tcW w:w="3628" w:type="dxa"/>
          </w:tcPr>
          <w:p w14:paraId="1BD91C78"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673" w:type="dxa"/>
          </w:tcPr>
          <w:p w14:paraId="7325F644"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Group</w:t>
            </w:r>
          </w:p>
          <w:p w14:paraId="1265844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5B8FFE64"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c>
          <w:tcPr>
            <w:tcW w:w="1512" w:type="dxa"/>
          </w:tcPr>
          <w:p w14:paraId="3E1F2C6D"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Company</w:t>
            </w:r>
          </w:p>
          <w:p w14:paraId="4CF8333B"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68D22BE8"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c>
          <w:tcPr>
            <w:tcW w:w="1517" w:type="dxa"/>
          </w:tcPr>
          <w:p w14:paraId="61EB5C7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Group</w:t>
            </w:r>
          </w:p>
          <w:p w14:paraId="1D4629E1"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27C15383"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c>
          <w:tcPr>
            <w:tcW w:w="1531" w:type="dxa"/>
          </w:tcPr>
          <w:p w14:paraId="3EAD99F6"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Company</w:t>
            </w:r>
          </w:p>
          <w:p w14:paraId="24F8564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66118D98"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£’000</w:t>
            </w:r>
          </w:p>
        </w:tc>
      </w:tr>
      <w:tr w:rsidR="00A22B20" w:rsidRPr="00A22B20" w14:paraId="588CB2AA" w14:textId="77777777" w:rsidTr="00A22B20">
        <w:trPr>
          <w:trHeight w:val="283"/>
        </w:trPr>
        <w:tc>
          <w:tcPr>
            <w:tcW w:w="3628" w:type="dxa"/>
          </w:tcPr>
          <w:p w14:paraId="10311BCF"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At beginning of period</w:t>
            </w:r>
          </w:p>
        </w:tc>
        <w:tc>
          <w:tcPr>
            <w:tcW w:w="1673" w:type="dxa"/>
          </w:tcPr>
          <w:p w14:paraId="4704946A"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1,190,536</w:t>
            </w:r>
          </w:p>
        </w:tc>
        <w:tc>
          <w:tcPr>
            <w:tcW w:w="1512" w:type="dxa"/>
          </w:tcPr>
          <w:p w14:paraId="15BE7389"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25,078</w:t>
            </w:r>
          </w:p>
        </w:tc>
        <w:tc>
          <w:tcPr>
            <w:tcW w:w="1517" w:type="dxa"/>
          </w:tcPr>
          <w:p w14:paraId="46631E1E"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1,075,692</w:t>
            </w:r>
          </w:p>
        </w:tc>
        <w:tc>
          <w:tcPr>
            <w:tcW w:w="1531" w:type="dxa"/>
          </w:tcPr>
          <w:p w14:paraId="63874C73"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23,208</w:t>
            </w:r>
          </w:p>
        </w:tc>
      </w:tr>
      <w:tr w:rsidR="00A22B20" w:rsidRPr="00A22B20" w14:paraId="0C1C22B6" w14:textId="77777777" w:rsidTr="00A22B20">
        <w:trPr>
          <w:trHeight w:val="283"/>
        </w:trPr>
        <w:tc>
          <w:tcPr>
            <w:tcW w:w="3628" w:type="dxa"/>
          </w:tcPr>
          <w:p w14:paraId="28AF0A43"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Interest income</w:t>
            </w:r>
          </w:p>
        </w:tc>
        <w:tc>
          <w:tcPr>
            <w:tcW w:w="1673" w:type="dxa"/>
          </w:tcPr>
          <w:p w14:paraId="5E29726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58,690</w:t>
            </w:r>
          </w:p>
        </w:tc>
        <w:tc>
          <w:tcPr>
            <w:tcW w:w="1512" w:type="dxa"/>
          </w:tcPr>
          <w:p w14:paraId="77168686"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1,220</w:t>
            </w:r>
          </w:p>
        </w:tc>
        <w:tc>
          <w:tcPr>
            <w:tcW w:w="1517" w:type="dxa"/>
          </w:tcPr>
          <w:p w14:paraId="3633A9DB"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51,831</w:t>
            </w:r>
          </w:p>
        </w:tc>
        <w:tc>
          <w:tcPr>
            <w:tcW w:w="1531" w:type="dxa"/>
          </w:tcPr>
          <w:p w14:paraId="7708150A"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1,104</w:t>
            </w:r>
          </w:p>
        </w:tc>
      </w:tr>
      <w:tr w:rsidR="00A22B20" w:rsidRPr="00A22B20" w14:paraId="5174E101" w14:textId="77777777" w:rsidTr="00A22B20">
        <w:trPr>
          <w:trHeight w:val="283"/>
        </w:trPr>
        <w:tc>
          <w:tcPr>
            <w:tcW w:w="3628" w:type="dxa"/>
          </w:tcPr>
          <w:p w14:paraId="2E6C602F"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Cash flows</w:t>
            </w:r>
          </w:p>
        </w:tc>
        <w:tc>
          <w:tcPr>
            <w:tcW w:w="1673" w:type="dxa"/>
          </w:tcPr>
          <w:p w14:paraId="0EB2AA2B"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12" w:type="dxa"/>
          </w:tcPr>
          <w:p w14:paraId="7736E4D9"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17" w:type="dxa"/>
          </w:tcPr>
          <w:p w14:paraId="0FF63FA3"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531" w:type="dxa"/>
          </w:tcPr>
          <w:p w14:paraId="74F40BC8"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r>
      <w:tr w:rsidR="00A22B20" w:rsidRPr="00A22B20" w14:paraId="097E5763" w14:textId="77777777" w:rsidTr="00A22B20">
        <w:trPr>
          <w:trHeight w:val="283"/>
        </w:trPr>
        <w:tc>
          <w:tcPr>
            <w:tcW w:w="3628" w:type="dxa"/>
          </w:tcPr>
          <w:p w14:paraId="0BE8CC0B"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Employer contributions</w:t>
            </w:r>
          </w:p>
        </w:tc>
        <w:tc>
          <w:tcPr>
            <w:tcW w:w="1673" w:type="dxa"/>
          </w:tcPr>
          <w:p w14:paraId="7CE86BF4"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37,330</w:t>
            </w:r>
          </w:p>
        </w:tc>
        <w:tc>
          <w:tcPr>
            <w:tcW w:w="1512" w:type="dxa"/>
          </w:tcPr>
          <w:p w14:paraId="7B82650D"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515</w:t>
            </w:r>
          </w:p>
        </w:tc>
        <w:tc>
          <w:tcPr>
            <w:tcW w:w="1517" w:type="dxa"/>
          </w:tcPr>
          <w:p w14:paraId="546B95D6"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31,255</w:t>
            </w:r>
          </w:p>
        </w:tc>
        <w:tc>
          <w:tcPr>
            <w:tcW w:w="1531" w:type="dxa"/>
          </w:tcPr>
          <w:p w14:paraId="3E602528"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451</w:t>
            </w:r>
          </w:p>
        </w:tc>
      </w:tr>
      <w:tr w:rsidR="00A22B20" w:rsidRPr="00A22B20" w14:paraId="6F48BF67" w14:textId="77777777" w:rsidTr="00A22B20">
        <w:trPr>
          <w:trHeight w:val="283"/>
        </w:trPr>
        <w:tc>
          <w:tcPr>
            <w:tcW w:w="3628" w:type="dxa"/>
          </w:tcPr>
          <w:p w14:paraId="4EEB1B00"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Contributions from scheme members</w:t>
            </w:r>
          </w:p>
        </w:tc>
        <w:tc>
          <w:tcPr>
            <w:tcW w:w="1673" w:type="dxa"/>
          </w:tcPr>
          <w:p w14:paraId="2C77A50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12,741</w:t>
            </w:r>
          </w:p>
        </w:tc>
        <w:tc>
          <w:tcPr>
            <w:tcW w:w="1512" w:type="dxa"/>
          </w:tcPr>
          <w:p w14:paraId="0502786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230</w:t>
            </w:r>
          </w:p>
        </w:tc>
        <w:tc>
          <w:tcPr>
            <w:tcW w:w="1517" w:type="dxa"/>
          </w:tcPr>
          <w:p w14:paraId="4AD0C042"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10,834</w:t>
            </w:r>
          </w:p>
        </w:tc>
        <w:tc>
          <w:tcPr>
            <w:tcW w:w="1531" w:type="dxa"/>
          </w:tcPr>
          <w:p w14:paraId="456C857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202</w:t>
            </w:r>
          </w:p>
        </w:tc>
      </w:tr>
      <w:tr w:rsidR="00A22B20" w:rsidRPr="00A22B20" w14:paraId="5709BC13" w14:textId="77777777" w:rsidTr="00A22B20">
        <w:trPr>
          <w:trHeight w:val="283"/>
        </w:trPr>
        <w:tc>
          <w:tcPr>
            <w:tcW w:w="3628" w:type="dxa"/>
          </w:tcPr>
          <w:p w14:paraId="54E3D3D1"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Benefits paid</w:t>
            </w:r>
          </w:p>
        </w:tc>
        <w:tc>
          <w:tcPr>
            <w:tcW w:w="1673" w:type="dxa"/>
          </w:tcPr>
          <w:p w14:paraId="4341ED7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(30,806)</w:t>
            </w:r>
          </w:p>
        </w:tc>
        <w:tc>
          <w:tcPr>
            <w:tcW w:w="1512" w:type="dxa"/>
          </w:tcPr>
          <w:p w14:paraId="533ECCD6"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(1,018)</w:t>
            </w:r>
          </w:p>
        </w:tc>
        <w:tc>
          <w:tcPr>
            <w:tcW w:w="1517" w:type="dxa"/>
          </w:tcPr>
          <w:p w14:paraId="2B44FDD8"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(29,779)</w:t>
            </w:r>
          </w:p>
        </w:tc>
        <w:tc>
          <w:tcPr>
            <w:tcW w:w="1531" w:type="dxa"/>
          </w:tcPr>
          <w:p w14:paraId="10CB019E"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(997)</w:t>
            </w:r>
          </w:p>
        </w:tc>
      </w:tr>
      <w:tr w:rsidR="00A22B20" w:rsidRPr="00A22B20" w14:paraId="317A8F6A" w14:textId="77777777" w:rsidTr="00A22B20">
        <w:trPr>
          <w:trHeight w:val="283"/>
        </w:trPr>
        <w:tc>
          <w:tcPr>
            <w:tcW w:w="3628" w:type="dxa"/>
          </w:tcPr>
          <w:p w14:paraId="2B810F27"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Administrative expenses paid from plan assets</w:t>
            </w:r>
          </w:p>
        </w:tc>
        <w:tc>
          <w:tcPr>
            <w:tcW w:w="1673" w:type="dxa"/>
          </w:tcPr>
          <w:p w14:paraId="112F146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(950)</w:t>
            </w:r>
          </w:p>
        </w:tc>
        <w:tc>
          <w:tcPr>
            <w:tcW w:w="1512" w:type="dxa"/>
          </w:tcPr>
          <w:p w14:paraId="562D6C1C"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(13)</w:t>
            </w:r>
          </w:p>
        </w:tc>
        <w:tc>
          <w:tcPr>
            <w:tcW w:w="1517" w:type="dxa"/>
          </w:tcPr>
          <w:p w14:paraId="279941B8"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(806)</w:t>
            </w:r>
          </w:p>
        </w:tc>
        <w:tc>
          <w:tcPr>
            <w:tcW w:w="1531" w:type="dxa"/>
          </w:tcPr>
          <w:p w14:paraId="3D7AF7A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w:t>
            </w:r>
          </w:p>
        </w:tc>
      </w:tr>
      <w:tr w:rsidR="00A22B20" w:rsidRPr="00A22B20" w14:paraId="11C32F4C" w14:textId="77777777" w:rsidTr="00A22B20">
        <w:trPr>
          <w:trHeight w:val="283"/>
        </w:trPr>
        <w:tc>
          <w:tcPr>
            <w:tcW w:w="3628" w:type="dxa"/>
          </w:tcPr>
          <w:p w14:paraId="45DCAAA0"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Insurance premiums for risk benefits</w:t>
            </w:r>
          </w:p>
        </w:tc>
        <w:tc>
          <w:tcPr>
            <w:tcW w:w="1673" w:type="dxa"/>
          </w:tcPr>
          <w:p w14:paraId="3D8AA327"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(3,798)</w:t>
            </w:r>
          </w:p>
        </w:tc>
        <w:tc>
          <w:tcPr>
            <w:tcW w:w="1512" w:type="dxa"/>
          </w:tcPr>
          <w:p w14:paraId="0AA1DFA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(51)</w:t>
            </w:r>
          </w:p>
        </w:tc>
        <w:tc>
          <w:tcPr>
            <w:tcW w:w="1517" w:type="dxa"/>
          </w:tcPr>
          <w:p w14:paraId="7F0D7390"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(3,228)</w:t>
            </w:r>
          </w:p>
        </w:tc>
        <w:tc>
          <w:tcPr>
            <w:tcW w:w="1531" w:type="dxa"/>
          </w:tcPr>
          <w:p w14:paraId="4217451D"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(45)</w:t>
            </w:r>
          </w:p>
        </w:tc>
      </w:tr>
      <w:tr w:rsidR="00A22B20" w:rsidRPr="00A22B20" w14:paraId="35C9733A" w14:textId="77777777" w:rsidTr="00A22B20">
        <w:trPr>
          <w:trHeight w:val="283"/>
        </w:trPr>
        <w:tc>
          <w:tcPr>
            <w:tcW w:w="3628" w:type="dxa"/>
          </w:tcPr>
          <w:p w14:paraId="07FA2E36"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Return on plan assets (excluding interest income)</w:t>
            </w:r>
          </w:p>
        </w:tc>
        <w:tc>
          <w:tcPr>
            <w:tcW w:w="1673" w:type="dxa"/>
          </w:tcPr>
          <w:p w14:paraId="23CB788E"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(2,443)</w:t>
            </w:r>
          </w:p>
        </w:tc>
        <w:tc>
          <w:tcPr>
            <w:tcW w:w="1512" w:type="dxa"/>
          </w:tcPr>
          <w:p w14:paraId="4FDC9622"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(51)</w:t>
            </w:r>
          </w:p>
        </w:tc>
        <w:tc>
          <w:tcPr>
            <w:tcW w:w="1517" w:type="dxa"/>
          </w:tcPr>
          <w:p w14:paraId="5C78792E"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54,737</w:t>
            </w:r>
          </w:p>
        </w:tc>
        <w:tc>
          <w:tcPr>
            <w:tcW w:w="1531" w:type="dxa"/>
          </w:tcPr>
          <w:p w14:paraId="14CDC9F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1,166</w:t>
            </w:r>
          </w:p>
        </w:tc>
      </w:tr>
      <w:tr w:rsidR="00A22B20" w:rsidRPr="00A22B20" w14:paraId="100762FC" w14:textId="77777777" w:rsidTr="00A22B20">
        <w:trPr>
          <w:trHeight w:val="283"/>
        </w:trPr>
        <w:tc>
          <w:tcPr>
            <w:tcW w:w="3628" w:type="dxa"/>
          </w:tcPr>
          <w:p w14:paraId="0C564CE5" w14:textId="77777777" w:rsidR="00A22B20" w:rsidRPr="00A22B20" w:rsidRDefault="00A22B20" w:rsidP="00A22B20">
            <w:pPr>
              <w:autoSpaceDE w:val="0"/>
              <w:autoSpaceDN w:val="0"/>
              <w:adjustRightInd w:val="0"/>
              <w:spacing w:line="240" w:lineRule="auto"/>
              <w:textAlignment w:val="center"/>
              <w:rPr>
                <w:rFonts w:cs="Arial"/>
                <w:color w:val="000000" w:themeColor="text1"/>
                <w:sz w:val="20"/>
                <w:szCs w:val="20"/>
              </w:rPr>
            </w:pPr>
            <w:r w:rsidRPr="00A22B20">
              <w:rPr>
                <w:rFonts w:cs="Arial"/>
                <w:b/>
                <w:bCs/>
                <w:color w:val="000000" w:themeColor="text1"/>
                <w:sz w:val="20"/>
                <w:szCs w:val="20"/>
              </w:rPr>
              <w:t>At end of period</w:t>
            </w:r>
          </w:p>
        </w:tc>
        <w:tc>
          <w:tcPr>
            <w:tcW w:w="1673" w:type="dxa"/>
          </w:tcPr>
          <w:p w14:paraId="65D091FB"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1,261,300</w:t>
            </w:r>
          </w:p>
        </w:tc>
        <w:tc>
          <w:tcPr>
            <w:tcW w:w="1512" w:type="dxa"/>
          </w:tcPr>
          <w:p w14:paraId="0D7D2B25"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25,910</w:t>
            </w:r>
          </w:p>
        </w:tc>
        <w:tc>
          <w:tcPr>
            <w:tcW w:w="1517" w:type="dxa"/>
          </w:tcPr>
          <w:p w14:paraId="15ECDF92"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1,190,536</w:t>
            </w:r>
          </w:p>
        </w:tc>
        <w:tc>
          <w:tcPr>
            <w:tcW w:w="1531" w:type="dxa"/>
          </w:tcPr>
          <w:p w14:paraId="3B498F33" w14:textId="77777777" w:rsidR="00A22B20" w:rsidRPr="00A22B20" w:rsidRDefault="00A22B20" w:rsidP="00A22B20">
            <w:pPr>
              <w:tabs>
                <w:tab w:val="left" w:pos="198"/>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25,078</w:t>
            </w:r>
          </w:p>
        </w:tc>
      </w:tr>
    </w:tbl>
    <w:p w14:paraId="24033759" w14:textId="17CA888F" w:rsidR="00A22B20" w:rsidRDefault="00A22B20" w:rsidP="00A22B20">
      <w:pPr>
        <w:rPr>
          <w:rFonts w:cs="Arial"/>
          <w:i/>
          <w:iCs/>
        </w:rPr>
      </w:pPr>
    </w:p>
    <w:p w14:paraId="4FE5994F" w14:textId="77777777" w:rsidR="00A22B20" w:rsidRDefault="00A22B20">
      <w:pPr>
        <w:spacing w:line="240" w:lineRule="auto"/>
        <w:rPr>
          <w:rFonts w:cs="Arial"/>
          <w:i/>
          <w:iCs/>
        </w:rPr>
      </w:pPr>
      <w:r>
        <w:rPr>
          <w:rFonts w:cs="Arial"/>
          <w:i/>
          <w:iCs/>
        </w:rPr>
        <w:br w:type="page"/>
      </w:r>
    </w:p>
    <w:p w14:paraId="1C17EF3D" w14:textId="77777777" w:rsidR="00A22B20" w:rsidRDefault="00A22B20" w:rsidP="00A22B20">
      <w:pPr>
        <w:rPr>
          <w:i/>
          <w:iCs/>
        </w:rPr>
      </w:pPr>
      <w:proofErr w:type="spellStart"/>
      <w:r w:rsidRPr="00A22B20">
        <w:rPr>
          <w:i/>
          <w:iCs/>
        </w:rPr>
        <w:lastRenderedPageBreak/>
        <w:t>Ulsterbus</w:t>
      </w:r>
      <w:proofErr w:type="spellEnd"/>
      <w:r w:rsidRPr="00A22B20">
        <w:rPr>
          <w:i/>
          <w:iCs/>
        </w:rPr>
        <w:t>/Citybus Scheme</w:t>
      </w:r>
    </w:p>
    <w:tbl>
      <w:tblPr>
        <w:tblStyle w:val="TableGrid"/>
        <w:tblW w:w="0" w:type="auto"/>
        <w:tblLayout w:type="fixed"/>
        <w:tblLook w:val="0000" w:firstRow="0" w:lastRow="0" w:firstColumn="0" w:lastColumn="0" w:noHBand="0" w:noVBand="0"/>
      </w:tblPr>
      <w:tblGrid>
        <w:gridCol w:w="5240"/>
        <w:gridCol w:w="1701"/>
        <w:gridCol w:w="1701"/>
      </w:tblGrid>
      <w:tr w:rsidR="00A22B20" w:rsidRPr="00A22B20" w14:paraId="159EC328" w14:textId="77777777" w:rsidTr="00A22B20">
        <w:trPr>
          <w:trHeight w:hRule="exact" w:val="733"/>
        </w:trPr>
        <w:tc>
          <w:tcPr>
            <w:tcW w:w="5240" w:type="dxa"/>
          </w:tcPr>
          <w:p w14:paraId="7DB9CE2B" w14:textId="77777777" w:rsidR="00A22B20" w:rsidRPr="00A22B20" w:rsidRDefault="00A22B20" w:rsidP="00A22B20">
            <w:pPr>
              <w:spacing w:line="240" w:lineRule="auto"/>
              <w:rPr>
                <w:rFonts w:cs="Arial"/>
                <w:color w:val="000000" w:themeColor="text1"/>
                <w:sz w:val="20"/>
                <w:szCs w:val="20"/>
              </w:rPr>
            </w:pPr>
          </w:p>
        </w:tc>
        <w:tc>
          <w:tcPr>
            <w:tcW w:w="1701" w:type="dxa"/>
          </w:tcPr>
          <w:p w14:paraId="5C274413"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Group &amp;</w:t>
            </w:r>
          </w:p>
          <w:p w14:paraId="696B81DD"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Company</w:t>
            </w:r>
          </w:p>
          <w:p w14:paraId="5C61E9E1"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2025</w:t>
            </w:r>
          </w:p>
          <w:p w14:paraId="33563A7A"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tl/>
                <w:lang w:bidi="ar-YE"/>
              </w:rPr>
              <w:t>£’000</w:t>
            </w:r>
          </w:p>
        </w:tc>
        <w:tc>
          <w:tcPr>
            <w:tcW w:w="1701" w:type="dxa"/>
          </w:tcPr>
          <w:p w14:paraId="0E0E16B7"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Group &amp;</w:t>
            </w:r>
          </w:p>
          <w:p w14:paraId="4D8A2D64"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Company</w:t>
            </w:r>
          </w:p>
          <w:p w14:paraId="48FC3709"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2024</w:t>
            </w:r>
          </w:p>
          <w:p w14:paraId="0ED828B8"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tl/>
                <w:lang w:bidi="ar-YE"/>
              </w:rPr>
              <w:t>£’000</w:t>
            </w:r>
            <w:r w:rsidRPr="00A22B20">
              <w:rPr>
                <w:rFonts w:cs="Arial"/>
                <w:b/>
                <w:bCs/>
                <w:color w:val="000000" w:themeColor="text1"/>
                <w:sz w:val="20"/>
                <w:szCs w:val="20"/>
              </w:rPr>
              <w:t xml:space="preserve"> </w:t>
            </w:r>
          </w:p>
        </w:tc>
      </w:tr>
      <w:tr w:rsidR="00A22B20" w:rsidRPr="00A22B20" w14:paraId="73A063A9" w14:textId="77777777" w:rsidTr="00A22B20">
        <w:trPr>
          <w:trHeight w:hRule="exact" w:val="255"/>
        </w:trPr>
        <w:tc>
          <w:tcPr>
            <w:tcW w:w="5240" w:type="dxa"/>
          </w:tcPr>
          <w:p w14:paraId="06B1A4BC"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At beginning of period</w:t>
            </w:r>
          </w:p>
        </w:tc>
        <w:tc>
          <w:tcPr>
            <w:tcW w:w="1701" w:type="dxa"/>
          </w:tcPr>
          <w:p w14:paraId="6809738C"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1,323</w:t>
            </w:r>
          </w:p>
        </w:tc>
        <w:tc>
          <w:tcPr>
            <w:tcW w:w="1701" w:type="dxa"/>
          </w:tcPr>
          <w:p w14:paraId="4DA2A4FD"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1,351</w:t>
            </w:r>
          </w:p>
        </w:tc>
      </w:tr>
      <w:tr w:rsidR="00A22B20" w:rsidRPr="00A22B20" w14:paraId="6DB93FE1" w14:textId="77777777" w:rsidTr="00A22B20">
        <w:trPr>
          <w:trHeight w:hRule="exact" w:val="340"/>
        </w:trPr>
        <w:tc>
          <w:tcPr>
            <w:tcW w:w="5240" w:type="dxa"/>
          </w:tcPr>
          <w:p w14:paraId="6B1C3DDB"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Interest income</w:t>
            </w:r>
          </w:p>
        </w:tc>
        <w:tc>
          <w:tcPr>
            <w:tcW w:w="1701" w:type="dxa"/>
          </w:tcPr>
          <w:p w14:paraId="357DF751"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64</w:t>
            </w:r>
          </w:p>
        </w:tc>
        <w:tc>
          <w:tcPr>
            <w:tcW w:w="1701" w:type="dxa"/>
          </w:tcPr>
          <w:p w14:paraId="3C85A289"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64</w:t>
            </w:r>
          </w:p>
        </w:tc>
      </w:tr>
      <w:tr w:rsidR="00A22B20" w:rsidRPr="00A22B20" w14:paraId="0522FADB" w14:textId="77777777" w:rsidTr="00A22B20">
        <w:trPr>
          <w:trHeight w:hRule="exact" w:val="255"/>
        </w:trPr>
        <w:tc>
          <w:tcPr>
            <w:tcW w:w="5240" w:type="dxa"/>
          </w:tcPr>
          <w:p w14:paraId="76D479F8"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Cash flows</w:t>
            </w:r>
          </w:p>
        </w:tc>
        <w:tc>
          <w:tcPr>
            <w:tcW w:w="1701" w:type="dxa"/>
          </w:tcPr>
          <w:p w14:paraId="50581A33" w14:textId="77777777" w:rsidR="00A22B20" w:rsidRPr="00A22B20" w:rsidRDefault="00A22B20" w:rsidP="00A22B20">
            <w:pPr>
              <w:spacing w:line="240" w:lineRule="auto"/>
              <w:rPr>
                <w:rFonts w:cs="Arial"/>
                <w:color w:val="000000" w:themeColor="text1"/>
                <w:sz w:val="20"/>
                <w:szCs w:val="20"/>
              </w:rPr>
            </w:pPr>
          </w:p>
        </w:tc>
        <w:tc>
          <w:tcPr>
            <w:tcW w:w="1701" w:type="dxa"/>
          </w:tcPr>
          <w:p w14:paraId="5EF20126" w14:textId="77777777" w:rsidR="00A22B20" w:rsidRPr="00A22B20" w:rsidRDefault="00A22B20" w:rsidP="00A22B20">
            <w:pPr>
              <w:spacing w:line="240" w:lineRule="auto"/>
              <w:rPr>
                <w:rFonts w:cs="Arial"/>
                <w:color w:val="000000" w:themeColor="text1"/>
                <w:sz w:val="20"/>
                <w:szCs w:val="20"/>
              </w:rPr>
            </w:pPr>
          </w:p>
        </w:tc>
      </w:tr>
      <w:tr w:rsidR="00A22B20" w:rsidRPr="00A22B20" w14:paraId="073B0F13" w14:textId="77777777" w:rsidTr="00A22B20">
        <w:trPr>
          <w:trHeight w:hRule="exact" w:val="255"/>
        </w:trPr>
        <w:tc>
          <w:tcPr>
            <w:tcW w:w="5240" w:type="dxa"/>
          </w:tcPr>
          <w:p w14:paraId="29FE5430"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Benefits paid</w:t>
            </w:r>
          </w:p>
        </w:tc>
        <w:tc>
          <w:tcPr>
            <w:tcW w:w="1701" w:type="dxa"/>
          </w:tcPr>
          <w:p w14:paraId="1CF08ADC"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(54)</w:t>
            </w:r>
          </w:p>
        </w:tc>
        <w:tc>
          <w:tcPr>
            <w:tcW w:w="1701" w:type="dxa"/>
          </w:tcPr>
          <w:p w14:paraId="530BD018"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(60)</w:t>
            </w:r>
          </w:p>
        </w:tc>
      </w:tr>
      <w:tr w:rsidR="00A22B20" w:rsidRPr="00A22B20" w14:paraId="19D56D12" w14:textId="77777777" w:rsidTr="00A22B20">
        <w:trPr>
          <w:trHeight w:hRule="exact" w:val="340"/>
        </w:trPr>
        <w:tc>
          <w:tcPr>
            <w:tcW w:w="5240" w:type="dxa"/>
          </w:tcPr>
          <w:p w14:paraId="7FBE0405"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Return on plan assets (excluding interest income)</w:t>
            </w:r>
          </w:p>
        </w:tc>
        <w:tc>
          <w:tcPr>
            <w:tcW w:w="1701" w:type="dxa"/>
          </w:tcPr>
          <w:p w14:paraId="37AD35E5"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(105)</w:t>
            </w:r>
          </w:p>
        </w:tc>
        <w:tc>
          <w:tcPr>
            <w:tcW w:w="1701" w:type="dxa"/>
          </w:tcPr>
          <w:p w14:paraId="0AF95242"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(32)</w:t>
            </w:r>
          </w:p>
        </w:tc>
      </w:tr>
      <w:tr w:rsidR="00A22B20" w:rsidRPr="00A22B20" w14:paraId="5DA0F098" w14:textId="77777777" w:rsidTr="00A22B20">
        <w:trPr>
          <w:trHeight w:hRule="exact" w:val="340"/>
        </w:trPr>
        <w:tc>
          <w:tcPr>
            <w:tcW w:w="5240" w:type="dxa"/>
          </w:tcPr>
          <w:p w14:paraId="2BC5FCC5"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At end of period</w:t>
            </w:r>
          </w:p>
        </w:tc>
        <w:tc>
          <w:tcPr>
            <w:tcW w:w="1701" w:type="dxa"/>
          </w:tcPr>
          <w:p w14:paraId="657ED201"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1,228</w:t>
            </w:r>
          </w:p>
        </w:tc>
        <w:tc>
          <w:tcPr>
            <w:tcW w:w="1701" w:type="dxa"/>
          </w:tcPr>
          <w:p w14:paraId="4D4B524B"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1,323</w:t>
            </w:r>
          </w:p>
        </w:tc>
      </w:tr>
    </w:tbl>
    <w:p w14:paraId="1EEEBB0E" w14:textId="77777777" w:rsidR="00A22B20" w:rsidRDefault="00A22B20" w:rsidP="00A22B20">
      <w:pPr>
        <w:rPr>
          <w:i/>
          <w:iCs/>
        </w:rPr>
      </w:pPr>
    </w:p>
    <w:p w14:paraId="1E2AAED4" w14:textId="77777777" w:rsidR="00A22B20" w:rsidRPr="00A22B20" w:rsidRDefault="00A22B20" w:rsidP="00A22B20">
      <w:pPr>
        <w:rPr>
          <w:i/>
          <w:iCs/>
        </w:rPr>
      </w:pPr>
      <w:r w:rsidRPr="00A22B20">
        <w:rPr>
          <w:i/>
          <w:iCs/>
        </w:rPr>
        <w:t>Executive Scheme</w:t>
      </w:r>
    </w:p>
    <w:tbl>
      <w:tblPr>
        <w:tblStyle w:val="TableGrid"/>
        <w:tblW w:w="0" w:type="auto"/>
        <w:tblLayout w:type="fixed"/>
        <w:tblLook w:val="0000" w:firstRow="0" w:lastRow="0" w:firstColumn="0" w:lastColumn="0" w:noHBand="0" w:noVBand="0"/>
      </w:tblPr>
      <w:tblGrid>
        <w:gridCol w:w="5240"/>
        <w:gridCol w:w="1701"/>
        <w:gridCol w:w="1701"/>
      </w:tblGrid>
      <w:tr w:rsidR="00A22B20" w:rsidRPr="00A22B20" w14:paraId="24316050" w14:textId="77777777" w:rsidTr="00A22B20">
        <w:trPr>
          <w:trHeight w:val="283"/>
        </w:trPr>
        <w:tc>
          <w:tcPr>
            <w:tcW w:w="5240" w:type="dxa"/>
          </w:tcPr>
          <w:p w14:paraId="478D0207" w14:textId="77777777" w:rsidR="00A22B20" w:rsidRPr="00A22B20" w:rsidRDefault="00A22B20" w:rsidP="00A22B20">
            <w:pPr>
              <w:spacing w:line="240" w:lineRule="auto"/>
              <w:rPr>
                <w:rFonts w:cs="Arial"/>
                <w:color w:val="000000" w:themeColor="text1"/>
                <w:sz w:val="20"/>
                <w:szCs w:val="20"/>
              </w:rPr>
            </w:pPr>
          </w:p>
        </w:tc>
        <w:tc>
          <w:tcPr>
            <w:tcW w:w="1701" w:type="dxa"/>
          </w:tcPr>
          <w:p w14:paraId="0793A0FC"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Group &amp;</w:t>
            </w:r>
          </w:p>
          <w:p w14:paraId="4593A03D"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Company</w:t>
            </w:r>
          </w:p>
          <w:p w14:paraId="4B7722F2"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2025</w:t>
            </w:r>
          </w:p>
          <w:p w14:paraId="34846F23"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tl/>
                <w:lang w:bidi="ar-YE"/>
              </w:rPr>
              <w:t>£’000</w:t>
            </w:r>
          </w:p>
        </w:tc>
        <w:tc>
          <w:tcPr>
            <w:tcW w:w="1701" w:type="dxa"/>
          </w:tcPr>
          <w:p w14:paraId="57A867A8"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Group &amp;</w:t>
            </w:r>
          </w:p>
          <w:p w14:paraId="729D7EFB"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Company</w:t>
            </w:r>
          </w:p>
          <w:p w14:paraId="1F1D530E" w14:textId="77777777" w:rsidR="00A22B20" w:rsidRPr="00A22B20" w:rsidRDefault="00A22B20" w:rsidP="00A22B20">
            <w:pPr>
              <w:spacing w:line="240" w:lineRule="auto"/>
              <w:rPr>
                <w:rFonts w:cs="Arial"/>
                <w:b/>
                <w:bCs/>
                <w:color w:val="000000" w:themeColor="text1"/>
                <w:sz w:val="20"/>
                <w:szCs w:val="20"/>
              </w:rPr>
            </w:pPr>
            <w:r w:rsidRPr="00A22B20">
              <w:rPr>
                <w:rFonts w:cs="Arial"/>
                <w:b/>
                <w:bCs/>
                <w:color w:val="000000" w:themeColor="text1"/>
                <w:sz w:val="20"/>
                <w:szCs w:val="20"/>
              </w:rPr>
              <w:t>2024</w:t>
            </w:r>
          </w:p>
          <w:p w14:paraId="4307FAE8"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tl/>
                <w:lang w:bidi="ar-YE"/>
              </w:rPr>
              <w:t>£’000</w:t>
            </w:r>
            <w:r w:rsidRPr="00A22B20">
              <w:rPr>
                <w:rFonts w:cs="Arial"/>
                <w:b/>
                <w:bCs/>
                <w:color w:val="000000" w:themeColor="text1"/>
                <w:sz w:val="20"/>
                <w:szCs w:val="20"/>
              </w:rPr>
              <w:t xml:space="preserve"> </w:t>
            </w:r>
          </w:p>
        </w:tc>
      </w:tr>
      <w:tr w:rsidR="00A22B20" w:rsidRPr="00A22B20" w14:paraId="159BCE27" w14:textId="77777777" w:rsidTr="00A22B20">
        <w:trPr>
          <w:trHeight w:val="283"/>
        </w:trPr>
        <w:tc>
          <w:tcPr>
            <w:tcW w:w="5240" w:type="dxa"/>
          </w:tcPr>
          <w:p w14:paraId="1548A239"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At beginning of period</w:t>
            </w:r>
          </w:p>
        </w:tc>
        <w:tc>
          <w:tcPr>
            <w:tcW w:w="1701" w:type="dxa"/>
          </w:tcPr>
          <w:p w14:paraId="1E843149"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2,027</w:t>
            </w:r>
          </w:p>
        </w:tc>
        <w:tc>
          <w:tcPr>
            <w:tcW w:w="1701" w:type="dxa"/>
          </w:tcPr>
          <w:p w14:paraId="5063896C"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2,178</w:t>
            </w:r>
          </w:p>
        </w:tc>
      </w:tr>
      <w:tr w:rsidR="00A22B20" w:rsidRPr="00A22B20" w14:paraId="0EF20895" w14:textId="77777777" w:rsidTr="00A22B20">
        <w:trPr>
          <w:trHeight w:val="283"/>
        </w:trPr>
        <w:tc>
          <w:tcPr>
            <w:tcW w:w="5240" w:type="dxa"/>
          </w:tcPr>
          <w:p w14:paraId="15406073"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Interest income</w:t>
            </w:r>
          </w:p>
        </w:tc>
        <w:tc>
          <w:tcPr>
            <w:tcW w:w="1701" w:type="dxa"/>
          </w:tcPr>
          <w:p w14:paraId="61C0CAAE"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97</w:t>
            </w:r>
          </w:p>
        </w:tc>
        <w:tc>
          <w:tcPr>
            <w:tcW w:w="1701" w:type="dxa"/>
          </w:tcPr>
          <w:p w14:paraId="3C2C6A2D"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102</w:t>
            </w:r>
          </w:p>
        </w:tc>
      </w:tr>
      <w:tr w:rsidR="00A22B20" w:rsidRPr="00A22B20" w14:paraId="04DF4C2D" w14:textId="77777777" w:rsidTr="00A22B20">
        <w:trPr>
          <w:trHeight w:val="283"/>
        </w:trPr>
        <w:tc>
          <w:tcPr>
            <w:tcW w:w="5240" w:type="dxa"/>
          </w:tcPr>
          <w:p w14:paraId="763FF37F"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 xml:space="preserve">Cash flows </w:t>
            </w:r>
          </w:p>
        </w:tc>
        <w:tc>
          <w:tcPr>
            <w:tcW w:w="1701" w:type="dxa"/>
          </w:tcPr>
          <w:p w14:paraId="0E6D5842" w14:textId="77777777" w:rsidR="00A22B20" w:rsidRPr="00A22B20" w:rsidRDefault="00A22B20" w:rsidP="00A22B20">
            <w:pPr>
              <w:spacing w:line="240" w:lineRule="auto"/>
              <w:rPr>
                <w:rFonts w:cs="Arial"/>
                <w:color w:val="000000" w:themeColor="text1"/>
                <w:sz w:val="20"/>
                <w:szCs w:val="20"/>
              </w:rPr>
            </w:pPr>
          </w:p>
        </w:tc>
        <w:tc>
          <w:tcPr>
            <w:tcW w:w="1701" w:type="dxa"/>
          </w:tcPr>
          <w:p w14:paraId="13DF9EE4" w14:textId="77777777" w:rsidR="00A22B20" w:rsidRPr="00A22B20" w:rsidRDefault="00A22B20" w:rsidP="00A22B20">
            <w:pPr>
              <w:spacing w:line="240" w:lineRule="auto"/>
              <w:rPr>
                <w:rFonts w:cs="Arial"/>
                <w:color w:val="000000" w:themeColor="text1"/>
                <w:sz w:val="20"/>
                <w:szCs w:val="20"/>
              </w:rPr>
            </w:pPr>
          </w:p>
        </w:tc>
      </w:tr>
      <w:tr w:rsidR="00A22B20" w:rsidRPr="00A22B20" w14:paraId="27CECA20" w14:textId="77777777" w:rsidTr="00A22B20">
        <w:trPr>
          <w:trHeight w:val="283"/>
        </w:trPr>
        <w:tc>
          <w:tcPr>
            <w:tcW w:w="5240" w:type="dxa"/>
          </w:tcPr>
          <w:p w14:paraId="057A086F"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Benefits paid</w:t>
            </w:r>
          </w:p>
        </w:tc>
        <w:tc>
          <w:tcPr>
            <w:tcW w:w="1701" w:type="dxa"/>
          </w:tcPr>
          <w:p w14:paraId="35A232A3"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(132)</w:t>
            </w:r>
          </w:p>
        </w:tc>
        <w:tc>
          <w:tcPr>
            <w:tcW w:w="1701" w:type="dxa"/>
          </w:tcPr>
          <w:p w14:paraId="2A7D666A"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(120)</w:t>
            </w:r>
          </w:p>
        </w:tc>
      </w:tr>
      <w:tr w:rsidR="00A22B20" w:rsidRPr="00A22B20" w14:paraId="0F4ECA41" w14:textId="77777777" w:rsidTr="00A22B20">
        <w:trPr>
          <w:trHeight w:val="283"/>
        </w:trPr>
        <w:tc>
          <w:tcPr>
            <w:tcW w:w="5240" w:type="dxa"/>
          </w:tcPr>
          <w:p w14:paraId="432CEA64"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Return on plan assets (excluding interest income)</w:t>
            </w:r>
          </w:p>
        </w:tc>
        <w:tc>
          <w:tcPr>
            <w:tcW w:w="1701" w:type="dxa"/>
          </w:tcPr>
          <w:p w14:paraId="2D28E415"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(170)</w:t>
            </w:r>
          </w:p>
        </w:tc>
        <w:tc>
          <w:tcPr>
            <w:tcW w:w="1701" w:type="dxa"/>
          </w:tcPr>
          <w:p w14:paraId="14C2C6BC" w14:textId="77777777" w:rsidR="00A22B20" w:rsidRPr="00A22B20" w:rsidRDefault="00A22B20" w:rsidP="00A22B20">
            <w:pPr>
              <w:spacing w:line="240" w:lineRule="auto"/>
              <w:rPr>
                <w:rFonts w:cs="Arial"/>
                <w:color w:val="000000" w:themeColor="text1"/>
                <w:sz w:val="20"/>
                <w:szCs w:val="20"/>
              </w:rPr>
            </w:pPr>
            <w:r w:rsidRPr="00A22B20">
              <w:rPr>
                <w:rFonts w:cs="Arial"/>
                <w:color w:val="000000" w:themeColor="text1"/>
                <w:sz w:val="20"/>
                <w:szCs w:val="20"/>
              </w:rPr>
              <w:t>(133)</w:t>
            </w:r>
          </w:p>
        </w:tc>
      </w:tr>
      <w:tr w:rsidR="00A22B20" w:rsidRPr="00A22B20" w14:paraId="48AD6D01" w14:textId="77777777" w:rsidTr="00A22B20">
        <w:trPr>
          <w:trHeight w:val="283"/>
        </w:trPr>
        <w:tc>
          <w:tcPr>
            <w:tcW w:w="5240" w:type="dxa"/>
          </w:tcPr>
          <w:p w14:paraId="5CB1DCAE"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At end of period</w:t>
            </w:r>
          </w:p>
        </w:tc>
        <w:tc>
          <w:tcPr>
            <w:tcW w:w="1701" w:type="dxa"/>
          </w:tcPr>
          <w:p w14:paraId="2E6BDA7A"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(1,822)</w:t>
            </w:r>
          </w:p>
        </w:tc>
        <w:tc>
          <w:tcPr>
            <w:tcW w:w="1701" w:type="dxa"/>
          </w:tcPr>
          <w:p w14:paraId="7AA936EF" w14:textId="77777777" w:rsidR="00A22B20" w:rsidRPr="00A22B20" w:rsidRDefault="00A22B20" w:rsidP="00A22B20">
            <w:pPr>
              <w:spacing w:line="240" w:lineRule="auto"/>
              <w:rPr>
                <w:rFonts w:cs="Arial"/>
                <w:color w:val="000000" w:themeColor="text1"/>
                <w:sz w:val="20"/>
                <w:szCs w:val="20"/>
              </w:rPr>
            </w:pPr>
            <w:r w:rsidRPr="00A22B20">
              <w:rPr>
                <w:rFonts w:cs="Arial"/>
                <w:b/>
                <w:bCs/>
                <w:color w:val="000000" w:themeColor="text1"/>
                <w:sz w:val="20"/>
                <w:szCs w:val="20"/>
              </w:rPr>
              <w:t>2,027</w:t>
            </w:r>
          </w:p>
        </w:tc>
      </w:tr>
    </w:tbl>
    <w:p w14:paraId="2984480E" w14:textId="77777777" w:rsidR="00A22B20" w:rsidRDefault="00A22B20" w:rsidP="00A22B20">
      <w:pPr>
        <w:rPr>
          <w:i/>
          <w:iCs/>
        </w:rPr>
      </w:pPr>
    </w:p>
    <w:p w14:paraId="226F68ED" w14:textId="611D45F4" w:rsidR="00A22B20" w:rsidRPr="00A22B20" w:rsidRDefault="00A22B20" w:rsidP="00A22B20">
      <w:pPr>
        <w:rPr>
          <w:rFonts w:cs="Arial"/>
          <w:color w:val="E5007D"/>
        </w:rPr>
      </w:pPr>
      <w:r w:rsidRPr="00A22B20">
        <w:rPr>
          <w:rFonts w:cs="Arial"/>
        </w:rPr>
        <w:t>The average duration of the benefit obligation at the end of the reporting period is c17 years (2024: c17 years).</w:t>
      </w:r>
      <w:r>
        <w:rPr>
          <w:rFonts w:cs="Arial"/>
          <w:color w:val="E5007D"/>
        </w:rPr>
        <w:t xml:space="preserve"> </w:t>
      </w:r>
      <w:r w:rsidRPr="00A22B20">
        <w:rPr>
          <w:rFonts w:cs="Arial"/>
        </w:rPr>
        <w:t>The major categories of plan assets at the end of the reporting period for each category are as follows:</w:t>
      </w:r>
    </w:p>
    <w:p w14:paraId="271901B6" w14:textId="77777777" w:rsidR="00A22B20" w:rsidRPr="00A22B20" w:rsidRDefault="00A22B20" w:rsidP="00A22B20">
      <w:pPr>
        <w:rPr>
          <w:rFonts w:cs="Arial"/>
        </w:rPr>
      </w:pPr>
    </w:p>
    <w:p w14:paraId="05636864" w14:textId="77777777" w:rsidR="00A22B20" w:rsidRPr="00A22B20" w:rsidRDefault="00A22B20" w:rsidP="00A22B20">
      <w:pPr>
        <w:rPr>
          <w:i/>
          <w:iCs/>
        </w:rPr>
      </w:pPr>
      <w:r w:rsidRPr="00A22B20">
        <w:rPr>
          <w:i/>
          <w:iCs/>
        </w:rPr>
        <w:t>Fair Value of Assets</w:t>
      </w:r>
    </w:p>
    <w:tbl>
      <w:tblPr>
        <w:tblStyle w:val="TableGrid"/>
        <w:tblW w:w="0" w:type="auto"/>
        <w:tblLayout w:type="fixed"/>
        <w:tblLook w:val="0000" w:firstRow="0" w:lastRow="0" w:firstColumn="0" w:lastColumn="0" w:noHBand="0" w:noVBand="0"/>
      </w:tblPr>
      <w:tblGrid>
        <w:gridCol w:w="4195"/>
        <w:gridCol w:w="992"/>
        <w:gridCol w:w="992"/>
        <w:gridCol w:w="900"/>
        <w:gridCol w:w="900"/>
        <w:gridCol w:w="900"/>
        <w:gridCol w:w="976"/>
      </w:tblGrid>
      <w:tr w:rsidR="00A22B20" w:rsidRPr="00A22B20" w14:paraId="524EB1C4" w14:textId="77777777" w:rsidTr="00A22B20">
        <w:trPr>
          <w:trHeight w:val="283"/>
        </w:trPr>
        <w:tc>
          <w:tcPr>
            <w:tcW w:w="4195" w:type="dxa"/>
          </w:tcPr>
          <w:p w14:paraId="36548BFB"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1984" w:type="dxa"/>
            <w:gridSpan w:val="2"/>
          </w:tcPr>
          <w:p w14:paraId="648AFD10"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center"/>
              <w:textAlignment w:val="center"/>
              <w:rPr>
                <w:rFonts w:cs="Arial"/>
                <w:color w:val="000000" w:themeColor="text1"/>
                <w:sz w:val="20"/>
                <w:szCs w:val="20"/>
              </w:rPr>
            </w:pPr>
            <w:r w:rsidRPr="00A22B20">
              <w:rPr>
                <w:rFonts w:cs="Arial"/>
                <w:b/>
                <w:bCs/>
                <w:color w:val="000000" w:themeColor="text1"/>
                <w:sz w:val="20"/>
                <w:szCs w:val="20"/>
              </w:rPr>
              <w:t>NILGOS</w:t>
            </w:r>
          </w:p>
        </w:tc>
        <w:tc>
          <w:tcPr>
            <w:tcW w:w="1800" w:type="dxa"/>
            <w:gridSpan w:val="2"/>
          </w:tcPr>
          <w:p w14:paraId="431B49B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center"/>
              <w:textAlignment w:val="center"/>
              <w:rPr>
                <w:rFonts w:cs="Arial"/>
                <w:b/>
                <w:bCs/>
                <w:color w:val="000000" w:themeColor="text1"/>
                <w:sz w:val="20"/>
                <w:szCs w:val="20"/>
              </w:rPr>
            </w:pPr>
            <w:proofErr w:type="spellStart"/>
            <w:r w:rsidRPr="00A22B20">
              <w:rPr>
                <w:rFonts w:cs="Arial"/>
                <w:b/>
                <w:bCs/>
                <w:color w:val="000000" w:themeColor="text1"/>
                <w:sz w:val="20"/>
                <w:szCs w:val="20"/>
              </w:rPr>
              <w:t>Ulsterbus</w:t>
            </w:r>
            <w:proofErr w:type="spellEnd"/>
            <w:r w:rsidRPr="00A22B20">
              <w:rPr>
                <w:rFonts w:cs="Arial"/>
                <w:b/>
                <w:bCs/>
                <w:color w:val="000000" w:themeColor="text1"/>
                <w:sz w:val="20"/>
                <w:szCs w:val="20"/>
              </w:rPr>
              <w:t>/</w:t>
            </w:r>
          </w:p>
          <w:p w14:paraId="08E70750"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center"/>
              <w:textAlignment w:val="center"/>
              <w:rPr>
                <w:rFonts w:cs="Arial"/>
                <w:color w:val="000000" w:themeColor="text1"/>
                <w:sz w:val="20"/>
                <w:szCs w:val="20"/>
              </w:rPr>
            </w:pPr>
            <w:r w:rsidRPr="00A22B20">
              <w:rPr>
                <w:rFonts w:cs="Arial"/>
                <w:b/>
                <w:bCs/>
                <w:color w:val="000000" w:themeColor="text1"/>
                <w:sz w:val="20"/>
                <w:szCs w:val="20"/>
              </w:rPr>
              <w:t>Citybus Scheme</w:t>
            </w:r>
          </w:p>
        </w:tc>
        <w:tc>
          <w:tcPr>
            <w:tcW w:w="1876" w:type="dxa"/>
            <w:gridSpan w:val="2"/>
          </w:tcPr>
          <w:p w14:paraId="22102CC8"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center"/>
              <w:textAlignment w:val="center"/>
              <w:rPr>
                <w:rFonts w:cs="Arial"/>
                <w:b/>
                <w:bCs/>
                <w:color w:val="000000" w:themeColor="text1"/>
                <w:sz w:val="20"/>
                <w:szCs w:val="20"/>
              </w:rPr>
            </w:pPr>
            <w:r w:rsidRPr="00A22B20">
              <w:rPr>
                <w:rFonts w:cs="Arial"/>
                <w:b/>
                <w:bCs/>
                <w:color w:val="000000" w:themeColor="text1"/>
                <w:sz w:val="20"/>
                <w:szCs w:val="20"/>
              </w:rPr>
              <w:t>Executive</w:t>
            </w:r>
          </w:p>
          <w:p w14:paraId="6192A848"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center"/>
              <w:textAlignment w:val="center"/>
              <w:rPr>
                <w:rFonts w:cs="Arial"/>
                <w:color w:val="000000" w:themeColor="text1"/>
                <w:sz w:val="20"/>
                <w:szCs w:val="20"/>
              </w:rPr>
            </w:pPr>
            <w:r w:rsidRPr="00A22B20">
              <w:rPr>
                <w:rFonts w:cs="Arial"/>
                <w:b/>
                <w:bCs/>
                <w:color w:val="000000" w:themeColor="text1"/>
                <w:sz w:val="20"/>
                <w:szCs w:val="20"/>
              </w:rPr>
              <w:t>Scheme</w:t>
            </w:r>
          </w:p>
        </w:tc>
      </w:tr>
      <w:tr w:rsidR="00A22B20" w:rsidRPr="00A22B20" w14:paraId="1368A2A4" w14:textId="77777777" w:rsidTr="00A22B20">
        <w:trPr>
          <w:trHeight w:val="283"/>
        </w:trPr>
        <w:tc>
          <w:tcPr>
            <w:tcW w:w="4195" w:type="dxa"/>
          </w:tcPr>
          <w:p w14:paraId="30067D5A" w14:textId="77777777" w:rsidR="00A22B20" w:rsidRPr="00A22B20" w:rsidRDefault="00A22B20" w:rsidP="00A22B20">
            <w:pPr>
              <w:autoSpaceDE w:val="0"/>
              <w:autoSpaceDN w:val="0"/>
              <w:adjustRightInd w:val="0"/>
              <w:spacing w:line="240" w:lineRule="auto"/>
              <w:rPr>
                <w:rFonts w:cs="Arial"/>
                <w:color w:val="000000" w:themeColor="text1"/>
                <w:sz w:val="20"/>
                <w:szCs w:val="20"/>
              </w:rPr>
            </w:pPr>
          </w:p>
        </w:tc>
        <w:tc>
          <w:tcPr>
            <w:tcW w:w="992" w:type="dxa"/>
          </w:tcPr>
          <w:p w14:paraId="0403B4AC"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1D36EF3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c>
          <w:tcPr>
            <w:tcW w:w="992" w:type="dxa"/>
          </w:tcPr>
          <w:p w14:paraId="5F831A4B"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439493E0"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c>
          <w:tcPr>
            <w:tcW w:w="900" w:type="dxa"/>
          </w:tcPr>
          <w:p w14:paraId="35F9D00B"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4BAEFD67"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c>
          <w:tcPr>
            <w:tcW w:w="900" w:type="dxa"/>
          </w:tcPr>
          <w:p w14:paraId="133C363B"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07F938CC"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c>
          <w:tcPr>
            <w:tcW w:w="900" w:type="dxa"/>
          </w:tcPr>
          <w:p w14:paraId="7F04A8E5"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2025</w:t>
            </w:r>
          </w:p>
          <w:p w14:paraId="70D061A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c>
          <w:tcPr>
            <w:tcW w:w="976" w:type="dxa"/>
          </w:tcPr>
          <w:p w14:paraId="053E7B37"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b/>
                <w:bCs/>
                <w:color w:val="000000" w:themeColor="text1"/>
                <w:sz w:val="20"/>
                <w:szCs w:val="20"/>
              </w:rPr>
            </w:pPr>
            <w:r w:rsidRPr="00A22B20">
              <w:rPr>
                <w:rFonts w:cs="Arial"/>
                <w:b/>
                <w:bCs/>
                <w:color w:val="000000" w:themeColor="text1"/>
                <w:sz w:val="20"/>
                <w:szCs w:val="20"/>
              </w:rPr>
              <w:t>2024</w:t>
            </w:r>
          </w:p>
          <w:p w14:paraId="4909AE18"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tl/>
                <w:lang w:bidi="ar-YE"/>
              </w:rPr>
              <w:t>£</w:t>
            </w:r>
            <w:r w:rsidRPr="00A22B20">
              <w:rPr>
                <w:rFonts w:cs="Arial"/>
                <w:b/>
                <w:bCs/>
                <w:color w:val="000000" w:themeColor="text1"/>
                <w:sz w:val="20"/>
                <w:szCs w:val="20"/>
                <w:lang w:bidi="ar-YE"/>
              </w:rPr>
              <w:t>m</w:t>
            </w:r>
          </w:p>
        </w:tc>
      </w:tr>
      <w:tr w:rsidR="00A22B20" w:rsidRPr="00A22B20" w14:paraId="57218454" w14:textId="77777777" w:rsidTr="00A22B20">
        <w:trPr>
          <w:trHeight w:val="283"/>
        </w:trPr>
        <w:tc>
          <w:tcPr>
            <w:tcW w:w="4195" w:type="dxa"/>
          </w:tcPr>
          <w:p w14:paraId="303431D7"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Equity instruments</w:t>
            </w:r>
          </w:p>
        </w:tc>
        <w:tc>
          <w:tcPr>
            <w:tcW w:w="992" w:type="dxa"/>
          </w:tcPr>
          <w:p w14:paraId="5D68CACA"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507.7</w:t>
            </w:r>
          </w:p>
        </w:tc>
        <w:tc>
          <w:tcPr>
            <w:tcW w:w="992" w:type="dxa"/>
          </w:tcPr>
          <w:p w14:paraId="18387E61"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472.6</w:t>
            </w:r>
          </w:p>
        </w:tc>
        <w:tc>
          <w:tcPr>
            <w:tcW w:w="900" w:type="dxa"/>
          </w:tcPr>
          <w:p w14:paraId="4A54FE4B"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39AC5FC9"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24E36203"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1.0</w:t>
            </w:r>
          </w:p>
        </w:tc>
        <w:tc>
          <w:tcPr>
            <w:tcW w:w="976" w:type="dxa"/>
          </w:tcPr>
          <w:p w14:paraId="4233C536"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w:t>
            </w:r>
          </w:p>
        </w:tc>
      </w:tr>
      <w:tr w:rsidR="00A22B20" w:rsidRPr="00A22B20" w14:paraId="66EFF906" w14:textId="77777777" w:rsidTr="00A22B20">
        <w:trPr>
          <w:trHeight w:val="283"/>
        </w:trPr>
        <w:tc>
          <w:tcPr>
            <w:tcW w:w="4195" w:type="dxa"/>
          </w:tcPr>
          <w:p w14:paraId="3BDE70F1"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Debt instruments</w:t>
            </w:r>
          </w:p>
        </w:tc>
        <w:tc>
          <w:tcPr>
            <w:tcW w:w="992" w:type="dxa"/>
          </w:tcPr>
          <w:p w14:paraId="5F9FB301"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408.8</w:t>
            </w:r>
          </w:p>
        </w:tc>
        <w:tc>
          <w:tcPr>
            <w:tcW w:w="992" w:type="dxa"/>
          </w:tcPr>
          <w:p w14:paraId="0CA304F5"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388.0</w:t>
            </w:r>
          </w:p>
        </w:tc>
        <w:tc>
          <w:tcPr>
            <w:tcW w:w="900" w:type="dxa"/>
          </w:tcPr>
          <w:p w14:paraId="6501EB71"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15B22FFC"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6FE79988"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0.9</w:t>
            </w:r>
          </w:p>
        </w:tc>
        <w:tc>
          <w:tcPr>
            <w:tcW w:w="976" w:type="dxa"/>
          </w:tcPr>
          <w:p w14:paraId="22F9DF15"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0.9</w:t>
            </w:r>
          </w:p>
        </w:tc>
      </w:tr>
      <w:tr w:rsidR="00A22B20" w:rsidRPr="00A22B20" w14:paraId="1313573E" w14:textId="77777777" w:rsidTr="00A22B20">
        <w:trPr>
          <w:trHeight w:val="283"/>
        </w:trPr>
        <w:tc>
          <w:tcPr>
            <w:tcW w:w="4195" w:type="dxa"/>
          </w:tcPr>
          <w:p w14:paraId="1F315790"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Property</w:t>
            </w:r>
          </w:p>
        </w:tc>
        <w:tc>
          <w:tcPr>
            <w:tcW w:w="992" w:type="dxa"/>
          </w:tcPr>
          <w:p w14:paraId="42F8F6DF"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125.8</w:t>
            </w:r>
          </w:p>
        </w:tc>
        <w:tc>
          <w:tcPr>
            <w:tcW w:w="992" w:type="dxa"/>
          </w:tcPr>
          <w:p w14:paraId="64238E65"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110.2</w:t>
            </w:r>
          </w:p>
        </w:tc>
        <w:tc>
          <w:tcPr>
            <w:tcW w:w="900" w:type="dxa"/>
          </w:tcPr>
          <w:p w14:paraId="431A9A2C"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6E996FE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00" w:type="dxa"/>
          </w:tcPr>
          <w:p w14:paraId="0F66328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76" w:type="dxa"/>
          </w:tcPr>
          <w:p w14:paraId="5EAC4D03"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r>
      <w:tr w:rsidR="00A22B20" w:rsidRPr="00A22B20" w14:paraId="3C05342A" w14:textId="77777777" w:rsidTr="00A22B20">
        <w:trPr>
          <w:trHeight w:val="283"/>
        </w:trPr>
        <w:tc>
          <w:tcPr>
            <w:tcW w:w="4195" w:type="dxa"/>
          </w:tcPr>
          <w:p w14:paraId="68068F42"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textAlignment w:val="center"/>
              <w:rPr>
                <w:rFonts w:cs="Arial"/>
                <w:color w:val="000000" w:themeColor="text1"/>
                <w:sz w:val="20"/>
                <w:szCs w:val="20"/>
              </w:rPr>
            </w:pPr>
            <w:r w:rsidRPr="00A22B20">
              <w:rPr>
                <w:rFonts w:cs="Arial"/>
                <w:color w:val="000000" w:themeColor="text1"/>
                <w:sz w:val="20"/>
                <w:szCs w:val="20"/>
              </w:rPr>
              <w:t>Other</w:t>
            </w:r>
          </w:p>
        </w:tc>
        <w:tc>
          <w:tcPr>
            <w:tcW w:w="992" w:type="dxa"/>
          </w:tcPr>
          <w:p w14:paraId="5EB2B77C"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219.0</w:t>
            </w:r>
          </w:p>
        </w:tc>
        <w:tc>
          <w:tcPr>
            <w:tcW w:w="992" w:type="dxa"/>
          </w:tcPr>
          <w:p w14:paraId="0935E817"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219.7</w:t>
            </w:r>
          </w:p>
        </w:tc>
        <w:tc>
          <w:tcPr>
            <w:tcW w:w="900" w:type="dxa"/>
          </w:tcPr>
          <w:p w14:paraId="74157E3D"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1.3</w:t>
            </w:r>
          </w:p>
        </w:tc>
        <w:tc>
          <w:tcPr>
            <w:tcW w:w="900" w:type="dxa"/>
          </w:tcPr>
          <w:p w14:paraId="7798D9BA"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1.3</w:t>
            </w:r>
          </w:p>
        </w:tc>
        <w:tc>
          <w:tcPr>
            <w:tcW w:w="900" w:type="dxa"/>
          </w:tcPr>
          <w:p w14:paraId="3DE5A03E"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c>
          <w:tcPr>
            <w:tcW w:w="976" w:type="dxa"/>
          </w:tcPr>
          <w:p w14:paraId="2D41451D"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color w:val="000000" w:themeColor="text1"/>
                <w:sz w:val="20"/>
                <w:szCs w:val="20"/>
              </w:rPr>
              <w:t>-</w:t>
            </w:r>
          </w:p>
        </w:tc>
      </w:tr>
      <w:tr w:rsidR="00A22B20" w:rsidRPr="00A22B20" w14:paraId="58E8EAD7" w14:textId="77777777" w:rsidTr="00A22B20">
        <w:trPr>
          <w:trHeight w:val="283"/>
        </w:trPr>
        <w:tc>
          <w:tcPr>
            <w:tcW w:w="4195" w:type="dxa"/>
          </w:tcPr>
          <w:p w14:paraId="2EAF05CD" w14:textId="77777777" w:rsidR="00A22B20" w:rsidRPr="00A22B20" w:rsidRDefault="00A22B20" w:rsidP="00A22B20">
            <w:pPr>
              <w:tabs>
                <w:tab w:val="decimal" w:pos="90"/>
                <w:tab w:val="left" w:pos="198"/>
                <w:tab w:val="left" w:pos="433"/>
                <w:tab w:val="left" w:pos="720"/>
              </w:tabs>
              <w:suppressAutoHyphens/>
              <w:autoSpaceDE w:val="0"/>
              <w:autoSpaceDN w:val="0"/>
              <w:adjustRightInd w:val="0"/>
              <w:spacing w:line="240" w:lineRule="auto"/>
              <w:textAlignment w:val="center"/>
              <w:rPr>
                <w:rFonts w:cs="Arial"/>
                <w:b/>
                <w:bCs/>
                <w:color w:val="000000" w:themeColor="text1"/>
                <w:sz w:val="20"/>
                <w:szCs w:val="20"/>
              </w:rPr>
            </w:pPr>
          </w:p>
        </w:tc>
        <w:tc>
          <w:tcPr>
            <w:tcW w:w="992" w:type="dxa"/>
          </w:tcPr>
          <w:p w14:paraId="0B7E5B73"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1,261.3</w:t>
            </w:r>
          </w:p>
        </w:tc>
        <w:tc>
          <w:tcPr>
            <w:tcW w:w="992" w:type="dxa"/>
          </w:tcPr>
          <w:p w14:paraId="0986F351"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1,190.5</w:t>
            </w:r>
          </w:p>
        </w:tc>
        <w:tc>
          <w:tcPr>
            <w:tcW w:w="900" w:type="dxa"/>
          </w:tcPr>
          <w:p w14:paraId="1931282B"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1.3</w:t>
            </w:r>
          </w:p>
        </w:tc>
        <w:tc>
          <w:tcPr>
            <w:tcW w:w="900" w:type="dxa"/>
          </w:tcPr>
          <w:p w14:paraId="0DDEC6E0"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1.3</w:t>
            </w:r>
          </w:p>
        </w:tc>
        <w:tc>
          <w:tcPr>
            <w:tcW w:w="900" w:type="dxa"/>
          </w:tcPr>
          <w:p w14:paraId="36803D44"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1.9</w:t>
            </w:r>
          </w:p>
        </w:tc>
        <w:tc>
          <w:tcPr>
            <w:tcW w:w="976" w:type="dxa"/>
          </w:tcPr>
          <w:p w14:paraId="70BB34E3" w14:textId="77777777" w:rsidR="00A22B20" w:rsidRPr="00A22B20" w:rsidRDefault="00A22B20" w:rsidP="00A22B20">
            <w:pPr>
              <w:tabs>
                <w:tab w:val="decimal" w:pos="90"/>
                <w:tab w:val="left" w:pos="198"/>
                <w:tab w:val="left" w:pos="433"/>
                <w:tab w:val="left" w:pos="720"/>
              </w:tabs>
              <w:autoSpaceDE w:val="0"/>
              <w:autoSpaceDN w:val="0"/>
              <w:adjustRightInd w:val="0"/>
              <w:spacing w:line="240" w:lineRule="auto"/>
              <w:jc w:val="right"/>
              <w:textAlignment w:val="center"/>
              <w:rPr>
                <w:rFonts w:cs="Arial"/>
                <w:color w:val="000000" w:themeColor="text1"/>
                <w:sz w:val="20"/>
                <w:szCs w:val="20"/>
              </w:rPr>
            </w:pPr>
            <w:r w:rsidRPr="00A22B20">
              <w:rPr>
                <w:rFonts w:cs="Arial"/>
                <w:b/>
                <w:bCs/>
                <w:color w:val="000000" w:themeColor="text1"/>
                <w:sz w:val="20"/>
                <w:szCs w:val="20"/>
              </w:rPr>
              <w:t>2.0</w:t>
            </w:r>
          </w:p>
        </w:tc>
      </w:tr>
    </w:tbl>
    <w:p w14:paraId="35040B85" w14:textId="77777777" w:rsidR="00A22B20" w:rsidRDefault="00A22B20" w:rsidP="00A22B20">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ascii="Axiforma" w:hAnsi="Axiforma" w:cs="Axiforma"/>
          <w:color w:val="000000"/>
          <w:sz w:val="16"/>
          <w:szCs w:val="16"/>
        </w:rPr>
      </w:pPr>
    </w:p>
    <w:p w14:paraId="0DCFB067" w14:textId="53350B6C" w:rsidR="00A22B20" w:rsidRPr="00A22B20" w:rsidRDefault="00A22B20" w:rsidP="00A22B20">
      <w:r w:rsidRPr="00A22B20">
        <w:t>Substantially all plan assets are classified as level 2 instruments.</w:t>
      </w:r>
    </w:p>
    <w:p w14:paraId="0BB4856D" w14:textId="77777777" w:rsidR="007D14A7" w:rsidRDefault="007D14A7">
      <w:pPr>
        <w:spacing w:line="240" w:lineRule="auto"/>
      </w:pPr>
      <w:r>
        <w:br w:type="page"/>
      </w:r>
    </w:p>
    <w:p w14:paraId="72D8CB0F" w14:textId="636A9A76" w:rsidR="007D14A7" w:rsidRPr="007D14A7" w:rsidRDefault="007D14A7" w:rsidP="007430D9">
      <w:pPr>
        <w:pStyle w:val="Heading2"/>
      </w:pPr>
      <w:bookmarkStart w:id="305" w:name="_Toc213058737"/>
      <w:r w:rsidRPr="007D14A7">
        <w:lastRenderedPageBreak/>
        <w:t>21. Directors’ and Employees’ Staff Costs</w:t>
      </w:r>
      <w:bookmarkEnd w:id="305"/>
    </w:p>
    <w:p w14:paraId="31EE7CED" w14:textId="01F2E135" w:rsidR="00A22B20" w:rsidRPr="007D14A7" w:rsidRDefault="007D14A7" w:rsidP="007430D9">
      <w:pPr>
        <w:pStyle w:val="Heading3"/>
      </w:pPr>
      <w:bookmarkStart w:id="306" w:name="_Toc213058738"/>
      <w:r w:rsidRPr="007D14A7">
        <w:t>Staff Costs</w:t>
      </w:r>
      <w:bookmarkEnd w:id="306"/>
    </w:p>
    <w:tbl>
      <w:tblPr>
        <w:tblStyle w:val="TableGrid"/>
        <w:tblW w:w="0" w:type="auto"/>
        <w:tblLayout w:type="fixed"/>
        <w:tblLook w:val="0000" w:firstRow="0" w:lastRow="0" w:firstColumn="0" w:lastColumn="0" w:noHBand="0" w:noVBand="0"/>
      </w:tblPr>
      <w:tblGrid>
        <w:gridCol w:w="5098"/>
        <w:gridCol w:w="1560"/>
        <w:gridCol w:w="1417"/>
      </w:tblGrid>
      <w:tr w:rsidR="007D14A7" w:rsidRPr="007D14A7" w14:paraId="380B751C" w14:textId="77777777" w:rsidTr="007D14A7">
        <w:trPr>
          <w:trHeight w:val="283"/>
        </w:trPr>
        <w:tc>
          <w:tcPr>
            <w:tcW w:w="5098" w:type="dxa"/>
          </w:tcPr>
          <w:p w14:paraId="645D7E78"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b/>
                <w:bCs/>
                <w:color w:val="000000" w:themeColor="text1"/>
                <w:sz w:val="20"/>
                <w:szCs w:val="20"/>
              </w:rPr>
              <w:t>Group</w:t>
            </w:r>
          </w:p>
        </w:tc>
        <w:tc>
          <w:tcPr>
            <w:tcW w:w="1560" w:type="dxa"/>
          </w:tcPr>
          <w:p w14:paraId="71C9B701"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2025</w:t>
            </w:r>
          </w:p>
          <w:p w14:paraId="627E936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c>
          <w:tcPr>
            <w:tcW w:w="1417" w:type="dxa"/>
          </w:tcPr>
          <w:p w14:paraId="2CE9C1CB"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2024</w:t>
            </w:r>
          </w:p>
          <w:p w14:paraId="1EBC4763"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r>
      <w:tr w:rsidR="007D14A7" w:rsidRPr="007D14A7" w14:paraId="191C82D6" w14:textId="77777777" w:rsidTr="007D14A7">
        <w:trPr>
          <w:trHeight w:val="283"/>
        </w:trPr>
        <w:tc>
          <w:tcPr>
            <w:tcW w:w="5098" w:type="dxa"/>
          </w:tcPr>
          <w:p w14:paraId="2A988C57"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Wages and salaries</w:t>
            </w:r>
          </w:p>
        </w:tc>
        <w:tc>
          <w:tcPr>
            <w:tcW w:w="1560" w:type="dxa"/>
          </w:tcPr>
          <w:p w14:paraId="394C9EED"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195,469</w:t>
            </w:r>
          </w:p>
        </w:tc>
        <w:tc>
          <w:tcPr>
            <w:tcW w:w="1417" w:type="dxa"/>
          </w:tcPr>
          <w:p w14:paraId="4B79C23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179,403</w:t>
            </w:r>
          </w:p>
        </w:tc>
      </w:tr>
      <w:tr w:rsidR="007D14A7" w:rsidRPr="007D14A7" w14:paraId="44ED7737" w14:textId="77777777" w:rsidTr="007D14A7">
        <w:trPr>
          <w:trHeight w:val="283"/>
        </w:trPr>
        <w:tc>
          <w:tcPr>
            <w:tcW w:w="5098" w:type="dxa"/>
          </w:tcPr>
          <w:p w14:paraId="75D410D3"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Social security costs</w:t>
            </w:r>
          </w:p>
        </w:tc>
        <w:tc>
          <w:tcPr>
            <w:tcW w:w="1560" w:type="dxa"/>
          </w:tcPr>
          <w:p w14:paraId="63965A9F"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21,199</w:t>
            </w:r>
          </w:p>
        </w:tc>
        <w:tc>
          <w:tcPr>
            <w:tcW w:w="1417" w:type="dxa"/>
          </w:tcPr>
          <w:p w14:paraId="1A1F7C3A"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18,558</w:t>
            </w:r>
          </w:p>
        </w:tc>
      </w:tr>
      <w:tr w:rsidR="007D14A7" w:rsidRPr="007D14A7" w14:paraId="33E064D6" w14:textId="77777777" w:rsidTr="007D14A7">
        <w:trPr>
          <w:trHeight w:val="283"/>
        </w:trPr>
        <w:tc>
          <w:tcPr>
            <w:tcW w:w="5098" w:type="dxa"/>
          </w:tcPr>
          <w:p w14:paraId="65035105"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Other pension costs</w:t>
            </w:r>
          </w:p>
        </w:tc>
        <w:tc>
          <w:tcPr>
            <w:tcW w:w="1560" w:type="dxa"/>
          </w:tcPr>
          <w:p w14:paraId="4B481710"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36,284</w:t>
            </w:r>
          </w:p>
        </w:tc>
        <w:tc>
          <w:tcPr>
            <w:tcW w:w="1417" w:type="dxa"/>
          </w:tcPr>
          <w:p w14:paraId="27A9B062"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34,445</w:t>
            </w:r>
          </w:p>
        </w:tc>
      </w:tr>
      <w:tr w:rsidR="007D14A7" w:rsidRPr="007D14A7" w14:paraId="2B4C907B" w14:textId="77777777" w:rsidTr="007D14A7">
        <w:trPr>
          <w:trHeight w:val="283"/>
        </w:trPr>
        <w:tc>
          <w:tcPr>
            <w:tcW w:w="5098" w:type="dxa"/>
          </w:tcPr>
          <w:p w14:paraId="4289394A"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c>
          <w:tcPr>
            <w:tcW w:w="1560" w:type="dxa"/>
          </w:tcPr>
          <w:p w14:paraId="256793AB"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252,952</w:t>
            </w:r>
          </w:p>
        </w:tc>
        <w:tc>
          <w:tcPr>
            <w:tcW w:w="1417" w:type="dxa"/>
          </w:tcPr>
          <w:p w14:paraId="1198BB0D"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232,406</w:t>
            </w:r>
          </w:p>
        </w:tc>
      </w:tr>
    </w:tbl>
    <w:p w14:paraId="7480AC59" w14:textId="77777777" w:rsidR="007D14A7" w:rsidRPr="00A22B20" w:rsidRDefault="007D14A7" w:rsidP="007D14A7">
      <w:pPr>
        <w:rPr>
          <w:i/>
          <w:iCs/>
        </w:rPr>
      </w:pPr>
    </w:p>
    <w:p w14:paraId="25002C65" w14:textId="77777777" w:rsidR="007D14A7" w:rsidRDefault="007D14A7" w:rsidP="007430D9">
      <w:pPr>
        <w:pStyle w:val="Heading3"/>
      </w:pPr>
      <w:bookmarkStart w:id="307" w:name="_Toc213058739"/>
      <w:r w:rsidRPr="007D14A7">
        <w:t>Number of Employees (Group)</w:t>
      </w:r>
      <w:bookmarkEnd w:id="307"/>
    </w:p>
    <w:tbl>
      <w:tblPr>
        <w:tblStyle w:val="TableGrid"/>
        <w:tblW w:w="0" w:type="auto"/>
        <w:tblLayout w:type="fixed"/>
        <w:tblLook w:val="0000" w:firstRow="0" w:lastRow="0" w:firstColumn="0" w:lastColumn="0" w:noHBand="0" w:noVBand="0"/>
      </w:tblPr>
      <w:tblGrid>
        <w:gridCol w:w="5098"/>
        <w:gridCol w:w="1560"/>
        <w:gridCol w:w="1417"/>
      </w:tblGrid>
      <w:tr w:rsidR="007D14A7" w:rsidRPr="007D14A7" w14:paraId="4B8D05D2" w14:textId="77777777" w:rsidTr="007D14A7">
        <w:trPr>
          <w:trHeight w:val="60"/>
        </w:trPr>
        <w:tc>
          <w:tcPr>
            <w:tcW w:w="5098" w:type="dxa"/>
          </w:tcPr>
          <w:p w14:paraId="7844364B"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c>
          <w:tcPr>
            <w:tcW w:w="1560" w:type="dxa"/>
          </w:tcPr>
          <w:p w14:paraId="6BE3D8AC"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2025</w:t>
            </w:r>
          </w:p>
          <w:p w14:paraId="1EFC413D"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lang w:bidi="ar-YE"/>
              </w:rPr>
              <w:t>FTE</w:t>
            </w:r>
          </w:p>
        </w:tc>
        <w:tc>
          <w:tcPr>
            <w:tcW w:w="1417" w:type="dxa"/>
          </w:tcPr>
          <w:p w14:paraId="4E5F7349"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2024</w:t>
            </w:r>
          </w:p>
          <w:p w14:paraId="3ED6A53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lang w:bidi="ar-YE"/>
              </w:rPr>
              <w:t>FTE</w:t>
            </w:r>
          </w:p>
        </w:tc>
      </w:tr>
      <w:tr w:rsidR="007D14A7" w:rsidRPr="007D14A7" w14:paraId="37263941" w14:textId="77777777" w:rsidTr="007D14A7">
        <w:trPr>
          <w:trHeight w:val="60"/>
        </w:trPr>
        <w:tc>
          <w:tcPr>
            <w:tcW w:w="5098" w:type="dxa"/>
          </w:tcPr>
          <w:p w14:paraId="7C253721"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Average</w:t>
            </w:r>
          </w:p>
        </w:tc>
        <w:tc>
          <w:tcPr>
            <w:tcW w:w="1560" w:type="dxa"/>
          </w:tcPr>
          <w:p w14:paraId="3AC0F821"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c>
          <w:tcPr>
            <w:tcW w:w="1417" w:type="dxa"/>
          </w:tcPr>
          <w:p w14:paraId="17FBEFAB"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r>
      <w:tr w:rsidR="007D14A7" w:rsidRPr="007D14A7" w14:paraId="6A12DB7C" w14:textId="77777777" w:rsidTr="007D14A7">
        <w:trPr>
          <w:trHeight w:val="60"/>
        </w:trPr>
        <w:tc>
          <w:tcPr>
            <w:tcW w:w="5098" w:type="dxa"/>
          </w:tcPr>
          <w:p w14:paraId="506F4D0D"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Operating</w:t>
            </w:r>
          </w:p>
        </w:tc>
        <w:tc>
          <w:tcPr>
            <w:tcW w:w="1560" w:type="dxa"/>
          </w:tcPr>
          <w:p w14:paraId="58EBCEC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2,632</w:t>
            </w:r>
          </w:p>
        </w:tc>
        <w:tc>
          <w:tcPr>
            <w:tcW w:w="1417" w:type="dxa"/>
          </w:tcPr>
          <w:p w14:paraId="69688713"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2,525</w:t>
            </w:r>
          </w:p>
        </w:tc>
      </w:tr>
      <w:tr w:rsidR="007D14A7" w:rsidRPr="007D14A7" w14:paraId="7226A64E" w14:textId="77777777" w:rsidTr="007D14A7">
        <w:trPr>
          <w:trHeight w:val="60"/>
        </w:trPr>
        <w:tc>
          <w:tcPr>
            <w:tcW w:w="5098" w:type="dxa"/>
          </w:tcPr>
          <w:p w14:paraId="707B205A"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Maintenance</w:t>
            </w:r>
          </w:p>
        </w:tc>
        <w:tc>
          <w:tcPr>
            <w:tcW w:w="1560" w:type="dxa"/>
          </w:tcPr>
          <w:p w14:paraId="3E9503A6"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894</w:t>
            </w:r>
          </w:p>
        </w:tc>
        <w:tc>
          <w:tcPr>
            <w:tcW w:w="1417" w:type="dxa"/>
          </w:tcPr>
          <w:p w14:paraId="75B9C0CE"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876</w:t>
            </w:r>
          </w:p>
        </w:tc>
      </w:tr>
      <w:tr w:rsidR="007D14A7" w:rsidRPr="007D14A7" w14:paraId="2351308C" w14:textId="77777777" w:rsidTr="007D14A7">
        <w:trPr>
          <w:trHeight w:val="257"/>
        </w:trPr>
        <w:tc>
          <w:tcPr>
            <w:tcW w:w="5098" w:type="dxa"/>
          </w:tcPr>
          <w:p w14:paraId="4FC6E7C2"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Administration</w:t>
            </w:r>
          </w:p>
        </w:tc>
        <w:tc>
          <w:tcPr>
            <w:tcW w:w="1560" w:type="dxa"/>
          </w:tcPr>
          <w:p w14:paraId="1CB5ED32"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838</w:t>
            </w:r>
          </w:p>
        </w:tc>
        <w:tc>
          <w:tcPr>
            <w:tcW w:w="1417" w:type="dxa"/>
          </w:tcPr>
          <w:p w14:paraId="0A596A5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784</w:t>
            </w:r>
          </w:p>
        </w:tc>
      </w:tr>
      <w:tr w:rsidR="007D14A7" w:rsidRPr="007D14A7" w14:paraId="0549EC35" w14:textId="77777777" w:rsidTr="007D14A7">
        <w:trPr>
          <w:trHeight w:hRule="exact" w:val="340"/>
        </w:trPr>
        <w:tc>
          <w:tcPr>
            <w:tcW w:w="5098" w:type="dxa"/>
          </w:tcPr>
          <w:p w14:paraId="7CC03363"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c>
          <w:tcPr>
            <w:tcW w:w="1560" w:type="dxa"/>
          </w:tcPr>
          <w:p w14:paraId="74805692"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4,364</w:t>
            </w:r>
          </w:p>
        </w:tc>
        <w:tc>
          <w:tcPr>
            <w:tcW w:w="1417" w:type="dxa"/>
          </w:tcPr>
          <w:p w14:paraId="7A8617BF"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4,185</w:t>
            </w:r>
          </w:p>
        </w:tc>
      </w:tr>
      <w:tr w:rsidR="007D14A7" w:rsidRPr="007D14A7" w14:paraId="06976E56" w14:textId="77777777" w:rsidTr="007D14A7">
        <w:trPr>
          <w:trHeight w:hRule="exact" w:val="340"/>
        </w:trPr>
        <w:tc>
          <w:tcPr>
            <w:tcW w:w="5098" w:type="dxa"/>
          </w:tcPr>
          <w:p w14:paraId="7FF75D6E"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b/>
                <w:bCs/>
                <w:color w:val="000000" w:themeColor="text1"/>
                <w:sz w:val="20"/>
                <w:szCs w:val="20"/>
              </w:rPr>
              <w:t>Total number of employees at the end of the period</w:t>
            </w:r>
          </w:p>
        </w:tc>
        <w:tc>
          <w:tcPr>
            <w:tcW w:w="1560" w:type="dxa"/>
          </w:tcPr>
          <w:p w14:paraId="4FC83D4C"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4,405</w:t>
            </w:r>
          </w:p>
        </w:tc>
        <w:tc>
          <w:tcPr>
            <w:tcW w:w="1417" w:type="dxa"/>
          </w:tcPr>
          <w:p w14:paraId="4FE45B82"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4,239</w:t>
            </w:r>
          </w:p>
        </w:tc>
      </w:tr>
    </w:tbl>
    <w:p w14:paraId="0362EDB6" w14:textId="77777777" w:rsidR="007D14A7" w:rsidRDefault="007D14A7" w:rsidP="007D14A7">
      <w:pPr>
        <w:pStyle w:val="TableBody0"/>
        <w:tabs>
          <w:tab w:val="left" w:pos="170"/>
          <w:tab w:val="left" w:pos="380"/>
          <w:tab w:val="left" w:pos="560"/>
          <w:tab w:val="left" w:pos="620"/>
          <w:tab w:val="left" w:pos="840"/>
          <w:tab w:val="left" w:pos="900"/>
          <w:tab w:val="right" w:pos="3960"/>
          <w:tab w:val="right" w:pos="4740"/>
          <w:tab w:val="right" w:pos="4940"/>
          <w:tab w:val="right" w:pos="6060"/>
          <w:tab w:val="right" w:pos="7500"/>
          <w:tab w:val="right" w:pos="8940"/>
        </w:tabs>
        <w:spacing w:after="57"/>
        <w:rPr>
          <w:rFonts w:ascii="Arial" w:hAnsi="Arial" w:cs="Arial"/>
          <w:color w:val="000000" w:themeColor="text1"/>
          <w:sz w:val="24"/>
          <w:szCs w:val="24"/>
        </w:rPr>
      </w:pPr>
    </w:p>
    <w:p w14:paraId="77DC3963" w14:textId="20E86931" w:rsidR="007D14A7" w:rsidRPr="007D14A7" w:rsidRDefault="007D14A7" w:rsidP="007D14A7">
      <w:pPr>
        <w:rPr>
          <w:rFonts w:cs="Arial"/>
        </w:rPr>
      </w:pPr>
      <w:r w:rsidRPr="007D14A7">
        <w:rPr>
          <w:rFonts w:cs="Arial"/>
        </w:rPr>
        <w:t>The increase in administration is due to project maintenance support required for the ongoing extensive programme of capital works</w:t>
      </w:r>
    </w:p>
    <w:p w14:paraId="569280D3" w14:textId="77777777" w:rsidR="007D14A7" w:rsidRPr="007D14A7" w:rsidRDefault="007D14A7" w:rsidP="007D14A7">
      <w:pPr>
        <w:rPr>
          <w:rFonts w:cs="Arial"/>
        </w:rPr>
      </w:pPr>
    </w:p>
    <w:p w14:paraId="4D651437" w14:textId="77777777" w:rsidR="007D14A7" w:rsidRDefault="007D14A7" w:rsidP="007430D9">
      <w:pPr>
        <w:pStyle w:val="Heading3"/>
      </w:pPr>
      <w:bookmarkStart w:id="308" w:name="_Toc213058740"/>
      <w:r w:rsidRPr="007D14A7">
        <w:t>Directors’ Emoluments (Excluding Non-executive Directors)</w:t>
      </w:r>
      <w:bookmarkEnd w:id="308"/>
    </w:p>
    <w:tbl>
      <w:tblPr>
        <w:tblStyle w:val="TableGrid"/>
        <w:tblW w:w="0" w:type="auto"/>
        <w:tblLayout w:type="fixed"/>
        <w:tblLook w:val="0000" w:firstRow="0" w:lastRow="0" w:firstColumn="0" w:lastColumn="0" w:noHBand="0" w:noVBand="0"/>
      </w:tblPr>
      <w:tblGrid>
        <w:gridCol w:w="5098"/>
        <w:gridCol w:w="1560"/>
        <w:gridCol w:w="1417"/>
      </w:tblGrid>
      <w:tr w:rsidR="007D14A7" w:rsidRPr="007D14A7" w14:paraId="1BB28469" w14:textId="77777777" w:rsidTr="003E25FA">
        <w:trPr>
          <w:trHeight w:val="624"/>
        </w:trPr>
        <w:tc>
          <w:tcPr>
            <w:tcW w:w="5098" w:type="dxa"/>
            <w:vAlign w:val="center"/>
          </w:tcPr>
          <w:p w14:paraId="58CA66C0" w14:textId="77777777" w:rsidR="007D14A7" w:rsidRPr="007D14A7" w:rsidRDefault="007D14A7" w:rsidP="003E25FA">
            <w:pPr>
              <w:autoSpaceDE w:val="0"/>
              <w:autoSpaceDN w:val="0"/>
              <w:adjustRightInd w:val="0"/>
              <w:spacing w:line="240" w:lineRule="auto"/>
              <w:jc w:val="right"/>
              <w:rPr>
                <w:rFonts w:cs="Arial"/>
                <w:color w:val="000000" w:themeColor="text1"/>
                <w:sz w:val="20"/>
                <w:szCs w:val="20"/>
              </w:rPr>
            </w:pPr>
          </w:p>
        </w:tc>
        <w:tc>
          <w:tcPr>
            <w:tcW w:w="1560" w:type="dxa"/>
            <w:vAlign w:val="center"/>
          </w:tcPr>
          <w:p w14:paraId="67D4CA82"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2025</w:t>
            </w:r>
          </w:p>
          <w:p w14:paraId="6969D99B"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c>
          <w:tcPr>
            <w:tcW w:w="1417" w:type="dxa"/>
            <w:vAlign w:val="center"/>
          </w:tcPr>
          <w:p w14:paraId="1CCDFD3B"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2024</w:t>
            </w:r>
          </w:p>
          <w:p w14:paraId="257885D2"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r>
      <w:tr w:rsidR="007D14A7" w:rsidRPr="007D14A7" w14:paraId="0BD4D65B" w14:textId="77777777" w:rsidTr="003E25FA">
        <w:trPr>
          <w:trHeight w:val="283"/>
        </w:trPr>
        <w:tc>
          <w:tcPr>
            <w:tcW w:w="5098" w:type="dxa"/>
            <w:vAlign w:val="center"/>
          </w:tcPr>
          <w:p w14:paraId="2A8E6FAF" w14:textId="77777777" w:rsidR="007D14A7" w:rsidRPr="007D14A7" w:rsidRDefault="007D14A7" w:rsidP="003E25FA">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Basic salary and fees</w:t>
            </w:r>
          </w:p>
        </w:tc>
        <w:tc>
          <w:tcPr>
            <w:tcW w:w="1560" w:type="dxa"/>
            <w:vAlign w:val="center"/>
          </w:tcPr>
          <w:p w14:paraId="355F679D"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191</w:t>
            </w:r>
          </w:p>
        </w:tc>
        <w:tc>
          <w:tcPr>
            <w:tcW w:w="1417" w:type="dxa"/>
            <w:vAlign w:val="center"/>
          </w:tcPr>
          <w:p w14:paraId="2816C01D"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383</w:t>
            </w:r>
          </w:p>
        </w:tc>
      </w:tr>
      <w:tr w:rsidR="007D14A7" w:rsidRPr="007D14A7" w14:paraId="43BB0B04" w14:textId="77777777" w:rsidTr="003E25FA">
        <w:trPr>
          <w:trHeight w:val="283"/>
        </w:trPr>
        <w:tc>
          <w:tcPr>
            <w:tcW w:w="5098" w:type="dxa"/>
            <w:vAlign w:val="center"/>
          </w:tcPr>
          <w:p w14:paraId="7F300EE9" w14:textId="77777777" w:rsidR="007D14A7" w:rsidRPr="007D14A7" w:rsidRDefault="007D14A7" w:rsidP="003E25FA">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Benefits in kind</w:t>
            </w:r>
          </w:p>
        </w:tc>
        <w:tc>
          <w:tcPr>
            <w:tcW w:w="1560" w:type="dxa"/>
            <w:vAlign w:val="center"/>
          </w:tcPr>
          <w:p w14:paraId="71B90723"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w:t>
            </w:r>
          </w:p>
        </w:tc>
        <w:tc>
          <w:tcPr>
            <w:tcW w:w="1417" w:type="dxa"/>
            <w:vAlign w:val="center"/>
          </w:tcPr>
          <w:p w14:paraId="6253CBB7"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4</w:t>
            </w:r>
          </w:p>
        </w:tc>
      </w:tr>
      <w:tr w:rsidR="007D14A7" w:rsidRPr="007D14A7" w14:paraId="262A748F" w14:textId="77777777" w:rsidTr="003E25FA">
        <w:trPr>
          <w:trHeight w:val="283"/>
        </w:trPr>
        <w:tc>
          <w:tcPr>
            <w:tcW w:w="5098" w:type="dxa"/>
            <w:vAlign w:val="center"/>
          </w:tcPr>
          <w:p w14:paraId="79A262A1" w14:textId="77777777" w:rsidR="007D14A7" w:rsidRPr="007D14A7" w:rsidRDefault="007D14A7" w:rsidP="003E25FA">
            <w:pPr>
              <w:autoSpaceDE w:val="0"/>
              <w:autoSpaceDN w:val="0"/>
              <w:adjustRightInd w:val="0"/>
              <w:spacing w:line="240" w:lineRule="auto"/>
              <w:rPr>
                <w:rFonts w:cs="Arial"/>
                <w:color w:val="000000" w:themeColor="text1"/>
                <w:sz w:val="20"/>
                <w:szCs w:val="20"/>
              </w:rPr>
            </w:pPr>
          </w:p>
        </w:tc>
        <w:tc>
          <w:tcPr>
            <w:tcW w:w="1560" w:type="dxa"/>
            <w:vAlign w:val="center"/>
          </w:tcPr>
          <w:p w14:paraId="65AEB3F2"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191</w:t>
            </w:r>
          </w:p>
        </w:tc>
        <w:tc>
          <w:tcPr>
            <w:tcW w:w="1417" w:type="dxa"/>
            <w:vAlign w:val="center"/>
          </w:tcPr>
          <w:p w14:paraId="7A3A35AF"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387</w:t>
            </w:r>
          </w:p>
        </w:tc>
      </w:tr>
      <w:tr w:rsidR="007D14A7" w:rsidRPr="007D14A7" w14:paraId="1EA2C88A" w14:textId="77777777" w:rsidTr="003E25FA">
        <w:trPr>
          <w:trHeight w:val="283"/>
        </w:trPr>
        <w:tc>
          <w:tcPr>
            <w:tcW w:w="5098" w:type="dxa"/>
            <w:vAlign w:val="center"/>
          </w:tcPr>
          <w:p w14:paraId="45C660B3" w14:textId="77777777" w:rsidR="007D14A7" w:rsidRPr="007D14A7" w:rsidRDefault="007D14A7" w:rsidP="003E25FA">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Pension contributions</w:t>
            </w:r>
          </w:p>
        </w:tc>
        <w:tc>
          <w:tcPr>
            <w:tcW w:w="1560" w:type="dxa"/>
            <w:vAlign w:val="center"/>
          </w:tcPr>
          <w:p w14:paraId="66788931"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36</w:t>
            </w:r>
          </w:p>
        </w:tc>
        <w:tc>
          <w:tcPr>
            <w:tcW w:w="1417" w:type="dxa"/>
            <w:vAlign w:val="center"/>
          </w:tcPr>
          <w:p w14:paraId="393418A8"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69</w:t>
            </w:r>
          </w:p>
        </w:tc>
      </w:tr>
      <w:tr w:rsidR="007D14A7" w:rsidRPr="007D14A7" w14:paraId="286A625C" w14:textId="77777777" w:rsidTr="003E25FA">
        <w:trPr>
          <w:trHeight w:val="283"/>
        </w:trPr>
        <w:tc>
          <w:tcPr>
            <w:tcW w:w="5098" w:type="dxa"/>
            <w:vAlign w:val="center"/>
          </w:tcPr>
          <w:p w14:paraId="65F41200" w14:textId="77777777" w:rsidR="007D14A7" w:rsidRPr="007D14A7" w:rsidRDefault="007D14A7" w:rsidP="003E25FA">
            <w:pPr>
              <w:autoSpaceDE w:val="0"/>
              <w:autoSpaceDN w:val="0"/>
              <w:adjustRightInd w:val="0"/>
              <w:spacing w:line="240" w:lineRule="auto"/>
              <w:rPr>
                <w:rFonts w:cs="Arial"/>
                <w:color w:val="000000" w:themeColor="text1"/>
                <w:sz w:val="20"/>
                <w:szCs w:val="20"/>
              </w:rPr>
            </w:pPr>
          </w:p>
        </w:tc>
        <w:tc>
          <w:tcPr>
            <w:tcW w:w="1560" w:type="dxa"/>
            <w:vAlign w:val="center"/>
          </w:tcPr>
          <w:p w14:paraId="5F6368DC"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227</w:t>
            </w:r>
          </w:p>
        </w:tc>
        <w:tc>
          <w:tcPr>
            <w:tcW w:w="1417" w:type="dxa"/>
            <w:vAlign w:val="center"/>
          </w:tcPr>
          <w:p w14:paraId="03BA981E"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Pr>
              <w:t>456</w:t>
            </w:r>
          </w:p>
        </w:tc>
      </w:tr>
    </w:tbl>
    <w:p w14:paraId="48A935F1" w14:textId="77777777" w:rsidR="007D14A7" w:rsidRPr="007D14A7" w:rsidRDefault="007D14A7" w:rsidP="007D14A7">
      <w:pPr>
        <w:rPr>
          <w:rFonts w:cs="Arial"/>
          <w:b/>
          <w:bCs/>
          <w:color w:val="000000" w:themeColor="text1"/>
        </w:rPr>
      </w:pPr>
    </w:p>
    <w:tbl>
      <w:tblPr>
        <w:tblStyle w:val="TableGrid"/>
        <w:tblW w:w="0" w:type="auto"/>
        <w:tblLayout w:type="fixed"/>
        <w:tblLook w:val="0000" w:firstRow="0" w:lastRow="0" w:firstColumn="0" w:lastColumn="0" w:noHBand="0" w:noVBand="0"/>
      </w:tblPr>
      <w:tblGrid>
        <w:gridCol w:w="5098"/>
        <w:gridCol w:w="1560"/>
        <w:gridCol w:w="1417"/>
      </w:tblGrid>
      <w:tr w:rsidR="007D14A7" w:rsidRPr="007D14A7" w14:paraId="33D2EE96" w14:textId="77777777" w:rsidTr="003E25FA">
        <w:trPr>
          <w:trHeight w:val="60"/>
        </w:trPr>
        <w:tc>
          <w:tcPr>
            <w:tcW w:w="5098" w:type="dxa"/>
          </w:tcPr>
          <w:p w14:paraId="2B1C7264" w14:textId="77777777" w:rsidR="007D14A7" w:rsidRPr="007D14A7" w:rsidRDefault="007D14A7" w:rsidP="007D14A7">
            <w:pPr>
              <w:autoSpaceDE w:val="0"/>
              <w:autoSpaceDN w:val="0"/>
              <w:adjustRightInd w:val="0"/>
              <w:spacing w:line="240" w:lineRule="auto"/>
              <w:rPr>
                <w:rFonts w:cs="Arial"/>
                <w:color w:val="000000" w:themeColor="text1"/>
                <w:sz w:val="20"/>
                <w:szCs w:val="20"/>
              </w:rPr>
            </w:pPr>
          </w:p>
        </w:tc>
        <w:tc>
          <w:tcPr>
            <w:tcW w:w="1560" w:type="dxa"/>
            <w:vAlign w:val="center"/>
          </w:tcPr>
          <w:p w14:paraId="7D5D3500"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7D14A7">
              <w:rPr>
                <w:rFonts w:cs="Arial"/>
                <w:b/>
                <w:bCs/>
                <w:color w:val="000000" w:themeColor="text1"/>
                <w:sz w:val="20"/>
                <w:szCs w:val="20"/>
              </w:rPr>
              <w:t>2025</w:t>
            </w:r>
          </w:p>
          <w:p w14:paraId="7BC7368F"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7D14A7">
              <w:rPr>
                <w:rFonts w:cs="Arial"/>
                <w:b/>
                <w:bCs/>
                <w:color w:val="000000" w:themeColor="text1"/>
                <w:sz w:val="20"/>
                <w:szCs w:val="20"/>
                <w:lang w:bidi="ar-YE"/>
              </w:rPr>
              <w:t>No</w:t>
            </w:r>
            <w:r w:rsidRPr="007D14A7">
              <w:rPr>
                <w:rFonts w:cs="Arial"/>
                <w:b/>
                <w:bCs/>
                <w:color w:val="000000" w:themeColor="text1"/>
                <w:sz w:val="20"/>
                <w:szCs w:val="20"/>
                <w:rtl/>
                <w:lang w:bidi="ar-YE"/>
              </w:rPr>
              <w:t>.</w:t>
            </w:r>
          </w:p>
        </w:tc>
        <w:tc>
          <w:tcPr>
            <w:tcW w:w="1417" w:type="dxa"/>
            <w:vAlign w:val="center"/>
          </w:tcPr>
          <w:p w14:paraId="24850C01"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b/>
                <w:bCs/>
                <w:color w:val="000000" w:themeColor="text1"/>
                <w:sz w:val="20"/>
                <w:szCs w:val="20"/>
              </w:rPr>
            </w:pPr>
            <w:r w:rsidRPr="007D14A7">
              <w:rPr>
                <w:rFonts w:cs="Arial"/>
                <w:b/>
                <w:bCs/>
                <w:color w:val="000000" w:themeColor="text1"/>
                <w:sz w:val="20"/>
                <w:szCs w:val="20"/>
              </w:rPr>
              <w:t>2024</w:t>
            </w:r>
          </w:p>
          <w:p w14:paraId="1F2A462D"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7D14A7">
              <w:rPr>
                <w:rFonts w:cs="Arial"/>
                <w:b/>
                <w:bCs/>
                <w:color w:val="000000" w:themeColor="text1"/>
                <w:sz w:val="20"/>
                <w:szCs w:val="20"/>
                <w:lang w:bidi="ar-YE"/>
              </w:rPr>
              <w:t>No</w:t>
            </w:r>
            <w:r w:rsidRPr="007D14A7">
              <w:rPr>
                <w:rFonts w:cs="Arial"/>
                <w:b/>
                <w:bCs/>
                <w:color w:val="000000" w:themeColor="text1"/>
                <w:sz w:val="20"/>
                <w:szCs w:val="20"/>
                <w:rtl/>
                <w:lang w:bidi="ar-YE"/>
              </w:rPr>
              <w:t>.</w:t>
            </w:r>
          </w:p>
        </w:tc>
      </w:tr>
      <w:tr w:rsidR="007D14A7" w:rsidRPr="007D14A7" w14:paraId="0D30AAA8" w14:textId="77777777" w:rsidTr="003E25FA">
        <w:trPr>
          <w:trHeight w:val="285"/>
        </w:trPr>
        <w:tc>
          <w:tcPr>
            <w:tcW w:w="5098" w:type="dxa"/>
          </w:tcPr>
          <w:p w14:paraId="3E17B9D9" w14:textId="77777777" w:rsidR="007D14A7" w:rsidRPr="007D14A7" w:rsidRDefault="007D14A7" w:rsidP="007D14A7">
            <w:pPr>
              <w:autoSpaceDE w:val="0"/>
              <w:autoSpaceDN w:val="0"/>
              <w:adjustRightInd w:val="0"/>
              <w:spacing w:line="288" w:lineRule="auto"/>
              <w:textAlignment w:val="center"/>
              <w:rPr>
                <w:rFonts w:cs="Arial"/>
                <w:color w:val="000000" w:themeColor="text1"/>
                <w:sz w:val="20"/>
                <w:szCs w:val="20"/>
              </w:rPr>
            </w:pPr>
            <w:r w:rsidRPr="007D14A7">
              <w:rPr>
                <w:rFonts w:cs="Arial"/>
                <w:color w:val="000000" w:themeColor="text1"/>
                <w:sz w:val="20"/>
                <w:szCs w:val="20"/>
              </w:rPr>
              <w:t>Members of defined benefit pension schemes</w:t>
            </w:r>
          </w:p>
        </w:tc>
        <w:tc>
          <w:tcPr>
            <w:tcW w:w="1560" w:type="dxa"/>
            <w:vAlign w:val="center"/>
          </w:tcPr>
          <w:p w14:paraId="2F418D01"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7D14A7">
              <w:rPr>
                <w:rFonts w:cs="Arial"/>
                <w:b/>
                <w:bCs/>
                <w:color w:val="000000" w:themeColor="text1"/>
                <w:sz w:val="20"/>
                <w:szCs w:val="20"/>
              </w:rPr>
              <w:t>1</w:t>
            </w:r>
          </w:p>
        </w:tc>
        <w:tc>
          <w:tcPr>
            <w:tcW w:w="1417" w:type="dxa"/>
            <w:vAlign w:val="center"/>
          </w:tcPr>
          <w:p w14:paraId="00CB2AAC" w14:textId="77777777" w:rsidR="007D14A7" w:rsidRPr="007D14A7" w:rsidRDefault="007D14A7" w:rsidP="003E25FA">
            <w:pPr>
              <w:tabs>
                <w:tab w:val="decimal" w:pos="1122"/>
              </w:tabs>
              <w:autoSpaceDE w:val="0"/>
              <w:autoSpaceDN w:val="0"/>
              <w:adjustRightInd w:val="0"/>
              <w:spacing w:line="288" w:lineRule="auto"/>
              <w:jc w:val="right"/>
              <w:textAlignment w:val="center"/>
              <w:rPr>
                <w:rFonts w:cs="Arial"/>
                <w:color w:val="000000" w:themeColor="text1"/>
                <w:sz w:val="20"/>
                <w:szCs w:val="20"/>
              </w:rPr>
            </w:pPr>
            <w:r w:rsidRPr="007D14A7">
              <w:rPr>
                <w:rFonts w:cs="Arial"/>
                <w:b/>
                <w:bCs/>
                <w:color w:val="000000" w:themeColor="text1"/>
                <w:sz w:val="20"/>
                <w:szCs w:val="20"/>
              </w:rPr>
              <w:t>1</w:t>
            </w:r>
          </w:p>
        </w:tc>
      </w:tr>
    </w:tbl>
    <w:p w14:paraId="068D2D60" w14:textId="77777777" w:rsidR="007D14A7" w:rsidRPr="007D14A7" w:rsidRDefault="007D14A7" w:rsidP="007D14A7">
      <w:pPr>
        <w:pStyle w:val="TableBody0"/>
        <w:tabs>
          <w:tab w:val="left" w:pos="170"/>
          <w:tab w:val="left" w:pos="380"/>
          <w:tab w:val="left" w:pos="560"/>
          <w:tab w:val="left" w:pos="620"/>
          <w:tab w:val="left" w:pos="840"/>
          <w:tab w:val="left" w:pos="900"/>
          <w:tab w:val="right" w:pos="3960"/>
          <w:tab w:val="right" w:pos="4740"/>
          <w:tab w:val="right" w:pos="4940"/>
          <w:tab w:val="right" w:pos="6060"/>
          <w:tab w:val="right" w:pos="7500"/>
          <w:tab w:val="right" w:pos="8940"/>
        </w:tabs>
        <w:spacing w:after="57"/>
        <w:rPr>
          <w:rFonts w:ascii="Arial" w:hAnsi="Arial" w:cs="Arial"/>
          <w:color w:val="000000" w:themeColor="text1"/>
          <w:sz w:val="24"/>
          <w:szCs w:val="24"/>
        </w:rPr>
      </w:pPr>
    </w:p>
    <w:p w14:paraId="67D2AAF0" w14:textId="77777777" w:rsidR="007D14A7" w:rsidRDefault="007D14A7" w:rsidP="007D14A7">
      <w:pPr>
        <w:rPr>
          <w:color w:val="000000" w:themeColor="text1"/>
        </w:rPr>
      </w:pPr>
      <w:r w:rsidRPr="007D14A7">
        <w:rPr>
          <w:color w:val="000000" w:themeColor="text1"/>
        </w:rPr>
        <w:t>The emoluments in respect of the highest paid Director in each period were as follows:</w:t>
      </w:r>
    </w:p>
    <w:tbl>
      <w:tblPr>
        <w:tblStyle w:val="TableGrid"/>
        <w:tblW w:w="0" w:type="auto"/>
        <w:tblLayout w:type="fixed"/>
        <w:tblLook w:val="0000" w:firstRow="0" w:lastRow="0" w:firstColumn="0" w:lastColumn="0" w:noHBand="0" w:noVBand="0"/>
      </w:tblPr>
      <w:tblGrid>
        <w:gridCol w:w="5098"/>
        <w:gridCol w:w="1560"/>
        <w:gridCol w:w="1417"/>
      </w:tblGrid>
      <w:tr w:rsidR="007D14A7" w:rsidRPr="007D14A7" w14:paraId="4607D219" w14:textId="77777777" w:rsidTr="003E25FA">
        <w:trPr>
          <w:trHeight w:val="624"/>
        </w:trPr>
        <w:tc>
          <w:tcPr>
            <w:tcW w:w="5098" w:type="dxa"/>
            <w:vAlign w:val="center"/>
          </w:tcPr>
          <w:p w14:paraId="760A2C69" w14:textId="77777777" w:rsidR="007D14A7" w:rsidRPr="007D14A7" w:rsidRDefault="007D14A7" w:rsidP="003E25FA">
            <w:pPr>
              <w:autoSpaceDE w:val="0"/>
              <w:autoSpaceDN w:val="0"/>
              <w:adjustRightInd w:val="0"/>
              <w:spacing w:line="240" w:lineRule="auto"/>
              <w:jc w:val="right"/>
              <w:rPr>
                <w:rFonts w:cs="Arial"/>
                <w:color w:val="000000" w:themeColor="text1"/>
                <w:sz w:val="20"/>
                <w:szCs w:val="20"/>
              </w:rPr>
            </w:pPr>
          </w:p>
        </w:tc>
        <w:tc>
          <w:tcPr>
            <w:tcW w:w="1560" w:type="dxa"/>
            <w:vAlign w:val="center"/>
          </w:tcPr>
          <w:p w14:paraId="7F56B366"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2025</w:t>
            </w:r>
          </w:p>
          <w:p w14:paraId="3C2D489D"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c>
          <w:tcPr>
            <w:tcW w:w="1417" w:type="dxa"/>
            <w:vAlign w:val="center"/>
          </w:tcPr>
          <w:p w14:paraId="304792EA"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7D14A7">
              <w:rPr>
                <w:rFonts w:cs="Arial"/>
                <w:b/>
                <w:bCs/>
                <w:color w:val="000000" w:themeColor="text1"/>
                <w:sz w:val="20"/>
                <w:szCs w:val="20"/>
              </w:rPr>
              <w:t>2024</w:t>
            </w:r>
          </w:p>
          <w:p w14:paraId="44DBF9B8" w14:textId="77777777" w:rsidR="007D14A7" w:rsidRPr="007D14A7" w:rsidRDefault="007D14A7"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b/>
                <w:bCs/>
                <w:color w:val="000000" w:themeColor="text1"/>
                <w:sz w:val="20"/>
                <w:szCs w:val="20"/>
                <w:rtl/>
                <w:lang w:bidi="ar-YE"/>
              </w:rPr>
              <w:t>£’000</w:t>
            </w:r>
          </w:p>
        </w:tc>
      </w:tr>
      <w:tr w:rsidR="007D14A7" w:rsidRPr="007D14A7" w14:paraId="0B41FAD2" w14:textId="77777777" w:rsidTr="003E25FA">
        <w:trPr>
          <w:trHeight w:val="283"/>
        </w:trPr>
        <w:tc>
          <w:tcPr>
            <w:tcW w:w="5098" w:type="dxa"/>
          </w:tcPr>
          <w:p w14:paraId="3513E326"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Emoluments</w:t>
            </w:r>
          </w:p>
        </w:tc>
        <w:tc>
          <w:tcPr>
            <w:tcW w:w="1560" w:type="dxa"/>
          </w:tcPr>
          <w:p w14:paraId="56FDE904"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191</w:t>
            </w:r>
          </w:p>
        </w:tc>
        <w:tc>
          <w:tcPr>
            <w:tcW w:w="1417" w:type="dxa"/>
          </w:tcPr>
          <w:p w14:paraId="65E131D7"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181</w:t>
            </w:r>
          </w:p>
        </w:tc>
      </w:tr>
      <w:tr w:rsidR="007D14A7" w:rsidRPr="007D14A7" w14:paraId="7ACA8567" w14:textId="77777777" w:rsidTr="003E25FA">
        <w:trPr>
          <w:trHeight w:val="283"/>
        </w:trPr>
        <w:tc>
          <w:tcPr>
            <w:tcW w:w="5098" w:type="dxa"/>
          </w:tcPr>
          <w:p w14:paraId="7D400B79" w14:textId="77777777" w:rsidR="007D14A7" w:rsidRPr="007D14A7" w:rsidRDefault="007D14A7" w:rsidP="007D14A7">
            <w:pPr>
              <w:autoSpaceDE w:val="0"/>
              <w:autoSpaceDN w:val="0"/>
              <w:adjustRightInd w:val="0"/>
              <w:spacing w:line="240" w:lineRule="auto"/>
              <w:textAlignment w:val="center"/>
              <w:rPr>
                <w:rFonts w:cs="Arial"/>
                <w:color w:val="000000" w:themeColor="text1"/>
                <w:sz w:val="20"/>
                <w:szCs w:val="20"/>
              </w:rPr>
            </w:pPr>
            <w:r w:rsidRPr="007D14A7">
              <w:rPr>
                <w:rFonts w:cs="Arial"/>
                <w:color w:val="000000" w:themeColor="text1"/>
                <w:sz w:val="20"/>
                <w:szCs w:val="20"/>
              </w:rPr>
              <w:t>Accrued annual pension</w:t>
            </w:r>
          </w:p>
        </w:tc>
        <w:tc>
          <w:tcPr>
            <w:tcW w:w="1560" w:type="dxa"/>
          </w:tcPr>
          <w:p w14:paraId="1D052236"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29</w:t>
            </w:r>
          </w:p>
        </w:tc>
        <w:tc>
          <w:tcPr>
            <w:tcW w:w="1417" w:type="dxa"/>
          </w:tcPr>
          <w:p w14:paraId="68FE31D4" w14:textId="77777777" w:rsidR="007D14A7" w:rsidRPr="007D14A7" w:rsidRDefault="007D14A7" w:rsidP="007D14A7">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7D14A7">
              <w:rPr>
                <w:rFonts w:cs="Arial"/>
                <w:color w:val="000000" w:themeColor="text1"/>
                <w:sz w:val="20"/>
                <w:szCs w:val="20"/>
              </w:rPr>
              <w:t>24</w:t>
            </w:r>
          </w:p>
        </w:tc>
      </w:tr>
    </w:tbl>
    <w:p w14:paraId="0D86F715" w14:textId="77777777" w:rsidR="007D14A7" w:rsidRDefault="007D14A7" w:rsidP="007D14A7">
      <w:pPr>
        <w:rPr>
          <w:color w:val="000000" w:themeColor="text1"/>
        </w:rPr>
      </w:pPr>
    </w:p>
    <w:tbl>
      <w:tblPr>
        <w:tblStyle w:val="TableGrid"/>
        <w:tblW w:w="0" w:type="auto"/>
        <w:tblLayout w:type="fixed"/>
        <w:tblLook w:val="0000" w:firstRow="0" w:lastRow="0" w:firstColumn="0" w:lastColumn="0" w:noHBand="0" w:noVBand="0"/>
      </w:tblPr>
      <w:tblGrid>
        <w:gridCol w:w="5098"/>
        <w:gridCol w:w="1560"/>
        <w:gridCol w:w="1417"/>
      </w:tblGrid>
      <w:tr w:rsidR="003E25FA" w:rsidRPr="003E25FA" w14:paraId="22BCAFEA" w14:textId="77777777" w:rsidTr="003E25FA">
        <w:trPr>
          <w:trHeight w:val="624"/>
        </w:trPr>
        <w:tc>
          <w:tcPr>
            <w:tcW w:w="5098" w:type="dxa"/>
          </w:tcPr>
          <w:p w14:paraId="3411D736" w14:textId="77777777" w:rsidR="003E25FA" w:rsidRPr="003E25FA" w:rsidRDefault="003E25FA" w:rsidP="003E25FA">
            <w:pPr>
              <w:autoSpaceDE w:val="0"/>
              <w:autoSpaceDN w:val="0"/>
              <w:adjustRightInd w:val="0"/>
              <w:spacing w:line="240" w:lineRule="auto"/>
              <w:rPr>
                <w:rFonts w:cs="Arial"/>
                <w:color w:val="000000" w:themeColor="text1"/>
                <w:sz w:val="20"/>
                <w:szCs w:val="20"/>
              </w:rPr>
            </w:pPr>
          </w:p>
        </w:tc>
        <w:tc>
          <w:tcPr>
            <w:tcW w:w="1560" w:type="dxa"/>
            <w:vAlign w:val="center"/>
          </w:tcPr>
          <w:p w14:paraId="2B79F5C1"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E25FA">
              <w:rPr>
                <w:rFonts w:cs="Arial"/>
                <w:b/>
                <w:bCs/>
                <w:color w:val="000000" w:themeColor="text1"/>
                <w:sz w:val="20"/>
                <w:szCs w:val="20"/>
              </w:rPr>
              <w:t>2025</w:t>
            </w:r>
          </w:p>
          <w:p w14:paraId="00D5BD5E"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tl/>
                <w:lang w:bidi="ar-YE"/>
              </w:rPr>
              <w:t>£’000</w:t>
            </w:r>
          </w:p>
        </w:tc>
        <w:tc>
          <w:tcPr>
            <w:tcW w:w="1417" w:type="dxa"/>
            <w:vAlign w:val="center"/>
          </w:tcPr>
          <w:p w14:paraId="22CE60DE"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E25FA">
              <w:rPr>
                <w:rFonts w:cs="Arial"/>
                <w:b/>
                <w:bCs/>
                <w:color w:val="000000" w:themeColor="text1"/>
                <w:sz w:val="20"/>
                <w:szCs w:val="20"/>
              </w:rPr>
              <w:t>2024</w:t>
            </w:r>
          </w:p>
          <w:p w14:paraId="6266F472"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tl/>
                <w:lang w:bidi="ar-YE"/>
              </w:rPr>
              <w:t>£’000</w:t>
            </w:r>
          </w:p>
        </w:tc>
      </w:tr>
      <w:tr w:rsidR="003E25FA" w:rsidRPr="003E25FA" w14:paraId="251FA082" w14:textId="77777777" w:rsidTr="003E25FA">
        <w:trPr>
          <w:trHeight w:val="283"/>
        </w:trPr>
        <w:tc>
          <w:tcPr>
            <w:tcW w:w="5098" w:type="dxa"/>
          </w:tcPr>
          <w:p w14:paraId="3BB574DB"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b/>
                <w:bCs/>
                <w:color w:val="000000" w:themeColor="text1"/>
                <w:sz w:val="20"/>
                <w:szCs w:val="20"/>
              </w:rPr>
              <w:t>The Chairman’s emoluments – fees</w:t>
            </w:r>
          </w:p>
        </w:tc>
        <w:tc>
          <w:tcPr>
            <w:tcW w:w="1560" w:type="dxa"/>
          </w:tcPr>
          <w:p w14:paraId="3B50CF06"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Pr>
              <w:t>43</w:t>
            </w:r>
          </w:p>
        </w:tc>
        <w:tc>
          <w:tcPr>
            <w:tcW w:w="1417" w:type="dxa"/>
          </w:tcPr>
          <w:p w14:paraId="2622EE60" w14:textId="77777777" w:rsidR="003E25FA" w:rsidRPr="003E25FA" w:rsidRDefault="003E25FA" w:rsidP="003E25FA">
            <w:pPr>
              <w:tabs>
                <w:tab w:val="decimal" w:pos="1197"/>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Pr>
              <w:t>36</w:t>
            </w:r>
          </w:p>
        </w:tc>
      </w:tr>
    </w:tbl>
    <w:p w14:paraId="5E811B5C" w14:textId="77777777" w:rsidR="003E25FA" w:rsidRPr="007D14A7" w:rsidRDefault="003E25FA" w:rsidP="007D14A7">
      <w:pPr>
        <w:rPr>
          <w:color w:val="000000" w:themeColor="text1"/>
        </w:rPr>
      </w:pPr>
    </w:p>
    <w:p w14:paraId="13BEAFF0" w14:textId="77777777" w:rsidR="003E25FA" w:rsidRDefault="003E25FA" w:rsidP="003E25FA">
      <w:r w:rsidRPr="003E25FA">
        <w:t>The emoluments of the other non-executive Directors fell within the following bands:</w:t>
      </w:r>
    </w:p>
    <w:tbl>
      <w:tblPr>
        <w:tblStyle w:val="TableGrid"/>
        <w:tblW w:w="0" w:type="auto"/>
        <w:tblLayout w:type="fixed"/>
        <w:tblLook w:val="0000" w:firstRow="0" w:lastRow="0" w:firstColumn="0" w:lastColumn="0" w:noHBand="0" w:noVBand="0"/>
      </w:tblPr>
      <w:tblGrid>
        <w:gridCol w:w="6822"/>
        <w:gridCol w:w="1517"/>
        <w:gridCol w:w="1520"/>
      </w:tblGrid>
      <w:tr w:rsidR="003E25FA" w:rsidRPr="003E25FA" w14:paraId="1FFAF3DB" w14:textId="77777777" w:rsidTr="003E25FA">
        <w:trPr>
          <w:trHeight w:val="624"/>
        </w:trPr>
        <w:tc>
          <w:tcPr>
            <w:tcW w:w="6822" w:type="dxa"/>
            <w:vAlign w:val="center"/>
          </w:tcPr>
          <w:p w14:paraId="42D1229D"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c>
          <w:tcPr>
            <w:tcW w:w="1517" w:type="dxa"/>
            <w:vAlign w:val="center"/>
          </w:tcPr>
          <w:p w14:paraId="6C29C3DD"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E25FA">
              <w:rPr>
                <w:rFonts w:cs="Arial"/>
                <w:b/>
                <w:bCs/>
                <w:color w:val="000000" w:themeColor="text1"/>
                <w:sz w:val="20"/>
                <w:szCs w:val="20"/>
              </w:rPr>
              <w:t>2025</w:t>
            </w:r>
          </w:p>
          <w:p w14:paraId="194BE588"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Pr>
              <w:t>No.</w:t>
            </w:r>
          </w:p>
        </w:tc>
        <w:tc>
          <w:tcPr>
            <w:tcW w:w="1520" w:type="dxa"/>
            <w:vAlign w:val="center"/>
          </w:tcPr>
          <w:p w14:paraId="0FB149A2"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b/>
                <w:bCs/>
                <w:color w:val="000000" w:themeColor="text1"/>
                <w:sz w:val="20"/>
                <w:szCs w:val="20"/>
              </w:rPr>
            </w:pPr>
            <w:r w:rsidRPr="003E25FA">
              <w:rPr>
                <w:rFonts w:cs="Arial"/>
                <w:b/>
                <w:bCs/>
                <w:color w:val="000000" w:themeColor="text1"/>
                <w:sz w:val="20"/>
                <w:szCs w:val="20"/>
              </w:rPr>
              <w:t>2024</w:t>
            </w:r>
          </w:p>
          <w:p w14:paraId="1F627A4F"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b/>
                <w:bCs/>
                <w:color w:val="000000" w:themeColor="text1"/>
                <w:sz w:val="20"/>
                <w:szCs w:val="20"/>
              </w:rPr>
              <w:t>No.</w:t>
            </w:r>
          </w:p>
        </w:tc>
      </w:tr>
      <w:tr w:rsidR="003E25FA" w:rsidRPr="003E25FA" w14:paraId="2D64E2FC" w14:textId="77777777" w:rsidTr="003E25FA">
        <w:trPr>
          <w:trHeight w:val="283"/>
        </w:trPr>
        <w:tc>
          <w:tcPr>
            <w:tcW w:w="6822" w:type="dxa"/>
            <w:vAlign w:val="center"/>
          </w:tcPr>
          <w:p w14:paraId="7969D326"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color w:val="000000" w:themeColor="text1"/>
                <w:sz w:val="20"/>
                <w:szCs w:val="20"/>
              </w:rPr>
              <w:t>Up to £5,000</w:t>
            </w:r>
          </w:p>
        </w:tc>
        <w:tc>
          <w:tcPr>
            <w:tcW w:w="1517" w:type="dxa"/>
            <w:vAlign w:val="center"/>
          </w:tcPr>
          <w:p w14:paraId="6BD65AA7"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w:t>
            </w:r>
          </w:p>
        </w:tc>
        <w:tc>
          <w:tcPr>
            <w:tcW w:w="1520" w:type="dxa"/>
            <w:vAlign w:val="center"/>
          </w:tcPr>
          <w:p w14:paraId="1960B0A1"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1</w:t>
            </w:r>
          </w:p>
        </w:tc>
      </w:tr>
      <w:tr w:rsidR="003E25FA" w:rsidRPr="003E25FA" w14:paraId="14ECF71E" w14:textId="77777777" w:rsidTr="003E25FA">
        <w:trPr>
          <w:trHeight w:val="283"/>
        </w:trPr>
        <w:tc>
          <w:tcPr>
            <w:tcW w:w="6822" w:type="dxa"/>
            <w:vAlign w:val="center"/>
          </w:tcPr>
          <w:p w14:paraId="1264B6DD"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color w:val="000000" w:themeColor="text1"/>
                <w:sz w:val="20"/>
                <w:szCs w:val="20"/>
              </w:rPr>
              <w:t>£5,001 - £10,000</w:t>
            </w:r>
          </w:p>
        </w:tc>
        <w:tc>
          <w:tcPr>
            <w:tcW w:w="1517" w:type="dxa"/>
            <w:vAlign w:val="center"/>
          </w:tcPr>
          <w:p w14:paraId="3CC8038B"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5</w:t>
            </w:r>
          </w:p>
        </w:tc>
        <w:tc>
          <w:tcPr>
            <w:tcW w:w="1520" w:type="dxa"/>
            <w:vAlign w:val="center"/>
          </w:tcPr>
          <w:p w14:paraId="603CBB5E"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1</w:t>
            </w:r>
          </w:p>
        </w:tc>
      </w:tr>
      <w:tr w:rsidR="003E25FA" w:rsidRPr="003E25FA" w14:paraId="6FDD0B10" w14:textId="77777777" w:rsidTr="003E25FA">
        <w:trPr>
          <w:trHeight w:val="283"/>
        </w:trPr>
        <w:tc>
          <w:tcPr>
            <w:tcW w:w="6822" w:type="dxa"/>
            <w:vAlign w:val="center"/>
          </w:tcPr>
          <w:p w14:paraId="61D0F7F0"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color w:val="000000" w:themeColor="text1"/>
                <w:sz w:val="20"/>
                <w:szCs w:val="20"/>
              </w:rPr>
              <w:t>£10,001 - £15,000</w:t>
            </w:r>
          </w:p>
        </w:tc>
        <w:tc>
          <w:tcPr>
            <w:tcW w:w="1517" w:type="dxa"/>
            <w:vAlign w:val="center"/>
          </w:tcPr>
          <w:p w14:paraId="28C49B50"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w:t>
            </w:r>
          </w:p>
        </w:tc>
        <w:tc>
          <w:tcPr>
            <w:tcW w:w="1520" w:type="dxa"/>
            <w:vAlign w:val="center"/>
          </w:tcPr>
          <w:p w14:paraId="19871FD6"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w:t>
            </w:r>
          </w:p>
        </w:tc>
      </w:tr>
      <w:tr w:rsidR="003E25FA" w:rsidRPr="003E25FA" w14:paraId="40F68470" w14:textId="77777777" w:rsidTr="003E25FA">
        <w:trPr>
          <w:trHeight w:val="283"/>
        </w:trPr>
        <w:tc>
          <w:tcPr>
            <w:tcW w:w="6822" w:type="dxa"/>
            <w:vAlign w:val="center"/>
          </w:tcPr>
          <w:p w14:paraId="0DFE591B"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color w:val="000000" w:themeColor="text1"/>
                <w:sz w:val="20"/>
                <w:szCs w:val="20"/>
              </w:rPr>
              <w:t>£15,001 - £20,000</w:t>
            </w:r>
          </w:p>
        </w:tc>
        <w:tc>
          <w:tcPr>
            <w:tcW w:w="1517" w:type="dxa"/>
            <w:vAlign w:val="center"/>
          </w:tcPr>
          <w:p w14:paraId="71AD10AF"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w:t>
            </w:r>
          </w:p>
        </w:tc>
        <w:tc>
          <w:tcPr>
            <w:tcW w:w="1520" w:type="dxa"/>
            <w:vAlign w:val="center"/>
          </w:tcPr>
          <w:p w14:paraId="17660C67"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3</w:t>
            </w:r>
          </w:p>
        </w:tc>
      </w:tr>
      <w:tr w:rsidR="003E25FA" w:rsidRPr="003E25FA" w14:paraId="083E4BF7" w14:textId="77777777" w:rsidTr="003E25FA">
        <w:trPr>
          <w:trHeight w:val="283"/>
        </w:trPr>
        <w:tc>
          <w:tcPr>
            <w:tcW w:w="6822" w:type="dxa"/>
            <w:vAlign w:val="center"/>
          </w:tcPr>
          <w:p w14:paraId="4C439F4B" w14:textId="77777777" w:rsidR="003E25FA" w:rsidRPr="003E25FA" w:rsidRDefault="003E25FA" w:rsidP="003E25FA">
            <w:pPr>
              <w:autoSpaceDE w:val="0"/>
              <w:autoSpaceDN w:val="0"/>
              <w:adjustRightInd w:val="0"/>
              <w:spacing w:line="240" w:lineRule="auto"/>
              <w:textAlignment w:val="center"/>
              <w:rPr>
                <w:rFonts w:cs="Arial"/>
                <w:color w:val="000000" w:themeColor="text1"/>
                <w:sz w:val="20"/>
                <w:szCs w:val="20"/>
              </w:rPr>
            </w:pPr>
            <w:r w:rsidRPr="003E25FA">
              <w:rPr>
                <w:rFonts w:cs="Arial"/>
                <w:color w:val="000000" w:themeColor="text1"/>
                <w:sz w:val="20"/>
                <w:szCs w:val="20"/>
              </w:rPr>
              <w:t>£20,001 - £25,000</w:t>
            </w:r>
          </w:p>
        </w:tc>
        <w:tc>
          <w:tcPr>
            <w:tcW w:w="1517" w:type="dxa"/>
            <w:vAlign w:val="center"/>
          </w:tcPr>
          <w:p w14:paraId="5942DB95"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2</w:t>
            </w:r>
          </w:p>
        </w:tc>
        <w:tc>
          <w:tcPr>
            <w:tcW w:w="1520" w:type="dxa"/>
            <w:vAlign w:val="center"/>
          </w:tcPr>
          <w:p w14:paraId="74EECD13" w14:textId="77777777" w:rsidR="003E25FA" w:rsidRPr="003E25FA" w:rsidRDefault="003E25FA" w:rsidP="003E25FA">
            <w:pPr>
              <w:tabs>
                <w:tab w:val="decimal" w:pos="1122"/>
              </w:tabs>
              <w:autoSpaceDE w:val="0"/>
              <w:autoSpaceDN w:val="0"/>
              <w:adjustRightInd w:val="0"/>
              <w:spacing w:line="240" w:lineRule="auto"/>
              <w:jc w:val="right"/>
              <w:textAlignment w:val="center"/>
              <w:rPr>
                <w:rFonts w:cs="Arial"/>
                <w:color w:val="000000" w:themeColor="text1"/>
                <w:sz w:val="20"/>
                <w:szCs w:val="20"/>
              </w:rPr>
            </w:pPr>
            <w:r w:rsidRPr="003E25FA">
              <w:rPr>
                <w:rFonts w:cs="Arial"/>
                <w:color w:val="000000" w:themeColor="text1"/>
                <w:sz w:val="20"/>
                <w:szCs w:val="20"/>
              </w:rPr>
              <w:t>1</w:t>
            </w:r>
          </w:p>
        </w:tc>
      </w:tr>
    </w:tbl>
    <w:p w14:paraId="3AAB318E" w14:textId="77777777" w:rsidR="003E25FA" w:rsidRPr="003E25FA" w:rsidRDefault="003E25FA" w:rsidP="003E25FA"/>
    <w:p w14:paraId="207820EB" w14:textId="77777777" w:rsidR="003E25FA" w:rsidRPr="003E25FA" w:rsidRDefault="003E25FA" w:rsidP="007430D9">
      <w:pPr>
        <w:pStyle w:val="Heading2"/>
      </w:pPr>
      <w:bookmarkStart w:id="309" w:name="_Toc213058741"/>
      <w:r w:rsidRPr="003E25FA">
        <w:t>22. Financial Instruments</w:t>
      </w:r>
      <w:bookmarkEnd w:id="309"/>
    </w:p>
    <w:p w14:paraId="3B93A752" w14:textId="77777777" w:rsidR="003E25FA" w:rsidRPr="003E25FA" w:rsidRDefault="003E25FA" w:rsidP="007430D9">
      <w:pPr>
        <w:pStyle w:val="Heading3"/>
      </w:pPr>
      <w:bookmarkStart w:id="310" w:name="_Toc213058742"/>
      <w:r w:rsidRPr="003E25FA">
        <w:t>a. Overview</w:t>
      </w:r>
      <w:bookmarkEnd w:id="310"/>
    </w:p>
    <w:p w14:paraId="2A86C75D" w14:textId="77777777" w:rsidR="003E25FA" w:rsidRPr="003E25FA" w:rsidRDefault="003E25FA" w:rsidP="003E25FA">
      <w:pPr>
        <w:rPr>
          <w:color w:val="000000" w:themeColor="text1"/>
        </w:rPr>
      </w:pPr>
      <w:r w:rsidRPr="003E25FA">
        <w:rPr>
          <w:color w:val="000000" w:themeColor="text1"/>
        </w:rPr>
        <w:t>This note provides details of the Group’s financial instruments. Except where otherwise stated, the disclosures in this note exclude retirement benefit assets and obligations.</w:t>
      </w:r>
    </w:p>
    <w:p w14:paraId="0F9AF4B5" w14:textId="77777777" w:rsidR="003E25FA" w:rsidRPr="003E25FA" w:rsidRDefault="003E25FA" w:rsidP="003E25FA">
      <w:pPr>
        <w:rPr>
          <w:color w:val="000000" w:themeColor="text1"/>
        </w:rPr>
      </w:pPr>
    </w:p>
    <w:p w14:paraId="46AA86E4" w14:textId="77777777" w:rsidR="003E25FA" w:rsidRPr="003E25FA" w:rsidRDefault="003E25FA" w:rsidP="003E25FA">
      <w:pPr>
        <w:rPr>
          <w:color w:val="000000" w:themeColor="text1"/>
        </w:rPr>
      </w:pPr>
      <w:r w:rsidRPr="003E25FA">
        <w:rPr>
          <w:color w:val="000000" w:themeColor="text1"/>
        </w:rPr>
        <w:t xml:space="preserve">Liabilities or assets that are not contractual (such as income taxes that are created </w:t>
      </w:r>
      <w:proofErr w:type="gramStart"/>
      <w:r w:rsidRPr="003E25FA">
        <w:rPr>
          <w:color w:val="000000" w:themeColor="text1"/>
        </w:rPr>
        <w:t>as a result of</w:t>
      </w:r>
      <w:proofErr w:type="gramEnd"/>
      <w:r w:rsidRPr="003E25FA">
        <w:rPr>
          <w:color w:val="000000" w:themeColor="text1"/>
        </w:rPr>
        <w:t xml:space="preserve"> statutory requirements imposed by governments, prepayments, deferred government grants, provisions and deferred income) are not financial assets or financial liabilities and accordingly are excluded from the disclosures provided in this note.</w:t>
      </w:r>
    </w:p>
    <w:p w14:paraId="1705A914" w14:textId="77777777" w:rsidR="003E25FA" w:rsidRPr="003E25FA" w:rsidRDefault="003E25FA" w:rsidP="003E25FA">
      <w:pPr>
        <w:rPr>
          <w:color w:val="000000" w:themeColor="text1"/>
        </w:rPr>
      </w:pPr>
    </w:p>
    <w:p w14:paraId="4F342C59" w14:textId="6E198DD4" w:rsidR="003E25FA" w:rsidRPr="003E25FA" w:rsidRDefault="003E25FA" w:rsidP="003E25FA">
      <w:pPr>
        <w:rPr>
          <w:rFonts w:ascii="Axiforma Light" w:hAnsi="Axiforma Light" w:cs="Axiforma Light"/>
          <w:color w:val="000000" w:themeColor="text1"/>
        </w:rPr>
      </w:pPr>
      <w:r w:rsidRPr="003E25FA">
        <w:rPr>
          <w:color w:val="000000" w:themeColor="text1"/>
        </w:rPr>
        <w:t xml:space="preserve">Details of the significant accounting policies and methods adopted for each class of financial </w:t>
      </w:r>
      <w:proofErr w:type="spellStart"/>
      <w:r w:rsidRPr="003E25FA">
        <w:rPr>
          <w:color w:val="000000" w:themeColor="text1"/>
        </w:rPr>
        <w:t>assetand</w:t>
      </w:r>
      <w:proofErr w:type="spellEnd"/>
      <w:r w:rsidRPr="003E25FA">
        <w:rPr>
          <w:color w:val="000000" w:themeColor="text1"/>
        </w:rPr>
        <w:t xml:space="preserve"> financial liability are disclosed in the accounting policies note.</w:t>
      </w:r>
    </w:p>
    <w:p w14:paraId="1F962222" w14:textId="77777777" w:rsidR="003E25FA" w:rsidRPr="003E25FA" w:rsidRDefault="003E25FA" w:rsidP="003E25FA">
      <w:pPr>
        <w:rPr>
          <w:rFonts w:ascii="Axiforma Book" w:hAnsi="Axiforma Book" w:cs="Axiforma Book"/>
          <w:color w:val="000000" w:themeColor="text1"/>
        </w:rPr>
      </w:pPr>
    </w:p>
    <w:p w14:paraId="5DA836FC" w14:textId="77777777" w:rsidR="003E25FA" w:rsidRDefault="003E25FA" w:rsidP="007430D9">
      <w:pPr>
        <w:pStyle w:val="Heading3"/>
      </w:pPr>
      <w:bookmarkStart w:id="311" w:name="_Toc213058743"/>
      <w:r w:rsidRPr="003E25FA">
        <w:t>b. Categories and Carrying Value of Financial Instruments</w:t>
      </w:r>
      <w:bookmarkEnd w:id="311"/>
    </w:p>
    <w:tbl>
      <w:tblPr>
        <w:tblStyle w:val="TableGrid"/>
        <w:tblW w:w="0" w:type="auto"/>
        <w:tblLayout w:type="fixed"/>
        <w:tblLook w:val="0000" w:firstRow="0" w:lastRow="0" w:firstColumn="0" w:lastColumn="0" w:noHBand="0" w:noVBand="0"/>
      </w:tblPr>
      <w:tblGrid>
        <w:gridCol w:w="6831"/>
        <w:gridCol w:w="1517"/>
        <w:gridCol w:w="1521"/>
      </w:tblGrid>
      <w:tr w:rsidR="003E25FA" w:rsidRPr="003E25FA" w14:paraId="67CCE34E" w14:textId="77777777" w:rsidTr="003E25FA">
        <w:trPr>
          <w:trHeight w:val="624"/>
        </w:trPr>
        <w:tc>
          <w:tcPr>
            <w:tcW w:w="6831" w:type="dxa"/>
          </w:tcPr>
          <w:p w14:paraId="649A4456" w14:textId="77777777" w:rsidR="003E25FA" w:rsidRPr="003E25FA" w:rsidRDefault="003E25FA" w:rsidP="003E25FA">
            <w:pPr>
              <w:autoSpaceDE w:val="0"/>
              <w:autoSpaceDN w:val="0"/>
              <w:adjustRightInd w:val="0"/>
              <w:spacing w:line="240" w:lineRule="auto"/>
              <w:rPr>
                <w:rFonts w:cs="Arial"/>
                <w:color w:val="000000" w:themeColor="text1"/>
                <w:sz w:val="20"/>
                <w:szCs w:val="20"/>
              </w:rPr>
            </w:pPr>
          </w:p>
        </w:tc>
        <w:tc>
          <w:tcPr>
            <w:tcW w:w="1517" w:type="dxa"/>
            <w:vAlign w:val="center"/>
          </w:tcPr>
          <w:p w14:paraId="0D3C7402" w14:textId="77777777" w:rsidR="003E25FA" w:rsidRPr="003E25FA" w:rsidRDefault="003E25FA" w:rsidP="003E25FA">
            <w:pPr>
              <w:autoSpaceDE w:val="0"/>
              <w:autoSpaceDN w:val="0"/>
              <w:adjustRightInd w:val="0"/>
              <w:spacing w:line="288" w:lineRule="auto"/>
              <w:jc w:val="right"/>
              <w:textAlignment w:val="center"/>
              <w:rPr>
                <w:rFonts w:cs="Arial"/>
                <w:b/>
                <w:bCs/>
                <w:color w:val="000000" w:themeColor="text1"/>
                <w:sz w:val="20"/>
                <w:szCs w:val="20"/>
              </w:rPr>
            </w:pPr>
            <w:r w:rsidRPr="003E25FA">
              <w:rPr>
                <w:rFonts w:cs="Arial"/>
                <w:b/>
                <w:bCs/>
                <w:color w:val="000000" w:themeColor="text1"/>
                <w:sz w:val="20"/>
                <w:szCs w:val="20"/>
              </w:rPr>
              <w:t>2025</w:t>
            </w:r>
          </w:p>
          <w:p w14:paraId="633B1F41" w14:textId="77777777" w:rsidR="003E25FA" w:rsidRPr="003E25FA" w:rsidRDefault="003E25FA" w:rsidP="003E25FA">
            <w:pPr>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tl/>
                <w:lang w:bidi="ar-YE"/>
              </w:rPr>
              <w:t>£’000</w:t>
            </w:r>
          </w:p>
        </w:tc>
        <w:tc>
          <w:tcPr>
            <w:tcW w:w="1521" w:type="dxa"/>
            <w:vAlign w:val="center"/>
          </w:tcPr>
          <w:p w14:paraId="6E2AF918" w14:textId="77777777" w:rsidR="003E25FA" w:rsidRPr="003E25FA" w:rsidRDefault="003E25FA" w:rsidP="003E25FA">
            <w:pPr>
              <w:autoSpaceDE w:val="0"/>
              <w:autoSpaceDN w:val="0"/>
              <w:adjustRightInd w:val="0"/>
              <w:spacing w:line="288" w:lineRule="auto"/>
              <w:jc w:val="right"/>
              <w:textAlignment w:val="center"/>
              <w:rPr>
                <w:rFonts w:cs="Arial"/>
                <w:b/>
                <w:bCs/>
                <w:color w:val="000000" w:themeColor="text1"/>
                <w:sz w:val="20"/>
                <w:szCs w:val="20"/>
              </w:rPr>
            </w:pPr>
            <w:r w:rsidRPr="003E25FA">
              <w:rPr>
                <w:rFonts w:cs="Arial"/>
                <w:b/>
                <w:bCs/>
                <w:color w:val="000000" w:themeColor="text1"/>
                <w:sz w:val="20"/>
                <w:szCs w:val="20"/>
              </w:rPr>
              <w:t>2024</w:t>
            </w:r>
          </w:p>
          <w:p w14:paraId="01A310EC" w14:textId="77777777" w:rsidR="003E25FA" w:rsidRPr="003E25FA" w:rsidRDefault="003E25FA" w:rsidP="003E25FA">
            <w:pPr>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tl/>
                <w:lang w:bidi="ar-YE"/>
              </w:rPr>
              <w:t>£’000</w:t>
            </w:r>
          </w:p>
        </w:tc>
      </w:tr>
      <w:tr w:rsidR="003E25FA" w:rsidRPr="003E25FA" w14:paraId="40A1BD63" w14:textId="77777777" w:rsidTr="003E25FA">
        <w:trPr>
          <w:trHeight w:val="283"/>
        </w:trPr>
        <w:tc>
          <w:tcPr>
            <w:tcW w:w="6831" w:type="dxa"/>
            <w:vAlign w:val="center"/>
          </w:tcPr>
          <w:p w14:paraId="3A3922AB"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b/>
                <w:bCs/>
                <w:color w:val="000000" w:themeColor="text1"/>
                <w:sz w:val="20"/>
                <w:szCs w:val="20"/>
              </w:rPr>
              <w:t>Financial assets</w:t>
            </w:r>
          </w:p>
        </w:tc>
        <w:tc>
          <w:tcPr>
            <w:tcW w:w="1517" w:type="dxa"/>
            <w:vAlign w:val="center"/>
          </w:tcPr>
          <w:p w14:paraId="3CF3DEAD"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c>
          <w:tcPr>
            <w:tcW w:w="1521" w:type="dxa"/>
            <w:vAlign w:val="center"/>
          </w:tcPr>
          <w:p w14:paraId="72B2638B"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r>
      <w:tr w:rsidR="003E25FA" w:rsidRPr="003E25FA" w14:paraId="233FF15C" w14:textId="77777777" w:rsidTr="003E25FA">
        <w:trPr>
          <w:trHeight w:val="283"/>
        </w:trPr>
        <w:tc>
          <w:tcPr>
            <w:tcW w:w="6831" w:type="dxa"/>
            <w:vAlign w:val="center"/>
          </w:tcPr>
          <w:p w14:paraId="17EB5C67"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Financial assets at amortised cost:</w:t>
            </w:r>
          </w:p>
        </w:tc>
        <w:tc>
          <w:tcPr>
            <w:tcW w:w="1517" w:type="dxa"/>
            <w:vAlign w:val="center"/>
          </w:tcPr>
          <w:p w14:paraId="3B44A24D"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c>
          <w:tcPr>
            <w:tcW w:w="1521" w:type="dxa"/>
            <w:vAlign w:val="center"/>
          </w:tcPr>
          <w:p w14:paraId="5313375E"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r>
      <w:tr w:rsidR="003E25FA" w:rsidRPr="003E25FA" w14:paraId="6896749C" w14:textId="77777777" w:rsidTr="003E25FA">
        <w:trPr>
          <w:trHeight w:val="283"/>
        </w:trPr>
        <w:tc>
          <w:tcPr>
            <w:tcW w:w="6831" w:type="dxa"/>
            <w:vAlign w:val="center"/>
          </w:tcPr>
          <w:p w14:paraId="671B1296"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w:t>
            </w:r>
            <w:r w:rsidRPr="003E25FA">
              <w:rPr>
                <w:rFonts w:cs="Arial"/>
                <w:color w:val="000000" w:themeColor="text1"/>
                <w:sz w:val="20"/>
                <w:szCs w:val="20"/>
              </w:rPr>
              <w:tab/>
              <w:t>Trade receivables</w:t>
            </w:r>
          </w:p>
        </w:tc>
        <w:tc>
          <w:tcPr>
            <w:tcW w:w="1517" w:type="dxa"/>
            <w:vAlign w:val="center"/>
          </w:tcPr>
          <w:p w14:paraId="14A4FF3A"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2,347</w:t>
            </w:r>
          </w:p>
        </w:tc>
        <w:tc>
          <w:tcPr>
            <w:tcW w:w="1521" w:type="dxa"/>
            <w:vAlign w:val="center"/>
          </w:tcPr>
          <w:p w14:paraId="18E01BC8"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1,134</w:t>
            </w:r>
          </w:p>
        </w:tc>
      </w:tr>
      <w:tr w:rsidR="003E25FA" w:rsidRPr="003E25FA" w14:paraId="7350525A" w14:textId="77777777" w:rsidTr="003E25FA">
        <w:trPr>
          <w:trHeight w:val="283"/>
        </w:trPr>
        <w:tc>
          <w:tcPr>
            <w:tcW w:w="6831" w:type="dxa"/>
            <w:vAlign w:val="center"/>
          </w:tcPr>
          <w:p w14:paraId="6F048446"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w:t>
            </w:r>
            <w:r w:rsidRPr="003E25FA">
              <w:rPr>
                <w:rFonts w:cs="Arial"/>
                <w:color w:val="000000" w:themeColor="text1"/>
                <w:sz w:val="20"/>
                <w:szCs w:val="20"/>
              </w:rPr>
              <w:tab/>
              <w:t>Other receivables</w:t>
            </w:r>
          </w:p>
        </w:tc>
        <w:tc>
          <w:tcPr>
            <w:tcW w:w="1517" w:type="dxa"/>
            <w:vAlign w:val="center"/>
          </w:tcPr>
          <w:p w14:paraId="1B535816"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9,410</w:t>
            </w:r>
          </w:p>
        </w:tc>
        <w:tc>
          <w:tcPr>
            <w:tcW w:w="1521" w:type="dxa"/>
            <w:vAlign w:val="center"/>
          </w:tcPr>
          <w:p w14:paraId="6766F19F"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14,826</w:t>
            </w:r>
          </w:p>
        </w:tc>
      </w:tr>
      <w:tr w:rsidR="003E25FA" w:rsidRPr="003E25FA" w14:paraId="401C1628" w14:textId="77777777" w:rsidTr="003E25FA">
        <w:trPr>
          <w:trHeight w:val="283"/>
        </w:trPr>
        <w:tc>
          <w:tcPr>
            <w:tcW w:w="6831" w:type="dxa"/>
            <w:vAlign w:val="center"/>
          </w:tcPr>
          <w:p w14:paraId="6B742E9E"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w:t>
            </w:r>
            <w:r w:rsidRPr="003E25FA">
              <w:rPr>
                <w:rFonts w:cs="Arial"/>
                <w:color w:val="000000" w:themeColor="text1"/>
                <w:sz w:val="20"/>
                <w:szCs w:val="20"/>
              </w:rPr>
              <w:tab/>
              <w:t>Grant receivables</w:t>
            </w:r>
          </w:p>
        </w:tc>
        <w:tc>
          <w:tcPr>
            <w:tcW w:w="1517" w:type="dxa"/>
            <w:vAlign w:val="center"/>
          </w:tcPr>
          <w:p w14:paraId="632D6134"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95,105</w:t>
            </w:r>
          </w:p>
        </w:tc>
        <w:tc>
          <w:tcPr>
            <w:tcW w:w="1521" w:type="dxa"/>
            <w:vAlign w:val="center"/>
          </w:tcPr>
          <w:p w14:paraId="5EF6E0D4"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124,220</w:t>
            </w:r>
          </w:p>
        </w:tc>
      </w:tr>
      <w:tr w:rsidR="003E25FA" w:rsidRPr="003E25FA" w14:paraId="18FF2040" w14:textId="77777777" w:rsidTr="003E25FA">
        <w:trPr>
          <w:trHeight w:val="283"/>
        </w:trPr>
        <w:tc>
          <w:tcPr>
            <w:tcW w:w="6831" w:type="dxa"/>
            <w:vAlign w:val="center"/>
          </w:tcPr>
          <w:p w14:paraId="108AE103"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 xml:space="preserve">Derivative instruments – current </w:t>
            </w:r>
          </w:p>
        </w:tc>
        <w:tc>
          <w:tcPr>
            <w:tcW w:w="1517" w:type="dxa"/>
            <w:vAlign w:val="center"/>
          </w:tcPr>
          <w:p w14:paraId="3AE6F9D2"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30</w:t>
            </w:r>
          </w:p>
        </w:tc>
        <w:tc>
          <w:tcPr>
            <w:tcW w:w="1521" w:type="dxa"/>
            <w:vAlign w:val="center"/>
          </w:tcPr>
          <w:p w14:paraId="4A0ABCF0"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2,229</w:t>
            </w:r>
          </w:p>
        </w:tc>
      </w:tr>
      <w:tr w:rsidR="003E25FA" w:rsidRPr="003E25FA" w14:paraId="16ACFF48" w14:textId="77777777" w:rsidTr="003E25FA">
        <w:trPr>
          <w:trHeight w:val="283"/>
        </w:trPr>
        <w:tc>
          <w:tcPr>
            <w:tcW w:w="6831" w:type="dxa"/>
            <w:vAlign w:val="center"/>
          </w:tcPr>
          <w:p w14:paraId="0E8501A8"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Cash and bank balances – financial assets at amortised cost</w:t>
            </w:r>
          </w:p>
        </w:tc>
        <w:tc>
          <w:tcPr>
            <w:tcW w:w="1517" w:type="dxa"/>
            <w:vAlign w:val="center"/>
          </w:tcPr>
          <w:p w14:paraId="1F9D4BAC"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23,731</w:t>
            </w:r>
          </w:p>
        </w:tc>
        <w:tc>
          <w:tcPr>
            <w:tcW w:w="1521" w:type="dxa"/>
            <w:vAlign w:val="center"/>
          </w:tcPr>
          <w:p w14:paraId="706CBD74"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24,266</w:t>
            </w:r>
          </w:p>
        </w:tc>
      </w:tr>
      <w:tr w:rsidR="003E25FA" w:rsidRPr="003E25FA" w14:paraId="6F038721" w14:textId="77777777" w:rsidTr="003E25FA">
        <w:trPr>
          <w:trHeight w:val="283"/>
        </w:trPr>
        <w:tc>
          <w:tcPr>
            <w:tcW w:w="6831" w:type="dxa"/>
            <w:vAlign w:val="center"/>
          </w:tcPr>
          <w:p w14:paraId="05CA3577"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b/>
                <w:bCs/>
                <w:color w:val="000000" w:themeColor="text1"/>
                <w:sz w:val="20"/>
                <w:szCs w:val="20"/>
              </w:rPr>
              <w:t>Total financial assets</w:t>
            </w:r>
          </w:p>
        </w:tc>
        <w:tc>
          <w:tcPr>
            <w:tcW w:w="1517" w:type="dxa"/>
            <w:vAlign w:val="center"/>
          </w:tcPr>
          <w:p w14:paraId="3971D492"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130,623</w:t>
            </w:r>
          </w:p>
        </w:tc>
        <w:tc>
          <w:tcPr>
            <w:tcW w:w="1521" w:type="dxa"/>
            <w:vAlign w:val="center"/>
          </w:tcPr>
          <w:p w14:paraId="5EF4C3AC"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166,675</w:t>
            </w:r>
          </w:p>
        </w:tc>
      </w:tr>
      <w:tr w:rsidR="003E25FA" w:rsidRPr="003E25FA" w14:paraId="67E5EB14" w14:textId="77777777" w:rsidTr="003E25FA">
        <w:trPr>
          <w:trHeight w:val="283"/>
        </w:trPr>
        <w:tc>
          <w:tcPr>
            <w:tcW w:w="6831" w:type="dxa"/>
            <w:vAlign w:val="center"/>
          </w:tcPr>
          <w:p w14:paraId="75640189"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b/>
                <w:bCs/>
                <w:color w:val="000000" w:themeColor="text1"/>
                <w:sz w:val="20"/>
                <w:szCs w:val="20"/>
              </w:rPr>
              <w:t>Financial liabilities</w:t>
            </w:r>
          </w:p>
        </w:tc>
        <w:tc>
          <w:tcPr>
            <w:tcW w:w="1517" w:type="dxa"/>
            <w:vAlign w:val="center"/>
          </w:tcPr>
          <w:p w14:paraId="189BCB0D"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c>
          <w:tcPr>
            <w:tcW w:w="1521" w:type="dxa"/>
            <w:vAlign w:val="center"/>
          </w:tcPr>
          <w:p w14:paraId="2BC962F4" w14:textId="77777777" w:rsidR="003E25FA" w:rsidRPr="003E25FA" w:rsidRDefault="003E25FA" w:rsidP="003E25FA">
            <w:pPr>
              <w:autoSpaceDE w:val="0"/>
              <w:autoSpaceDN w:val="0"/>
              <w:adjustRightInd w:val="0"/>
              <w:spacing w:line="240" w:lineRule="auto"/>
              <w:jc w:val="right"/>
              <w:rPr>
                <w:rFonts w:cs="Arial"/>
                <w:color w:val="000000" w:themeColor="text1"/>
                <w:sz w:val="20"/>
                <w:szCs w:val="20"/>
              </w:rPr>
            </w:pPr>
          </w:p>
        </w:tc>
      </w:tr>
      <w:tr w:rsidR="003E25FA" w:rsidRPr="003E25FA" w14:paraId="0CCE421B" w14:textId="77777777" w:rsidTr="003E25FA">
        <w:trPr>
          <w:trHeight w:val="283"/>
        </w:trPr>
        <w:tc>
          <w:tcPr>
            <w:tcW w:w="6831" w:type="dxa"/>
            <w:vAlign w:val="center"/>
          </w:tcPr>
          <w:p w14:paraId="7A784032"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Trade payables – Other financial liabilities</w:t>
            </w:r>
          </w:p>
        </w:tc>
        <w:tc>
          <w:tcPr>
            <w:tcW w:w="1517" w:type="dxa"/>
            <w:vAlign w:val="center"/>
          </w:tcPr>
          <w:p w14:paraId="7243A783"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14,832</w:t>
            </w:r>
          </w:p>
        </w:tc>
        <w:tc>
          <w:tcPr>
            <w:tcW w:w="1521" w:type="dxa"/>
            <w:vAlign w:val="center"/>
          </w:tcPr>
          <w:p w14:paraId="287E3544"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11,576</w:t>
            </w:r>
          </w:p>
        </w:tc>
      </w:tr>
      <w:tr w:rsidR="003E25FA" w:rsidRPr="003E25FA" w14:paraId="10DAE7B0" w14:textId="77777777" w:rsidTr="003E25FA">
        <w:trPr>
          <w:trHeight w:val="283"/>
        </w:trPr>
        <w:tc>
          <w:tcPr>
            <w:tcW w:w="6831" w:type="dxa"/>
            <w:vAlign w:val="center"/>
          </w:tcPr>
          <w:p w14:paraId="5FCAB576"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Derivative instruments – non-current – FVTPL</w:t>
            </w:r>
          </w:p>
        </w:tc>
        <w:tc>
          <w:tcPr>
            <w:tcW w:w="1517" w:type="dxa"/>
            <w:vAlign w:val="center"/>
          </w:tcPr>
          <w:p w14:paraId="7EA05DC9"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3,370</w:t>
            </w:r>
          </w:p>
        </w:tc>
        <w:tc>
          <w:tcPr>
            <w:tcW w:w="1521" w:type="dxa"/>
            <w:vAlign w:val="center"/>
          </w:tcPr>
          <w:p w14:paraId="693AD3C4"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1,102</w:t>
            </w:r>
          </w:p>
        </w:tc>
      </w:tr>
      <w:tr w:rsidR="003E25FA" w:rsidRPr="003E25FA" w14:paraId="261F7451" w14:textId="77777777" w:rsidTr="003E25FA">
        <w:trPr>
          <w:trHeight w:val="283"/>
        </w:trPr>
        <w:tc>
          <w:tcPr>
            <w:tcW w:w="6831" w:type="dxa"/>
            <w:vAlign w:val="center"/>
          </w:tcPr>
          <w:p w14:paraId="38F70A7A"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color w:val="000000" w:themeColor="text1"/>
                <w:sz w:val="20"/>
                <w:szCs w:val="20"/>
              </w:rPr>
              <w:t>Other payables and accruals – Other financial liabilities</w:t>
            </w:r>
          </w:p>
        </w:tc>
        <w:tc>
          <w:tcPr>
            <w:tcW w:w="1517" w:type="dxa"/>
            <w:vAlign w:val="center"/>
          </w:tcPr>
          <w:p w14:paraId="7859C55B"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98,805</w:t>
            </w:r>
          </w:p>
        </w:tc>
        <w:tc>
          <w:tcPr>
            <w:tcW w:w="1521" w:type="dxa"/>
            <w:vAlign w:val="center"/>
          </w:tcPr>
          <w:p w14:paraId="26F52880"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color w:val="000000" w:themeColor="text1"/>
                <w:sz w:val="20"/>
                <w:szCs w:val="20"/>
              </w:rPr>
              <w:t>124,381</w:t>
            </w:r>
          </w:p>
        </w:tc>
      </w:tr>
      <w:tr w:rsidR="003E25FA" w:rsidRPr="003E25FA" w14:paraId="229182B9" w14:textId="77777777" w:rsidTr="003E25FA">
        <w:trPr>
          <w:trHeight w:val="283"/>
        </w:trPr>
        <w:tc>
          <w:tcPr>
            <w:tcW w:w="6831" w:type="dxa"/>
            <w:vAlign w:val="center"/>
          </w:tcPr>
          <w:p w14:paraId="1FBE1BA6"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b/>
                <w:bCs/>
                <w:color w:val="000000" w:themeColor="text1"/>
                <w:sz w:val="20"/>
                <w:szCs w:val="20"/>
              </w:rPr>
              <w:t>Total financial liabilities</w:t>
            </w:r>
          </w:p>
        </w:tc>
        <w:tc>
          <w:tcPr>
            <w:tcW w:w="1517" w:type="dxa"/>
            <w:vAlign w:val="center"/>
          </w:tcPr>
          <w:p w14:paraId="5B376913"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117,007</w:t>
            </w:r>
          </w:p>
        </w:tc>
        <w:tc>
          <w:tcPr>
            <w:tcW w:w="1521" w:type="dxa"/>
            <w:vAlign w:val="center"/>
          </w:tcPr>
          <w:p w14:paraId="77C6D976"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137,059</w:t>
            </w:r>
          </w:p>
        </w:tc>
      </w:tr>
      <w:tr w:rsidR="003E25FA" w:rsidRPr="003E25FA" w14:paraId="2C818AF5" w14:textId="77777777" w:rsidTr="003E25FA">
        <w:trPr>
          <w:trHeight w:val="283"/>
        </w:trPr>
        <w:tc>
          <w:tcPr>
            <w:tcW w:w="6831" w:type="dxa"/>
            <w:vAlign w:val="center"/>
          </w:tcPr>
          <w:p w14:paraId="4350BA9D" w14:textId="77777777" w:rsidR="003E25FA" w:rsidRPr="003E25FA" w:rsidRDefault="003E25FA" w:rsidP="003E25FA">
            <w:pPr>
              <w:tabs>
                <w:tab w:val="left" w:pos="200"/>
              </w:tabs>
              <w:autoSpaceDE w:val="0"/>
              <w:autoSpaceDN w:val="0"/>
              <w:adjustRightInd w:val="0"/>
              <w:spacing w:line="288" w:lineRule="auto"/>
              <w:textAlignment w:val="center"/>
              <w:rPr>
                <w:rFonts w:cs="Arial"/>
                <w:color w:val="000000" w:themeColor="text1"/>
                <w:sz w:val="20"/>
                <w:szCs w:val="20"/>
              </w:rPr>
            </w:pPr>
            <w:r w:rsidRPr="003E25FA">
              <w:rPr>
                <w:rFonts w:cs="Arial"/>
                <w:b/>
                <w:bCs/>
                <w:color w:val="000000" w:themeColor="text1"/>
                <w:sz w:val="20"/>
                <w:szCs w:val="20"/>
              </w:rPr>
              <w:t>Net financial assets</w:t>
            </w:r>
          </w:p>
        </w:tc>
        <w:tc>
          <w:tcPr>
            <w:tcW w:w="1517" w:type="dxa"/>
            <w:vAlign w:val="center"/>
          </w:tcPr>
          <w:p w14:paraId="0B13F6D9"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13,616</w:t>
            </w:r>
          </w:p>
        </w:tc>
        <w:tc>
          <w:tcPr>
            <w:tcW w:w="1521" w:type="dxa"/>
            <w:vAlign w:val="center"/>
          </w:tcPr>
          <w:p w14:paraId="17F1A632" w14:textId="77777777" w:rsidR="003E25FA" w:rsidRPr="003E25FA" w:rsidRDefault="003E25FA" w:rsidP="003E25FA">
            <w:pPr>
              <w:tabs>
                <w:tab w:val="left" w:pos="200"/>
              </w:tabs>
              <w:autoSpaceDE w:val="0"/>
              <w:autoSpaceDN w:val="0"/>
              <w:adjustRightInd w:val="0"/>
              <w:spacing w:line="288" w:lineRule="auto"/>
              <w:jc w:val="right"/>
              <w:textAlignment w:val="center"/>
              <w:rPr>
                <w:rFonts w:cs="Arial"/>
                <w:color w:val="000000" w:themeColor="text1"/>
                <w:sz w:val="20"/>
                <w:szCs w:val="20"/>
              </w:rPr>
            </w:pPr>
            <w:r w:rsidRPr="003E25FA">
              <w:rPr>
                <w:rFonts w:cs="Arial"/>
                <w:b/>
                <w:bCs/>
                <w:color w:val="000000" w:themeColor="text1"/>
                <w:sz w:val="20"/>
                <w:szCs w:val="20"/>
              </w:rPr>
              <w:t>29,616</w:t>
            </w:r>
          </w:p>
        </w:tc>
      </w:tr>
    </w:tbl>
    <w:p w14:paraId="2074EAE4" w14:textId="77777777" w:rsidR="003E25FA" w:rsidRPr="003E25FA" w:rsidRDefault="003E25FA" w:rsidP="003E25FA">
      <w:pPr>
        <w:rPr>
          <w:b/>
          <w:bCs/>
          <w:color w:val="000000" w:themeColor="text1"/>
        </w:rPr>
      </w:pPr>
    </w:p>
    <w:p w14:paraId="48A3D545" w14:textId="77777777" w:rsidR="003E25FA" w:rsidRPr="003E25FA" w:rsidRDefault="003E25FA" w:rsidP="003E25FA">
      <w:pPr>
        <w:rPr>
          <w:b/>
          <w:bCs/>
          <w:color w:val="5EB676"/>
          <w:sz w:val="19"/>
          <w:szCs w:val="19"/>
        </w:rPr>
      </w:pPr>
      <w:r w:rsidRPr="003E25FA">
        <w:lastRenderedPageBreak/>
        <w:t>The Directors consider that the carrying amount of financial assets and financial liabilities recorded at amortised cost approximates their fair value.  Given the short average time to maturity, no specific assumptions on discount rates have been made in relation to loans and receivables and financial liabilities at amortised cost.</w:t>
      </w:r>
    </w:p>
    <w:p w14:paraId="503980D2" w14:textId="77777777" w:rsidR="003E25FA" w:rsidRPr="003E25FA" w:rsidRDefault="003E25FA" w:rsidP="003E25FA"/>
    <w:p w14:paraId="79A05ADB" w14:textId="490FE070" w:rsidR="00A22B20" w:rsidRDefault="003E25FA" w:rsidP="003E25FA">
      <w:r w:rsidRPr="003E25FA">
        <w:t>The fair value of derivative financial instruments is calculated using discounted cash flow analysis performed using the applicable yield curve for the duration of the instruments.</w:t>
      </w:r>
    </w:p>
    <w:p w14:paraId="3DEC2BD5" w14:textId="77777777" w:rsidR="003E25FA" w:rsidRDefault="003E25FA" w:rsidP="003E25FA"/>
    <w:p w14:paraId="1A303EEF" w14:textId="77777777" w:rsidR="003E25FA" w:rsidRPr="003E25FA" w:rsidRDefault="003E25FA" w:rsidP="007430D9">
      <w:pPr>
        <w:pStyle w:val="Heading3"/>
      </w:pPr>
      <w:bookmarkStart w:id="312" w:name="_Toc213058744"/>
      <w:r w:rsidRPr="003E25FA">
        <w:t>c. Fair Value Measurements Recognised in the Balance Sheet</w:t>
      </w:r>
      <w:bookmarkEnd w:id="312"/>
    </w:p>
    <w:p w14:paraId="47EB1038" w14:textId="77777777" w:rsidR="003E25FA" w:rsidRPr="003E25FA" w:rsidRDefault="003E25FA" w:rsidP="003E25FA">
      <w:pPr>
        <w:rPr>
          <w:color w:val="000000"/>
        </w:rPr>
      </w:pPr>
    </w:p>
    <w:p w14:paraId="1FDA136E" w14:textId="77777777" w:rsidR="003E25FA" w:rsidRPr="003E25FA" w:rsidRDefault="003E25FA" w:rsidP="003E25FA">
      <w:pPr>
        <w:rPr>
          <w:color w:val="000000"/>
        </w:rPr>
      </w:pPr>
      <w:r w:rsidRPr="003E25FA">
        <w:rPr>
          <w:color w:val="000000"/>
        </w:rPr>
        <w:t>Financial instruments that are measured in the balance sheet at fair value are disclosed by level of the following fair value measurement hierarchy:</w:t>
      </w:r>
    </w:p>
    <w:p w14:paraId="0C2829B2" w14:textId="77777777" w:rsidR="003E25FA" w:rsidRPr="003E25FA" w:rsidRDefault="003E25FA" w:rsidP="003E25FA">
      <w:pPr>
        <w:rPr>
          <w:color w:val="000000"/>
        </w:rPr>
      </w:pPr>
    </w:p>
    <w:p w14:paraId="7BD4571F" w14:textId="77777777" w:rsidR="003E25FA" w:rsidRPr="003E25FA" w:rsidRDefault="003E25FA" w:rsidP="003E25FA">
      <w:pPr>
        <w:rPr>
          <w:color w:val="000000"/>
        </w:rPr>
      </w:pPr>
      <w:r w:rsidRPr="003E25FA">
        <w:rPr>
          <w:color w:val="000000"/>
        </w:rPr>
        <w:t>Level 1</w:t>
      </w:r>
      <w:r w:rsidRPr="003E25FA">
        <w:rPr>
          <w:color w:val="000000"/>
        </w:rPr>
        <w:tab/>
        <w:t>–</w:t>
      </w:r>
      <w:r w:rsidRPr="003E25FA">
        <w:rPr>
          <w:color w:val="000000"/>
        </w:rPr>
        <w:tab/>
        <w:t xml:space="preserve">Quoted prices (unadjusted) in active markets for identical assets or </w:t>
      </w:r>
      <w:proofErr w:type="gramStart"/>
      <w:r w:rsidRPr="003E25FA">
        <w:rPr>
          <w:color w:val="000000"/>
        </w:rPr>
        <w:t>liabilities;</w:t>
      </w:r>
      <w:proofErr w:type="gramEnd"/>
    </w:p>
    <w:p w14:paraId="1C1F28B7" w14:textId="76A0753E" w:rsidR="003E25FA" w:rsidRPr="003E25FA" w:rsidRDefault="003E25FA" w:rsidP="003E25FA">
      <w:pPr>
        <w:rPr>
          <w:color w:val="000000"/>
        </w:rPr>
      </w:pPr>
      <w:r w:rsidRPr="003E25FA">
        <w:rPr>
          <w:color w:val="000000"/>
        </w:rPr>
        <w:t>Level 2</w:t>
      </w:r>
      <w:r w:rsidRPr="003E25FA">
        <w:rPr>
          <w:color w:val="000000"/>
        </w:rPr>
        <w:tab/>
        <w:t>–</w:t>
      </w:r>
      <w:r w:rsidRPr="003E25FA">
        <w:rPr>
          <w:color w:val="000000"/>
        </w:rPr>
        <w:tab/>
        <w:t>Inputs other than quoted prices included within Level 1 that are observable for the asset or liability either directly (that is, as prices) or indirectly (that is, derived from prices); and</w:t>
      </w:r>
    </w:p>
    <w:p w14:paraId="7269AFE5" w14:textId="23C330F7" w:rsidR="003E25FA" w:rsidRPr="003E25FA" w:rsidRDefault="003E25FA" w:rsidP="003E25FA">
      <w:pPr>
        <w:rPr>
          <w:color w:val="000000"/>
        </w:rPr>
      </w:pPr>
      <w:r w:rsidRPr="003E25FA">
        <w:rPr>
          <w:color w:val="000000"/>
        </w:rPr>
        <w:t>Level 3</w:t>
      </w:r>
      <w:r w:rsidRPr="003E25FA">
        <w:rPr>
          <w:color w:val="000000"/>
        </w:rPr>
        <w:tab/>
        <w:t xml:space="preserve">– </w:t>
      </w:r>
      <w:r w:rsidRPr="003E25FA">
        <w:rPr>
          <w:color w:val="000000"/>
        </w:rPr>
        <w:tab/>
        <w:t>Valuation techniques that include inputs for the assets or liability that are not based on observable data (that is, unobservable inputs).</w:t>
      </w:r>
    </w:p>
    <w:p w14:paraId="5B8DE5F7" w14:textId="77777777" w:rsidR="003E25FA" w:rsidRPr="003E25FA" w:rsidRDefault="003E25FA" w:rsidP="003E25FA">
      <w:pPr>
        <w:rPr>
          <w:color w:val="000000"/>
        </w:rPr>
      </w:pPr>
    </w:p>
    <w:p w14:paraId="300E1B25" w14:textId="6DBC25A5" w:rsidR="003E25FA" w:rsidRDefault="003E25FA" w:rsidP="003E25FA">
      <w:pPr>
        <w:rPr>
          <w:color w:val="000000"/>
        </w:rPr>
      </w:pPr>
      <w:r w:rsidRPr="003E25FA">
        <w:rPr>
          <w:color w:val="000000"/>
        </w:rPr>
        <w:t xml:space="preserve">The following table presents the Group’s financial instruments that are measured </w:t>
      </w:r>
      <w:proofErr w:type="gramStart"/>
      <w:r w:rsidRPr="003E25FA">
        <w:rPr>
          <w:color w:val="000000"/>
        </w:rPr>
        <w:t>subsequent to</w:t>
      </w:r>
      <w:proofErr w:type="gramEnd"/>
      <w:r w:rsidRPr="003E25FA">
        <w:rPr>
          <w:color w:val="000000"/>
        </w:rPr>
        <w:t xml:space="preserve"> initial recognition at fair value within the hierarchy.</w:t>
      </w:r>
    </w:p>
    <w:p w14:paraId="5CF342EE" w14:textId="77777777" w:rsidR="003E25FA" w:rsidRDefault="003E25FA" w:rsidP="003E25FA">
      <w:pPr>
        <w:rPr>
          <w:color w:val="000000"/>
        </w:rPr>
      </w:pPr>
    </w:p>
    <w:tbl>
      <w:tblPr>
        <w:tblStyle w:val="TableGrid"/>
        <w:tblW w:w="0" w:type="auto"/>
        <w:tblLayout w:type="fixed"/>
        <w:tblLook w:val="0000" w:firstRow="0" w:lastRow="0" w:firstColumn="0" w:lastColumn="0" w:noHBand="0" w:noVBand="0"/>
      </w:tblPr>
      <w:tblGrid>
        <w:gridCol w:w="5295"/>
        <w:gridCol w:w="1139"/>
        <w:gridCol w:w="1138"/>
        <w:gridCol w:w="1138"/>
        <w:gridCol w:w="1139"/>
      </w:tblGrid>
      <w:tr w:rsidR="006A7B22" w:rsidRPr="006A7B22" w14:paraId="6853016E" w14:textId="77777777" w:rsidTr="006A7B22">
        <w:trPr>
          <w:trHeight w:val="567"/>
        </w:trPr>
        <w:tc>
          <w:tcPr>
            <w:tcW w:w="5295" w:type="dxa"/>
          </w:tcPr>
          <w:p w14:paraId="0BD8863F"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2277" w:type="dxa"/>
            <w:gridSpan w:val="2"/>
          </w:tcPr>
          <w:p w14:paraId="0CA2DFB4" w14:textId="77777777" w:rsidR="006A7B22" w:rsidRPr="006A7B22" w:rsidRDefault="006A7B22" w:rsidP="006A7B22">
            <w:pPr>
              <w:autoSpaceDE w:val="0"/>
              <w:autoSpaceDN w:val="0"/>
              <w:adjustRightInd w:val="0"/>
              <w:spacing w:line="240" w:lineRule="auto"/>
              <w:ind w:left="500"/>
              <w:jc w:val="center"/>
              <w:textAlignment w:val="center"/>
              <w:rPr>
                <w:rFonts w:cs="Arial"/>
                <w:color w:val="000000" w:themeColor="text1"/>
                <w:sz w:val="20"/>
                <w:szCs w:val="20"/>
              </w:rPr>
            </w:pP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30 March 2025</w:t>
            </w:r>
          </w:p>
        </w:tc>
        <w:tc>
          <w:tcPr>
            <w:tcW w:w="2277" w:type="dxa"/>
            <w:gridSpan w:val="2"/>
          </w:tcPr>
          <w:p w14:paraId="5F6CB46F" w14:textId="77777777" w:rsidR="006A7B22" w:rsidRPr="006A7B22" w:rsidRDefault="006A7B22" w:rsidP="006A7B22">
            <w:pPr>
              <w:autoSpaceDE w:val="0"/>
              <w:autoSpaceDN w:val="0"/>
              <w:adjustRightInd w:val="0"/>
              <w:spacing w:line="240" w:lineRule="auto"/>
              <w:ind w:left="520"/>
              <w:jc w:val="center"/>
              <w:textAlignment w:val="center"/>
              <w:rPr>
                <w:rFonts w:cs="Arial"/>
                <w:color w:val="000000" w:themeColor="text1"/>
                <w:sz w:val="20"/>
                <w:szCs w:val="20"/>
              </w:rPr>
            </w:pP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31 March 2024</w:t>
            </w:r>
          </w:p>
        </w:tc>
      </w:tr>
      <w:tr w:rsidR="006A7B22" w:rsidRPr="006A7B22" w14:paraId="6D6A58A9" w14:textId="77777777" w:rsidTr="006A7B22">
        <w:trPr>
          <w:trHeight w:val="60"/>
        </w:trPr>
        <w:tc>
          <w:tcPr>
            <w:tcW w:w="5295" w:type="dxa"/>
          </w:tcPr>
          <w:p w14:paraId="536AC382"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tcPr>
          <w:p w14:paraId="41DB374E" w14:textId="77777777" w:rsidR="006A7B22" w:rsidRPr="006A7B22" w:rsidRDefault="006A7B22" w:rsidP="006A7B22">
            <w:pPr>
              <w:autoSpaceDE w:val="0"/>
              <w:autoSpaceDN w:val="0"/>
              <w:adjustRightInd w:val="0"/>
              <w:spacing w:line="240" w:lineRule="auto"/>
              <w:jc w:val="right"/>
              <w:textAlignment w:val="center"/>
              <w:rPr>
                <w:rFonts w:cs="Arial"/>
                <w:b/>
                <w:bCs/>
                <w:color w:val="000000" w:themeColor="text1"/>
                <w:sz w:val="20"/>
                <w:szCs w:val="20"/>
              </w:rPr>
            </w:pPr>
            <w:r w:rsidRPr="006A7B22">
              <w:rPr>
                <w:rFonts w:cs="Arial"/>
                <w:b/>
                <w:bCs/>
                <w:color w:val="000000" w:themeColor="text1"/>
                <w:sz w:val="20"/>
                <w:szCs w:val="20"/>
              </w:rPr>
              <w:t>Level 2</w:t>
            </w:r>
          </w:p>
          <w:p w14:paraId="11E5867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8" w:type="dxa"/>
          </w:tcPr>
          <w:p w14:paraId="2D63BED3" w14:textId="77777777" w:rsidR="006A7B22" w:rsidRPr="006A7B22" w:rsidRDefault="006A7B22" w:rsidP="006A7B22">
            <w:pPr>
              <w:autoSpaceDE w:val="0"/>
              <w:autoSpaceDN w:val="0"/>
              <w:adjustRightInd w:val="0"/>
              <w:spacing w:line="240" w:lineRule="auto"/>
              <w:jc w:val="right"/>
              <w:textAlignment w:val="center"/>
              <w:rPr>
                <w:rFonts w:cs="Arial"/>
                <w:b/>
                <w:bCs/>
                <w:color w:val="000000" w:themeColor="text1"/>
                <w:sz w:val="20"/>
                <w:szCs w:val="20"/>
              </w:rPr>
            </w:pPr>
            <w:r w:rsidRPr="006A7B22">
              <w:rPr>
                <w:rFonts w:cs="Arial"/>
                <w:b/>
                <w:bCs/>
                <w:color w:val="000000" w:themeColor="text1"/>
                <w:sz w:val="20"/>
                <w:szCs w:val="20"/>
              </w:rPr>
              <w:t>Total</w:t>
            </w:r>
          </w:p>
          <w:p w14:paraId="669C5E58"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8" w:type="dxa"/>
          </w:tcPr>
          <w:p w14:paraId="17DC50EE" w14:textId="77777777" w:rsidR="006A7B22" w:rsidRPr="006A7B22" w:rsidRDefault="006A7B22" w:rsidP="006A7B22">
            <w:pPr>
              <w:autoSpaceDE w:val="0"/>
              <w:autoSpaceDN w:val="0"/>
              <w:adjustRightInd w:val="0"/>
              <w:spacing w:line="240" w:lineRule="auto"/>
              <w:jc w:val="right"/>
              <w:textAlignment w:val="center"/>
              <w:rPr>
                <w:rFonts w:cs="Arial"/>
                <w:b/>
                <w:bCs/>
                <w:color w:val="000000" w:themeColor="text1"/>
                <w:sz w:val="20"/>
                <w:szCs w:val="20"/>
              </w:rPr>
            </w:pPr>
            <w:r w:rsidRPr="006A7B22">
              <w:rPr>
                <w:rFonts w:cs="Arial"/>
                <w:b/>
                <w:bCs/>
                <w:color w:val="000000" w:themeColor="text1"/>
                <w:sz w:val="20"/>
                <w:szCs w:val="20"/>
              </w:rPr>
              <w:t>Level 2</w:t>
            </w:r>
          </w:p>
          <w:p w14:paraId="7A1970B5"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9" w:type="dxa"/>
          </w:tcPr>
          <w:p w14:paraId="3D05BD13" w14:textId="77777777" w:rsidR="006A7B22" w:rsidRPr="006A7B22" w:rsidRDefault="006A7B22" w:rsidP="006A7B22">
            <w:pPr>
              <w:autoSpaceDE w:val="0"/>
              <w:autoSpaceDN w:val="0"/>
              <w:adjustRightInd w:val="0"/>
              <w:spacing w:line="240" w:lineRule="auto"/>
              <w:jc w:val="right"/>
              <w:textAlignment w:val="center"/>
              <w:rPr>
                <w:rFonts w:cs="Arial"/>
                <w:b/>
                <w:bCs/>
                <w:color w:val="000000" w:themeColor="text1"/>
                <w:sz w:val="20"/>
                <w:szCs w:val="20"/>
              </w:rPr>
            </w:pPr>
            <w:r w:rsidRPr="006A7B22">
              <w:rPr>
                <w:rFonts w:cs="Arial"/>
                <w:b/>
                <w:bCs/>
                <w:color w:val="000000" w:themeColor="text1"/>
                <w:sz w:val="20"/>
                <w:szCs w:val="20"/>
              </w:rPr>
              <w:t>Total</w:t>
            </w:r>
          </w:p>
          <w:p w14:paraId="20335C58"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tl/>
                <w:lang w:bidi="ar-YE"/>
              </w:rPr>
              <w:t>£’000</w:t>
            </w:r>
          </w:p>
        </w:tc>
      </w:tr>
      <w:tr w:rsidR="006A7B22" w:rsidRPr="006A7B22" w14:paraId="0397749F" w14:textId="77777777" w:rsidTr="006A7B22">
        <w:trPr>
          <w:trHeight w:val="283"/>
        </w:trPr>
        <w:tc>
          <w:tcPr>
            <w:tcW w:w="5295" w:type="dxa"/>
          </w:tcPr>
          <w:p w14:paraId="23D82A2E"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b/>
                <w:bCs/>
                <w:color w:val="000000" w:themeColor="text1"/>
                <w:sz w:val="20"/>
                <w:szCs w:val="20"/>
              </w:rPr>
              <w:t>Financial assets at FVTPL</w:t>
            </w:r>
          </w:p>
        </w:tc>
        <w:tc>
          <w:tcPr>
            <w:tcW w:w="1139" w:type="dxa"/>
          </w:tcPr>
          <w:p w14:paraId="36D6F802"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6FF541A3"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2EE3ED0C"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tcPr>
          <w:p w14:paraId="7909AF4F"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654265E4" w14:textId="77777777" w:rsidTr="006A7B22">
        <w:trPr>
          <w:trHeight w:val="283"/>
        </w:trPr>
        <w:tc>
          <w:tcPr>
            <w:tcW w:w="5295" w:type="dxa"/>
          </w:tcPr>
          <w:p w14:paraId="6461A218"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Derivative financial assets:</w:t>
            </w:r>
          </w:p>
        </w:tc>
        <w:tc>
          <w:tcPr>
            <w:tcW w:w="1139" w:type="dxa"/>
          </w:tcPr>
          <w:p w14:paraId="1094649D"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27E4921C"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06C6030F"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tcPr>
          <w:p w14:paraId="7570037A"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436D0989" w14:textId="77777777" w:rsidTr="006A7B22">
        <w:trPr>
          <w:trHeight w:val="283"/>
        </w:trPr>
        <w:tc>
          <w:tcPr>
            <w:tcW w:w="5295" w:type="dxa"/>
          </w:tcPr>
          <w:p w14:paraId="3F4BBE5C"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Due within one year</w:t>
            </w:r>
          </w:p>
        </w:tc>
        <w:tc>
          <w:tcPr>
            <w:tcW w:w="1139" w:type="dxa"/>
          </w:tcPr>
          <w:p w14:paraId="57D2A3CA"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30</w:t>
            </w:r>
          </w:p>
        </w:tc>
        <w:tc>
          <w:tcPr>
            <w:tcW w:w="1138" w:type="dxa"/>
          </w:tcPr>
          <w:p w14:paraId="46E26A7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30</w:t>
            </w:r>
          </w:p>
        </w:tc>
        <w:tc>
          <w:tcPr>
            <w:tcW w:w="1138" w:type="dxa"/>
          </w:tcPr>
          <w:p w14:paraId="771AB775"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1,892</w:t>
            </w:r>
          </w:p>
        </w:tc>
        <w:tc>
          <w:tcPr>
            <w:tcW w:w="1139" w:type="dxa"/>
          </w:tcPr>
          <w:p w14:paraId="56FD031B"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1,892</w:t>
            </w:r>
          </w:p>
        </w:tc>
      </w:tr>
      <w:tr w:rsidR="006A7B22" w:rsidRPr="006A7B22" w14:paraId="0AEDAF07" w14:textId="77777777" w:rsidTr="006A7B22">
        <w:trPr>
          <w:trHeight w:val="283"/>
        </w:trPr>
        <w:tc>
          <w:tcPr>
            <w:tcW w:w="5295" w:type="dxa"/>
          </w:tcPr>
          <w:p w14:paraId="4913A7BB"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Due after more than one year</w:t>
            </w:r>
          </w:p>
        </w:tc>
        <w:tc>
          <w:tcPr>
            <w:tcW w:w="1139" w:type="dxa"/>
          </w:tcPr>
          <w:p w14:paraId="12169E68"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w:t>
            </w:r>
          </w:p>
        </w:tc>
        <w:tc>
          <w:tcPr>
            <w:tcW w:w="1138" w:type="dxa"/>
          </w:tcPr>
          <w:p w14:paraId="08C7BDB9"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w:t>
            </w:r>
          </w:p>
        </w:tc>
        <w:tc>
          <w:tcPr>
            <w:tcW w:w="1138" w:type="dxa"/>
          </w:tcPr>
          <w:p w14:paraId="71C60FB0"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337</w:t>
            </w:r>
          </w:p>
        </w:tc>
        <w:tc>
          <w:tcPr>
            <w:tcW w:w="1139" w:type="dxa"/>
          </w:tcPr>
          <w:p w14:paraId="5654B697"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337</w:t>
            </w:r>
          </w:p>
        </w:tc>
      </w:tr>
      <w:tr w:rsidR="006A7B22" w:rsidRPr="006A7B22" w14:paraId="3BB93FA8" w14:textId="77777777" w:rsidTr="006A7B22">
        <w:trPr>
          <w:trHeight w:val="283"/>
        </w:trPr>
        <w:tc>
          <w:tcPr>
            <w:tcW w:w="5295" w:type="dxa"/>
          </w:tcPr>
          <w:p w14:paraId="5B604FCC"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b/>
                <w:bCs/>
                <w:color w:val="000000" w:themeColor="text1"/>
                <w:sz w:val="20"/>
                <w:szCs w:val="20"/>
              </w:rPr>
              <w:t>Total</w:t>
            </w:r>
          </w:p>
        </w:tc>
        <w:tc>
          <w:tcPr>
            <w:tcW w:w="1139" w:type="dxa"/>
          </w:tcPr>
          <w:p w14:paraId="18E21E0D"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30</w:t>
            </w:r>
          </w:p>
        </w:tc>
        <w:tc>
          <w:tcPr>
            <w:tcW w:w="1138" w:type="dxa"/>
          </w:tcPr>
          <w:p w14:paraId="35A7A381"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30</w:t>
            </w:r>
          </w:p>
        </w:tc>
        <w:tc>
          <w:tcPr>
            <w:tcW w:w="1138" w:type="dxa"/>
          </w:tcPr>
          <w:p w14:paraId="7B3849FA"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2,229</w:t>
            </w:r>
          </w:p>
        </w:tc>
        <w:tc>
          <w:tcPr>
            <w:tcW w:w="1139" w:type="dxa"/>
          </w:tcPr>
          <w:p w14:paraId="397AEBEA"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2,229</w:t>
            </w:r>
          </w:p>
        </w:tc>
      </w:tr>
      <w:tr w:rsidR="006A7B22" w:rsidRPr="006A7B22" w14:paraId="73A2796E" w14:textId="77777777" w:rsidTr="006A7B22">
        <w:trPr>
          <w:trHeight w:val="283"/>
        </w:trPr>
        <w:tc>
          <w:tcPr>
            <w:tcW w:w="5295" w:type="dxa"/>
          </w:tcPr>
          <w:p w14:paraId="4CCBED17"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b/>
                <w:bCs/>
                <w:color w:val="000000" w:themeColor="text1"/>
                <w:sz w:val="20"/>
                <w:szCs w:val="20"/>
              </w:rPr>
              <w:t>Financial liabilities at FVTPL</w:t>
            </w:r>
          </w:p>
        </w:tc>
        <w:tc>
          <w:tcPr>
            <w:tcW w:w="1139" w:type="dxa"/>
          </w:tcPr>
          <w:p w14:paraId="46537C1F"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0BCD9944"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697D7DAC"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tcPr>
          <w:p w14:paraId="0E4B23A0"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0CF6A63A" w14:textId="77777777" w:rsidTr="006A7B22">
        <w:trPr>
          <w:trHeight w:val="283"/>
        </w:trPr>
        <w:tc>
          <w:tcPr>
            <w:tcW w:w="5295" w:type="dxa"/>
          </w:tcPr>
          <w:p w14:paraId="3B1955AA" w14:textId="77777777" w:rsidR="006A7B22" w:rsidRPr="006A7B22" w:rsidRDefault="006A7B22" w:rsidP="006A7B22">
            <w:pPr>
              <w:autoSpaceDE w:val="0"/>
              <w:autoSpaceDN w:val="0"/>
              <w:adjustRightInd w:val="0"/>
              <w:spacing w:line="240" w:lineRule="auto"/>
              <w:ind w:left="567" w:hanging="567"/>
              <w:jc w:val="both"/>
              <w:textAlignment w:val="center"/>
              <w:rPr>
                <w:rFonts w:cs="Arial"/>
                <w:color w:val="000000" w:themeColor="text1"/>
                <w:sz w:val="20"/>
                <w:szCs w:val="20"/>
              </w:rPr>
            </w:pPr>
            <w:r w:rsidRPr="006A7B22">
              <w:rPr>
                <w:rFonts w:cs="Arial"/>
                <w:color w:val="000000" w:themeColor="text1"/>
                <w:sz w:val="20"/>
                <w:szCs w:val="20"/>
              </w:rPr>
              <w:t>Derivative financial liabilities:</w:t>
            </w:r>
          </w:p>
        </w:tc>
        <w:tc>
          <w:tcPr>
            <w:tcW w:w="1139" w:type="dxa"/>
          </w:tcPr>
          <w:p w14:paraId="55F83964"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2EBE9AFA"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8" w:type="dxa"/>
          </w:tcPr>
          <w:p w14:paraId="614C4701"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tcPr>
          <w:p w14:paraId="464CD791"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2358A930" w14:textId="77777777" w:rsidTr="006A7B22">
        <w:trPr>
          <w:trHeight w:val="283"/>
        </w:trPr>
        <w:tc>
          <w:tcPr>
            <w:tcW w:w="5295" w:type="dxa"/>
          </w:tcPr>
          <w:p w14:paraId="6D53BCA9" w14:textId="77777777" w:rsidR="006A7B22" w:rsidRPr="006A7B22" w:rsidRDefault="006A7B22" w:rsidP="006A7B22">
            <w:pPr>
              <w:autoSpaceDE w:val="0"/>
              <w:autoSpaceDN w:val="0"/>
              <w:adjustRightInd w:val="0"/>
              <w:spacing w:line="240" w:lineRule="auto"/>
              <w:ind w:left="567" w:hanging="567"/>
              <w:jc w:val="both"/>
              <w:textAlignment w:val="center"/>
              <w:rPr>
                <w:rFonts w:cs="Arial"/>
                <w:color w:val="000000" w:themeColor="text1"/>
                <w:sz w:val="20"/>
                <w:szCs w:val="20"/>
              </w:rPr>
            </w:pPr>
            <w:r w:rsidRPr="006A7B22">
              <w:rPr>
                <w:rFonts w:cs="Arial"/>
                <w:color w:val="000000" w:themeColor="text1"/>
                <w:sz w:val="20"/>
                <w:szCs w:val="20"/>
              </w:rPr>
              <w:t>Due within one year</w:t>
            </w:r>
          </w:p>
        </w:tc>
        <w:tc>
          <w:tcPr>
            <w:tcW w:w="1139" w:type="dxa"/>
          </w:tcPr>
          <w:p w14:paraId="40798513"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(2,136)</w:t>
            </w:r>
          </w:p>
        </w:tc>
        <w:tc>
          <w:tcPr>
            <w:tcW w:w="1138" w:type="dxa"/>
          </w:tcPr>
          <w:p w14:paraId="10F2F01D"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(2,136)</w:t>
            </w:r>
          </w:p>
        </w:tc>
        <w:tc>
          <w:tcPr>
            <w:tcW w:w="1138" w:type="dxa"/>
          </w:tcPr>
          <w:p w14:paraId="52F2439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(505)</w:t>
            </w:r>
          </w:p>
        </w:tc>
        <w:tc>
          <w:tcPr>
            <w:tcW w:w="1139" w:type="dxa"/>
          </w:tcPr>
          <w:p w14:paraId="331763B3"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(505)</w:t>
            </w:r>
          </w:p>
        </w:tc>
      </w:tr>
      <w:tr w:rsidR="006A7B22" w:rsidRPr="006A7B22" w14:paraId="51B6B3E4" w14:textId="77777777" w:rsidTr="006A7B22">
        <w:trPr>
          <w:trHeight w:val="283"/>
        </w:trPr>
        <w:tc>
          <w:tcPr>
            <w:tcW w:w="5295" w:type="dxa"/>
          </w:tcPr>
          <w:p w14:paraId="1B5F6424" w14:textId="77777777" w:rsidR="006A7B22" w:rsidRPr="006A7B22" w:rsidRDefault="006A7B22" w:rsidP="006A7B22">
            <w:pPr>
              <w:autoSpaceDE w:val="0"/>
              <w:autoSpaceDN w:val="0"/>
              <w:adjustRightInd w:val="0"/>
              <w:spacing w:line="240" w:lineRule="auto"/>
              <w:ind w:left="567" w:hanging="567"/>
              <w:jc w:val="both"/>
              <w:textAlignment w:val="center"/>
              <w:rPr>
                <w:rFonts w:cs="Arial"/>
                <w:color w:val="000000" w:themeColor="text1"/>
                <w:sz w:val="20"/>
                <w:szCs w:val="20"/>
              </w:rPr>
            </w:pPr>
            <w:r w:rsidRPr="006A7B22">
              <w:rPr>
                <w:rFonts w:cs="Arial"/>
                <w:color w:val="000000" w:themeColor="text1"/>
                <w:sz w:val="20"/>
                <w:szCs w:val="20"/>
              </w:rPr>
              <w:t>Due after more than one year</w:t>
            </w:r>
          </w:p>
        </w:tc>
        <w:tc>
          <w:tcPr>
            <w:tcW w:w="1139" w:type="dxa"/>
          </w:tcPr>
          <w:p w14:paraId="35917A6B"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(1,234)</w:t>
            </w:r>
          </w:p>
        </w:tc>
        <w:tc>
          <w:tcPr>
            <w:tcW w:w="1138" w:type="dxa"/>
          </w:tcPr>
          <w:p w14:paraId="29121D56"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(1,234)</w:t>
            </w:r>
          </w:p>
        </w:tc>
        <w:tc>
          <w:tcPr>
            <w:tcW w:w="1138" w:type="dxa"/>
          </w:tcPr>
          <w:p w14:paraId="36FC242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(597)</w:t>
            </w:r>
          </w:p>
        </w:tc>
        <w:tc>
          <w:tcPr>
            <w:tcW w:w="1139" w:type="dxa"/>
          </w:tcPr>
          <w:p w14:paraId="02033FE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(597)</w:t>
            </w:r>
          </w:p>
        </w:tc>
      </w:tr>
      <w:tr w:rsidR="006A7B22" w:rsidRPr="006A7B22" w14:paraId="1CA13380" w14:textId="77777777" w:rsidTr="006A7B22">
        <w:trPr>
          <w:trHeight w:val="283"/>
        </w:trPr>
        <w:tc>
          <w:tcPr>
            <w:tcW w:w="5295" w:type="dxa"/>
          </w:tcPr>
          <w:p w14:paraId="69201628"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b/>
                <w:bCs/>
                <w:color w:val="000000" w:themeColor="text1"/>
                <w:sz w:val="20"/>
                <w:szCs w:val="20"/>
              </w:rPr>
              <w:t>Total</w:t>
            </w:r>
          </w:p>
        </w:tc>
        <w:tc>
          <w:tcPr>
            <w:tcW w:w="1139" w:type="dxa"/>
          </w:tcPr>
          <w:p w14:paraId="0EFEF5B2"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(3,370)</w:t>
            </w:r>
          </w:p>
        </w:tc>
        <w:tc>
          <w:tcPr>
            <w:tcW w:w="1138" w:type="dxa"/>
          </w:tcPr>
          <w:p w14:paraId="66245620"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(3,370)</w:t>
            </w:r>
          </w:p>
        </w:tc>
        <w:tc>
          <w:tcPr>
            <w:tcW w:w="1138" w:type="dxa"/>
          </w:tcPr>
          <w:p w14:paraId="1B08E6C3"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(1,102)</w:t>
            </w:r>
          </w:p>
        </w:tc>
        <w:tc>
          <w:tcPr>
            <w:tcW w:w="1139" w:type="dxa"/>
          </w:tcPr>
          <w:p w14:paraId="3F899836"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(1,102)</w:t>
            </w:r>
          </w:p>
        </w:tc>
      </w:tr>
    </w:tbl>
    <w:p w14:paraId="04F708E0" w14:textId="77777777" w:rsidR="003E25FA" w:rsidRPr="003E25FA" w:rsidRDefault="003E25FA" w:rsidP="003E25FA">
      <w:pPr>
        <w:rPr>
          <w:i/>
          <w:iCs/>
        </w:rPr>
      </w:pPr>
    </w:p>
    <w:p w14:paraId="4325E7CC" w14:textId="2F834D47" w:rsidR="006A7B22" w:rsidRDefault="006A7B22">
      <w:pPr>
        <w:spacing w:line="240" w:lineRule="auto"/>
        <w:rPr>
          <w:i/>
          <w:iCs/>
          <w:color w:val="000000" w:themeColor="text1"/>
        </w:rPr>
      </w:pPr>
      <w:r>
        <w:rPr>
          <w:i/>
          <w:iCs/>
          <w:color w:val="000000" w:themeColor="text1"/>
        </w:rPr>
        <w:br w:type="page"/>
      </w:r>
    </w:p>
    <w:tbl>
      <w:tblPr>
        <w:tblStyle w:val="TableGrid"/>
        <w:tblW w:w="0" w:type="auto"/>
        <w:tblLayout w:type="fixed"/>
        <w:tblLook w:val="0000" w:firstRow="0" w:lastRow="0" w:firstColumn="0" w:lastColumn="0" w:noHBand="0" w:noVBand="0"/>
      </w:tblPr>
      <w:tblGrid>
        <w:gridCol w:w="5306"/>
        <w:gridCol w:w="1139"/>
        <w:gridCol w:w="1138"/>
        <w:gridCol w:w="1139"/>
        <w:gridCol w:w="1138"/>
      </w:tblGrid>
      <w:tr w:rsidR="006A7B22" w:rsidRPr="006A7B22" w14:paraId="2598A650" w14:textId="77777777" w:rsidTr="006A7B22">
        <w:trPr>
          <w:trHeight w:val="624"/>
        </w:trPr>
        <w:tc>
          <w:tcPr>
            <w:tcW w:w="5306" w:type="dxa"/>
          </w:tcPr>
          <w:p w14:paraId="7FAB27B7"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2277" w:type="dxa"/>
            <w:gridSpan w:val="2"/>
          </w:tcPr>
          <w:p w14:paraId="641F81BA" w14:textId="77777777" w:rsidR="006A7B22" w:rsidRPr="006A7B22" w:rsidRDefault="006A7B22" w:rsidP="006A7B22">
            <w:pPr>
              <w:tabs>
                <w:tab w:val="decimal" w:pos="711"/>
              </w:tabs>
              <w:autoSpaceDE w:val="0"/>
              <w:autoSpaceDN w:val="0"/>
              <w:adjustRightInd w:val="0"/>
              <w:spacing w:line="240" w:lineRule="auto"/>
              <w:ind w:left="500"/>
              <w:jc w:val="center"/>
              <w:textAlignment w:val="center"/>
              <w:rPr>
                <w:rFonts w:cs="Arial"/>
                <w:color w:val="000000" w:themeColor="text1"/>
                <w:sz w:val="20"/>
                <w:szCs w:val="20"/>
              </w:rPr>
            </w:pP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30 March 2025</w:t>
            </w:r>
          </w:p>
        </w:tc>
        <w:tc>
          <w:tcPr>
            <w:tcW w:w="2277" w:type="dxa"/>
            <w:gridSpan w:val="2"/>
          </w:tcPr>
          <w:p w14:paraId="27C0AC24" w14:textId="77777777" w:rsidR="006A7B22" w:rsidRPr="006A7B22" w:rsidRDefault="006A7B22" w:rsidP="006A7B22">
            <w:pPr>
              <w:tabs>
                <w:tab w:val="decimal" w:pos="711"/>
              </w:tabs>
              <w:autoSpaceDE w:val="0"/>
              <w:autoSpaceDN w:val="0"/>
              <w:adjustRightInd w:val="0"/>
              <w:spacing w:line="240" w:lineRule="auto"/>
              <w:ind w:left="520"/>
              <w:jc w:val="center"/>
              <w:textAlignment w:val="center"/>
              <w:rPr>
                <w:rFonts w:cs="Arial"/>
                <w:color w:val="000000" w:themeColor="text1"/>
                <w:sz w:val="20"/>
                <w:szCs w:val="20"/>
              </w:rPr>
            </w:pP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31 March 2024</w:t>
            </w:r>
          </w:p>
        </w:tc>
      </w:tr>
      <w:tr w:rsidR="006A7B22" w:rsidRPr="006A7B22" w14:paraId="16B0588F" w14:textId="77777777" w:rsidTr="006A7B22">
        <w:trPr>
          <w:trHeight w:val="60"/>
        </w:trPr>
        <w:tc>
          <w:tcPr>
            <w:tcW w:w="5306" w:type="dxa"/>
          </w:tcPr>
          <w:p w14:paraId="6C311E9B"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1139" w:type="dxa"/>
            <w:vAlign w:val="center"/>
          </w:tcPr>
          <w:p w14:paraId="33700E74"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b/>
                <w:bCs/>
                <w:color w:val="000000" w:themeColor="text1"/>
                <w:sz w:val="20"/>
                <w:szCs w:val="20"/>
              </w:rPr>
            </w:pPr>
            <w:r w:rsidRPr="006A7B22">
              <w:rPr>
                <w:rFonts w:cs="Arial"/>
                <w:b/>
                <w:bCs/>
                <w:color w:val="000000" w:themeColor="text1"/>
                <w:sz w:val="20"/>
                <w:szCs w:val="20"/>
              </w:rPr>
              <w:t>Level 2</w:t>
            </w:r>
          </w:p>
          <w:p w14:paraId="6CE7526D"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8" w:type="dxa"/>
            <w:vAlign w:val="center"/>
          </w:tcPr>
          <w:p w14:paraId="01521B15"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b/>
                <w:bCs/>
                <w:color w:val="000000" w:themeColor="text1"/>
                <w:sz w:val="20"/>
                <w:szCs w:val="20"/>
              </w:rPr>
            </w:pPr>
            <w:r w:rsidRPr="006A7B22">
              <w:rPr>
                <w:rFonts w:cs="Arial"/>
                <w:b/>
                <w:bCs/>
                <w:color w:val="000000" w:themeColor="text1"/>
                <w:sz w:val="20"/>
                <w:szCs w:val="20"/>
              </w:rPr>
              <w:t>Total</w:t>
            </w:r>
          </w:p>
          <w:p w14:paraId="45E5B54B"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9" w:type="dxa"/>
            <w:vAlign w:val="center"/>
          </w:tcPr>
          <w:p w14:paraId="1868CEB9"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b/>
                <w:bCs/>
                <w:color w:val="000000" w:themeColor="text1"/>
                <w:sz w:val="20"/>
                <w:szCs w:val="20"/>
              </w:rPr>
            </w:pPr>
            <w:r w:rsidRPr="006A7B22">
              <w:rPr>
                <w:rFonts w:cs="Arial"/>
                <w:b/>
                <w:bCs/>
                <w:color w:val="000000" w:themeColor="text1"/>
                <w:sz w:val="20"/>
                <w:szCs w:val="20"/>
              </w:rPr>
              <w:t>Level 2</w:t>
            </w:r>
          </w:p>
          <w:p w14:paraId="07CF514C"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tl/>
                <w:lang w:bidi="ar-YE"/>
              </w:rPr>
              <w:t>£’000</w:t>
            </w:r>
          </w:p>
        </w:tc>
        <w:tc>
          <w:tcPr>
            <w:tcW w:w="1138" w:type="dxa"/>
            <w:vAlign w:val="center"/>
          </w:tcPr>
          <w:p w14:paraId="376E8C07"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b/>
                <w:bCs/>
                <w:color w:val="000000" w:themeColor="text1"/>
                <w:sz w:val="20"/>
                <w:szCs w:val="20"/>
              </w:rPr>
            </w:pPr>
            <w:r w:rsidRPr="006A7B22">
              <w:rPr>
                <w:rFonts w:cs="Arial"/>
                <w:b/>
                <w:bCs/>
                <w:color w:val="000000" w:themeColor="text1"/>
                <w:sz w:val="20"/>
                <w:szCs w:val="20"/>
              </w:rPr>
              <w:t>Total</w:t>
            </w:r>
          </w:p>
          <w:p w14:paraId="26FEC3F5"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tl/>
                <w:lang w:bidi="ar-YE"/>
              </w:rPr>
              <w:t>£’000</w:t>
            </w:r>
          </w:p>
        </w:tc>
      </w:tr>
      <w:tr w:rsidR="006A7B22" w:rsidRPr="006A7B22" w14:paraId="361B8CD5" w14:textId="77777777" w:rsidTr="006A7B22">
        <w:trPr>
          <w:trHeight w:val="283"/>
        </w:trPr>
        <w:tc>
          <w:tcPr>
            <w:tcW w:w="5306" w:type="dxa"/>
          </w:tcPr>
          <w:p w14:paraId="06423587"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Opening fair value of derivative financial instruments</w:t>
            </w:r>
          </w:p>
        </w:tc>
        <w:tc>
          <w:tcPr>
            <w:tcW w:w="1139" w:type="dxa"/>
            <w:vAlign w:val="center"/>
          </w:tcPr>
          <w:p w14:paraId="350C2BC6"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1,127</w:t>
            </w:r>
          </w:p>
        </w:tc>
        <w:tc>
          <w:tcPr>
            <w:tcW w:w="1138" w:type="dxa"/>
            <w:vAlign w:val="center"/>
          </w:tcPr>
          <w:p w14:paraId="2EF81975"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1,127</w:t>
            </w:r>
          </w:p>
        </w:tc>
        <w:tc>
          <w:tcPr>
            <w:tcW w:w="1139" w:type="dxa"/>
            <w:vAlign w:val="center"/>
          </w:tcPr>
          <w:p w14:paraId="7EF55EC3"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148</w:t>
            </w:r>
          </w:p>
        </w:tc>
        <w:tc>
          <w:tcPr>
            <w:tcW w:w="1138" w:type="dxa"/>
            <w:vAlign w:val="center"/>
          </w:tcPr>
          <w:p w14:paraId="26416710"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148</w:t>
            </w:r>
          </w:p>
        </w:tc>
      </w:tr>
      <w:tr w:rsidR="006A7B22" w:rsidRPr="006A7B22" w14:paraId="51AEA514" w14:textId="77777777" w:rsidTr="006A7B22">
        <w:trPr>
          <w:trHeight w:val="283"/>
        </w:trPr>
        <w:tc>
          <w:tcPr>
            <w:tcW w:w="5306" w:type="dxa"/>
          </w:tcPr>
          <w:p w14:paraId="59F68DCF"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New trades</w:t>
            </w:r>
          </w:p>
        </w:tc>
        <w:tc>
          <w:tcPr>
            <w:tcW w:w="1139" w:type="dxa"/>
            <w:vAlign w:val="center"/>
          </w:tcPr>
          <w:p w14:paraId="62AB3482"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(1,306)</w:t>
            </w:r>
          </w:p>
        </w:tc>
        <w:tc>
          <w:tcPr>
            <w:tcW w:w="1138" w:type="dxa"/>
            <w:vAlign w:val="center"/>
          </w:tcPr>
          <w:p w14:paraId="5D0A5829"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(1,306)</w:t>
            </w:r>
          </w:p>
        </w:tc>
        <w:tc>
          <w:tcPr>
            <w:tcW w:w="1139" w:type="dxa"/>
            <w:vAlign w:val="center"/>
          </w:tcPr>
          <w:p w14:paraId="70E4FD2D"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564</w:t>
            </w:r>
          </w:p>
        </w:tc>
        <w:tc>
          <w:tcPr>
            <w:tcW w:w="1138" w:type="dxa"/>
            <w:vAlign w:val="center"/>
          </w:tcPr>
          <w:p w14:paraId="1BD190D9"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564</w:t>
            </w:r>
          </w:p>
        </w:tc>
      </w:tr>
      <w:tr w:rsidR="006A7B22" w:rsidRPr="006A7B22" w14:paraId="58C9C345" w14:textId="77777777" w:rsidTr="006A7B22">
        <w:trPr>
          <w:trHeight w:val="283"/>
        </w:trPr>
        <w:tc>
          <w:tcPr>
            <w:tcW w:w="5306" w:type="dxa"/>
          </w:tcPr>
          <w:p w14:paraId="33FFDEB6"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Trades settled</w:t>
            </w:r>
          </w:p>
        </w:tc>
        <w:tc>
          <w:tcPr>
            <w:tcW w:w="1139" w:type="dxa"/>
            <w:vAlign w:val="center"/>
          </w:tcPr>
          <w:p w14:paraId="7A0FBBEA"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(1,128)</w:t>
            </w:r>
          </w:p>
        </w:tc>
        <w:tc>
          <w:tcPr>
            <w:tcW w:w="1138" w:type="dxa"/>
            <w:vAlign w:val="center"/>
          </w:tcPr>
          <w:p w14:paraId="48A8EB01"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(1,128)</w:t>
            </w:r>
          </w:p>
        </w:tc>
        <w:tc>
          <w:tcPr>
            <w:tcW w:w="1139" w:type="dxa"/>
            <w:vAlign w:val="center"/>
          </w:tcPr>
          <w:p w14:paraId="134C6DE4"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707</w:t>
            </w:r>
          </w:p>
        </w:tc>
        <w:tc>
          <w:tcPr>
            <w:tcW w:w="1138" w:type="dxa"/>
            <w:vAlign w:val="center"/>
          </w:tcPr>
          <w:p w14:paraId="76208636"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707</w:t>
            </w:r>
          </w:p>
        </w:tc>
      </w:tr>
      <w:tr w:rsidR="006A7B22" w:rsidRPr="006A7B22" w14:paraId="5600B768" w14:textId="77777777" w:rsidTr="006A7B22">
        <w:trPr>
          <w:trHeight w:val="283"/>
        </w:trPr>
        <w:tc>
          <w:tcPr>
            <w:tcW w:w="5306" w:type="dxa"/>
          </w:tcPr>
          <w:p w14:paraId="4F551F6F"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color w:val="000000" w:themeColor="text1"/>
                <w:sz w:val="20"/>
                <w:szCs w:val="20"/>
              </w:rPr>
              <w:t>Movement in fair value</w:t>
            </w:r>
          </w:p>
        </w:tc>
        <w:tc>
          <w:tcPr>
            <w:tcW w:w="1139" w:type="dxa"/>
            <w:vAlign w:val="center"/>
          </w:tcPr>
          <w:p w14:paraId="0FA3B859"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(2,033)</w:t>
            </w:r>
          </w:p>
        </w:tc>
        <w:tc>
          <w:tcPr>
            <w:tcW w:w="1138" w:type="dxa"/>
            <w:vAlign w:val="center"/>
          </w:tcPr>
          <w:p w14:paraId="16E3EBB3"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(2,033)</w:t>
            </w:r>
          </w:p>
        </w:tc>
        <w:tc>
          <w:tcPr>
            <w:tcW w:w="1139" w:type="dxa"/>
            <w:vAlign w:val="center"/>
          </w:tcPr>
          <w:p w14:paraId="40D602CD"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(292)</w:t>
            </w:r>
          </w:p>
        </w:tc>
        <w:tc>
          <w:tcPr>
            <w:tcW w:w="1138" w:type="dxa"/>
            <w:vAlign w:val="center"/>
          </w:tcPr>
          <w:p w14:paraId="6D3644F7"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color w:val="000000" w:themeColor="text1"/>
                <w:sz w:val="20"/>
                <w:szCs w:val="20"/>
              </w:rPr>
              <w:t>(292)</w:t>
            </w:r>
          </w:p>
        </w:tc>
      </w:tr>
      <w:tr w:rsidR="006A7B22" w:rsidRPr="006A7B22" w14:paraId="4CF0ED81" w14:textId="77777777" w:rsidTr="006A7B22">
        <w:trPr>
          <w:trHeight w:val="283"/>
        </w:trPr>
        <w:tc>
          <w:tcPr>
            <w:tcW w:w="5306" w:type="dxa"/>
          </w:tcPr>
          <w:p w14:paraId="7488FE66" w14:textId="77777777" w:rsidR="006A7B22" w:rsidRPr="006A7B22" w:rsidRDefault="006A7B22" w:rsidP="006A7B22">
            <w:pPr>
              <w:autoSpaceDE w:val="0"/>
              <w:autoSpaceDN w:val="0"/>
              <w:adjustRightInd w:val="0"/>
              <w:spacing w:line="240" w:lineRule="auto"/>
              <w:jc w:val="both"/>
              <w:textAlignment w:val="center"/>
              <w:rPr>
                <w:rFonts w:cs="Arial"/>
                <w:color w:val="000000" w:themeColor="text1"/>
                <w:sz w:val="20"/>
                <w:szCs w:val="20"/>
              </w:rPr>
            </w:pPr>
            <w:r w:rsidRPr="006A7B22">
              <w:rPr>
                <w:rFonts w:cs="Arial"/>
                <w:b/>
                <w:bCs/>
                <w:color w:val="000000" w:themeColor="text1"/>
                <w:sz w:val="20"/>
                <w:szCs w:val="20"/>
              </w:rPr>
              <w:t>Closing fair value of derivative instruments</w:t>
            </w:r>
          </w:p>
        </w:tc>
        <w:tc>
          <w:tcPr>
            <w:tcW w:w="1139" w:type="dxa"/>
            <w:vAlign w:val="center"/>
          </w:tcPr>
          <w:p w14:paraId="4694854B"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Pr>
              <w:t>(3,340)</w:t>
            </w:r>
          </w:p>
        </w:tc>
        <w:tc>
          <w:tcPr>
            <w:tcW w:w="1138" w:type="dxa"/>
            <w:vAlign w:val="center"/>
          </w:tcPr>
          <w:p w14:paraId="4ACA59D9"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Pr>
              <w:t>(3,340)</w:t>
            </w:r>
          </w:p>
        </w:tc>
        <w:tc>
          <w:tcPr>
            <w:tcW w:w="1139" w:type="dxa"/>
            <w:vAlign w:val="center"/>
          </w:tcPr>
          <w:p w14:paraId="4FE5BE3C"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Pr>
              <w:t>1,127</w:t>
            </w:r>
          </w:p>
        </w:tc>
        <w:tc>
          <w:tcPr>
            <w:tcW w:w="1138" w:type="dxa"/>
            <w:vAlign w:val="center"/>
          </w:tcPr>
          <w:p w14:paraId="3BBFECEC" w14:textId="77777777" w:rsidR="006A7B22" w:rsidRPr="006A7B22" w:rsidRDefault="006A7B22" w:rsidP="006A7B22">
            <w:pPr>
              <w:tabs>
                <w:tab w:val="decimal" w:pos="711"/>
              </w:tabs>
              <w:autoSpaceDE w:val="0"/>
              <w:autoSpaceDN w:val="0"/>
              <w:adjustRightInd w:val="0"/>
              <w:spacing w:line="240" w:lineRule="auto"/>
              <w:jc w:val="center"/>
              <w:textAlignment w:val="center"/>
              <w:rPr>
                <w:rFonts w:cs="Arial"/>
                <w:color w:val="000000" w:themeColor="text1"/>
                <w:sz w:val="20"/>
                <w:szCs w:val="20"/>
              </w:rPr>
            </w:pPr>
            <w:r w:rsidRPr="006A7B22">
              <w:rPr>
                <w:rFonts w:cs="Arial"/>
                <w:b/>
                <w:bCs/>
                <w:color w:val="000000" w:themeColor="text1"/>
                <w:sz w:val="20"/>
                <w:szCs w:val="20"/>
              </w:rPr>
              <w:t>1,127</w:t>
            </w:r>
          </w:p>
        </w:tc>
      </w:tr>
    </w:tbl>
    <w:p w14:paraId="5B386ACB" w14:textId="77777777" w:rsidR="00A22B20" w:rsidRPr="001353C2" w:rsidRDefault="00A22B20" w:rsidP="001353C2">
      <w:pPr>
        <w:rPr>
          <w:i/>
          <w:iCs/>
          <w:color w:val="000000" w:themeColor="text1"/>
        </w:rPr>
      </w:pPr>
    </w:p>
    <w:p w14:paraId="054CF0A3" w14:textId="77777777" w:rsidR="006A7B22" w:rsidRPr="006A7B22" w:rsidRDefault="006A7B22" w:rsidP="007430D9">
      <w:pPr>
        <w:pStyle w:val="Heading3"/>
      </w:pPr>
      <w:bookmarkStart w:id="313" w:name="_Toc213058745"/>
      <w:r w:rsidRPr="006A7B22">
        <w:t>d. Fair Value Adjustments Recognised in Income</w:t>
      </w:r>
      <w:bookmarkEnd w:id="313"/>
    </w:p>
    <w:p w14:paraId="73B85795" w14:textId="77777777" w:rsidR="006A7B22" w:rsidRDefault="006A7B22" w:rsidP="006A7B22">
      <w:pPr>
        <w:rPr>
          <w:rFonts w:cs="Arial"/>
          <w:color w:val="000000"/>
        </w:rPr>
      </w:pPr>
      <w:r w:rsidRPr="006A7B22">
        <w:rPr>
          <w:rFonts w:cs="Arial"/>
          <w:color w:val="000000"/>
        </w:rPr>
        <w:t>Fair value adjustments are recognised in the income statement as fair value adjustment on fuel derivative.</w:t>
      </w:r>
    </w:p>
    <w:tbl>
      <w:tblPr>
        <w:tblStyle w:val="TableGrid"/>
        <w:tblW w:w="0" w:type="auto"/>
        <w:tblLayout w:type="fixed"/>
        <w:tblLook w:val="0000" w:firstRow="0" w:lastRow="0" w:firstColumn="0" w:lastColumn="0" w:noHBand="0" w:noVBand="0"/>
      </w:tblPr>
      <w:tblGrid>
        <w:gridCol w:w="6814"/>
        <w:gridCol w:w="1517"/>
        <w:gridCol w:w="1521"/>
      </w:tblGrid>
      <w:tr w:rsidR="006A7B22" w:rsidRPr="006A7B22" w14:paraId="51FA825C" w14:textId="77777777" w:rsidTr="006A7B22">
        <w:trPr>
          <w:trHeight w:val="624"/>
        </w:trPr>
        <w:tc>
          <w:tcPr>
            <w:tcW w:w="6814" w:type="dxa"/>
            <w:vAlign w:val="center"/>
          </w:tcPr>
          <w:p w14:paraId="1A87C282" w14:textId="77777777" w:rsidR="006A7B22" w:rsidRPr="006A7B22" w:rsidRDefault="006A7B22" w:rsidP="006A7B22">
            <w:pPr>
              <w:spacing w:line="240" w:lineRule="auto"/>
              <w:rPr>
                <w:rFonts w:cs="Arial"/>
                <w:color w:val="000000" w:themeColor="text1"/>
                <w:sz w:val="20"/>
                <w:szCs w:val="20"/>
              </w:rPr>
            </w:pPr>
          </w:p>
        </w:tc>
        <w:tc>
          <w:tcPr>
            <w:tcW w:w="1517" w:type="dxa"/>
            <w:vAlign w:val="center"/>
          </w:tcPr>
          <w:p w14:paraId="653DB297" w14:textId="77777777" w:rsidR="006A7B22" w:rsidRPr="006A7B22" w:rsidRDefault="006A7B22" w:rsidP="006A7B22">
            <w:pPr>
              <w:spacing w:line="240" w:lineRule="auto"/>
              <w:rPr>
                <w:rFonts w:cs="Arial"/>
                <w:b/>
                <w:bCs/>
                <w:color w:val="000000" w:themeColor="text1"/>
                <w:sz w:val="20"/>
                <w:szCs w:val="20"/>
              </w:rPr>
            </w:pPr>
            <w:r w:rsidRPr="006A7B22">
              <w:rPr>
                <w:rFonts w:cs="Arial"/>
                <w:b/>
                <w:bCs/>
                <w:color w:val="000000" w:themeColor="text1"/>
                <w:sz w:val="20"/>
                <w:szCs w:val="20"/>
              </w:rPr>
              <w:t>2025</w:t>
            </w:r>
          </w:p>
          <w:p w14:paraId="0AF941FF" w14:textId="77777777" w:rsidR="006A7B22" w:rsidRPr="006A7B22" w:rsidRDefault="006A7B22" w:rsidP="006A7B22">
            <w:pPr>
              <w:spacing w:line="240" w:lineRule="auto"/>
              <w:rPr>
                <w:rFonts w:cs="Arial"/>
                <w:color w:val="000000" w:themeColor="text1"/>
                <w:sz w:val="20"/>
                <w:szCs w:val="20"/>
              </w:rPr>
            </w:pPr>
            <w:r w:rsidRPr="006A7B22">
              <w:rPr>
                <w:rFonts w:cs="Arial"/>
                <w:b/>
                <w:bCs/>
                <w:color w:val="000000" w:themeColor="text1"/>
                <w:sz w:val="20"/>
                <w:szCs w:val="20"/>
                <w:rtl/>
                <w:lang w:bidi="ar-YE"/>
              </w:rPr>
              <w:t>£’000</w:t>
            </w:r>
            <w:r w:rsidRPr="006A7B22">
              <w:rPr>
                <w:rFonts w:cs="Arial"/>
                <w:b/>
                <w:bCs/>
                <w:color w:val="000000" w:themeColor="text1"/>
                <w:sz w:val="20"/>
                <w:szCs w:val="20"/>
              </w:rPr>
              <w:t xml:space="preserve"> </w:t>
            </w:r>
          </w:p>
        </w:tc>
        <w:tc>
          <w:tcPr>
            <w:tcW w:w="1521" w:type="dxa"/>
            <w:vAlign w:val="center"/>
          </w:tcPr>
          <w:p w14:paraId="17657FC6" w14:textId="77777777" w:rsidR="006A7B22" w:rsidRPr="006A7B22" w:rsidRDefault="006A7B22" w:rsidP="006A7B22">
            <w:pPr>
              <w:spacing w:line="240" w:lineRule="auto"/>
              <w:rPr>
                <w:rFonts w:cs="Arial"/>
                <w:b/>
                <w:bCs/>
                <w:color w:val="000000" w:themeColor="text1"/>
                <w:sz w:val="20"/>
                <w:szCs w:val="20"/>
              </w:rPr>
            </w:pPr>
            <w:r w:rsidRPr="006A7B22">
              <w:rPr>
                <w:rFonts w:cs="Arial"/>
                <w:b/>
                <w:bCs/>
                <w:color w:val="000000" w:themeColor="text1"/>
                <w:sz w:val="20"/>
                <w:szCs w:val="20"/>
              </w:rPr>
              <w:t>2024</w:t>
            </w:r>
          </w:p>
          <w:p w14:paraId="2BE381E2" w14:textId="77777777" w:rsidR="006A7B22" w:rsidRPr="006A7B22" w:rsidRDefault="006A7B22" w:rsidP="006A7B22">
            <w:pPr>
              <w:spacing w:line="240" w:lineRule="auto"/>
              <w:rPr>
                <w:rFonts w:cs="Arial"/>
                <w:color w:val="000000" w:themeColor="text1"/>
                <w:sz w:val="20"/>
                <w:szCs w:val="20"/>
              </w:rPr>
            </w:pPr>
            <w:r w:rsidRPr="006A7B22">
              <w:rPr>
                <w:rFonts w:cs="Arial"/>
                <w:b/>
                <w:bCs/>
                <w:color w:val="000000" w:themeColor="text1"/>
                <w:sz w:val="20"/>
                <w:szCs w:val="20"/>
                <w:rtl/>
                <w:lang w:bidi="ar-YE"/>
              </w:rPr>
              <w:t>£’000</w:t>
            </w:r>
            <w:r w:rsidRPr="006A7B22">
              <w:rPr>
                <w:rFonts w:cs="Arial"/>
                <w:b/>
                <w:bCs/>
                <w:color w:val="000000" w:themeColor="text1"/>
                <w:sz w:val="20"/>
                <w:szCs w:val="20"/>
              </w:rPr>
              <w:t xml:space="preserve"> </w:t>
            </w:r>
          </w:p>
        </w:tc>
      </w:tr>
      <w:tr w:rsidR="006A7B22" w:rsidRPr="006A7B22" w14:paraId="22A43AF1" w14:textId="77777777" w:rsidTr="006A7B22">
        <w:trPr>
          <w:trHeight w:val="301"/>
        </w:trPr>
        <w:tc>
          <w:tcPr>
            <w:tcW w:w="6814" w:type="dxa"/>
            <w:vAlign w:val="center"/>
          </w:tcPr>
          <w:p w14:paraId="1267D34C" w14:textId="77777777" w:rsidR="006A7B22" w:rsidRPr="006A7B22" w:rsidRDefault="006A7B22" w:rsidP="006A7B22">
            <w:pPr>
              <w:spacing w:line="240" w:lineRule="auto"/>
              <w:rPr>
                <w:rFonts w:cs="Arial"/>
                <w:color w:val="000000" w:themeColor="text1"/>
                <w:sz w:val="20"/>
                <w:szCs w:val="20"/>
              </w:rPr>
            </w:pPr>
            <w:r w:rsidRPr="006A7B22">
              <w:rPr>
                <w:rFonts w:cs="Arial"/>
                <w:color w:val="000000" w:themeColor="text1"/>
                <w:sz w:val="20"/>
                <w:szCs w:val="20"/>
              </w:rPr>
              <w:t>Fair value adjustments</w:t>
            </w:r>
          </w:p>
        </w:tc>
        <w:tc>
          <w:tcPr>
            <w:tcW w:w="1517" w:type="dxa"/>
            <w:vAlign w:val="center"/>
          </w:tcPr>
          <w:p w14:paraId="3421D637" w14:textId="77777777" w:rsidR="006A7B22" w:rsidRPr="006A7B22" w:rsidRDefault="006A7B22" w:rsidP="006A7B22">
            <w:pPr>
              <w:spacing w:line="240" w:lineRule="auto"/>
              <w:rPr>
                <w:rFonts w:cs="Arial"/>
                <w:color w:val="000000" w:themeColor="text1"/>
                <w:sz w:val="20"/>
                <w:szCs w:val="20"/>
              </w:rPr>
            </w:pPr>
            <w:r w:rsidRPr="006A7B22">
              <w:rPr>
                <w:rFonts w:cs="Arial"/>
                <w:color w:val="000000" w:themeColor="text1"/>
                <w:sz w:val="20"/>
                <w:szCs w:val="20"/>
              </w:rPr>
              <w:t>(4,466)</w:t>
            </w:r>
          </w:p>
        </w:tc>
        <w:tc>
          <w:tcPr>
            <w:tcW w:w="1521" w:type="dxa"/>
            <w:vAlign w:val="center"/>
          </w:tcPr>
          <w:p w14:paraId="1123BA06" w14:textId="77777777" w:rsidR="006A7B22" w:rsidRPr="006A7B22" w:rsidRDefault="006A7B22" w:rsidP="006A7B22">
            <w:pPr>
              <w:spacing w:line="240" w:lineRule="auto"/>
              <w:rPr>
                <w:rFonts w:cs="Arial"/>
                <w:color w:val="000000" w:themeColor="text1"/>
                <w:sz w:val="20"/>
                <w:szCs w:val="20"/>
              </w:rPr>
            </w:pPr>
            <w:r w:rsidRPr="006A7B22">
              <w:rPr>
                <w:rFonts w:cs="Arial"/>
                <w:color w:val="000000" w:themeColor="text1"/>
                <w:sz w:val="20"/>
                <w:szCs w:val="20"/>
              </w:rPr>
              <w:t>979</w:t>
            </w:r>
          </w:p>
        </w:tc>
      </w:tr>
    </w:tbl>
    <w:p w14:paraId="3A0B342F" w14:textId="77777777" w:rsidR="006A7B22" w:rsidRDefault="006A7B22" w:rsidP="006A7B22">
      <w:pPr>
        <w:rPr>
          <w:rFonts w:cs="Arial"/>
          <w:color w:val="000000"/>
        </w:rPr>
      </w:pPr>
    </w:p>
    <w:p w14:paraId="720E82CF" w14:textId="77777777" w:rsidR="006A7B22" w:rsidRPr="006A7B22" w:rsidRDefault="006A7B22" w:rsidP="007430D9">
      <w:pPr>
        <w:pStyle w:val="Heading3"/>
      </w:pPr>
      <w:bookmarkStart w:id="314" w:name="_Toc213058746"/>
      <w:r w:rsidRPr="006A7B22">
        <w:t>e. Financial Risk Management Objectives</w:t>
      </w:r>
      <w:bookmarkEnd w:id="314"/>
    </w:p>
    <w:p w14:paraId="31BD36C9" w14:textId="77777777" w:rsidR="006A7B22" w:rsidRPr="006A7B22" w:rsidRDefault="006A7B22" w:rsidP="006A7B22">
      <w:pPr>
        <w:rPr>
          <w:rFonts w:cs="Arial"/>
          <w:color w:val="000000"/>
        </w:rPr>
      </w:pPr>
      <w:r w:rsidRPr="006A7B22">
        <w:rPr>
          <w:rFonts w:cs="Arial"/>
          <w:color w:val="000000"/>
        </w:rPr>
        <w:t xml:space="preserve">The Group’s activities expose it to a variety of financial </w:t>
      </w:r>
      <w:r w:rsidRPr="006A7B22">
        <w:rPr>
          <w:rFonts w:cs="Arial"/>
          <w:color w:val="000000"/>
        </w:rPr>
        <w:br/>
        <w:t>risks, principally:</w:t>
      </w:r>
    </w:p>
    <w:p w14:paraId="42EB92F6" w14:textId="7ECF77C4" w:rsidR="006A7B22" w:rsidRPr="006A7B22" w:rsidRDefault="006A7B22" w:rsidP="006A7B22">
      <w:pPr>
        <w:pStyle w:val="ListParagraph"/>
        <w:numPr>
          <w:ilvl w:val="0"/>
          <w:numId w:val="85"/>
        </w:numPr>
        <w:rPr>
          <w:rFonts w:cs="Arial"/>
          <w:color w:val="000000"/>
        </w:rPr>
      </w:pPr>
      <w:r w:rsidRPr="006A7B22">
        <w:rPr>
          <w:rFonts w:cs="Arial"/>
          <w:color w:val="000000"/>
        </w:rPr>
        <w:t>Market risk (mainly price risk</w:t>
      </w:r>
      <w:proofErr w:type="gramStart"/>
      <w:r w:rsidRPr="006A7B22">
        <w:rPr>
          <w:rFonts w:cs="Arial"/>
          <w:color w:val="000000"/>
        </w:rPr>
        <w:t>);</w:t>
      </w:r>
      <w:proofErr w:type="gramEnd"/>
    </w:p>
    <w:p w14:paraId="6271CE51" w14:textId="45637BAC" w:rsidR="006A7B22" w:rsidRPr="006A7B22" w:rsidRDefault="006A7B22" w:rsidP="006A7B22">
      <w:pPr>
        <w:pStyle w:val="ListParagraph"/>
        <w:numPr>
          <w:ilvl w:val="0"/>
          <w:numId w:val="85"/>
        </w:numPr>
        <w:rPr>
          <w:rFonts w:cs="Arial"/>
          <w:color w:val="000000"/>
        </w:rPr>
      </w:pPr>
      <w:r w:rsidRPr="006A7B22">
        <w:rPr>
          <w:rFonts w:cs="Arial"/>
          <w:color w:val="000000"/>
        </w:rPr>
        <w:t xml:space="preserve">Credit risk; and </w:t>
      </w:r>
    </w:p>
    <w:p w14:paraId="4304E94B" w14:textId="148C3D58" w:rsidR="006A7B22" w:rsidRPr="006A7B22" w:rsidRDefault="006A7B22" w:rsidP="006A7B22">
      <w:pPr>
        <w:pStyle w:val="ListParagraph"/>
        <w:numPr>
          <w:ilvl w:val="0"/>
          <w:numId w:val="85"/>
        </w:numPr>
        <w:rPr>
          <w:rFonts w:cs="Arial"/>
          <w:color w:val="000000"/>
        </w:rPr>
      </w:pPr>
      <w:r w:rsidRPr="006A7B22">
        <w:rPr>
          <w:rFonts w:cs="Arial"/>
          <w:color w:val="000000"/>
        </w:rPr>
        <w:t>Liquidity risk.</w:t>
      </w:r>
    </w:p>
    <w:p w14:paraId="2E76C35B" w14:textId="77777777" w:rsidR="006A7B22" w:rsidRPr="006A7B22" w:rsidRDefault="006A7B22" w:rsidP="006A7B22">
      <w:pPr>
        <w:rPr>
          <w:rFonts w:cs="Arial"/>
          <w:color w:val="000000"/>
        </w:rPr>
      </w:pPr>
    </w:p>
    <w:p w14:paraId="1D313D1F" w14:textId="77777777" w:rsidR="006A7B22" w:rsidRPr="006A7B22" w:rsidRDefault="006A7B22" w:rsidP="006A7B22">
      <w:pPr>
        <w:rPr>
          <w:rFonts w:cs="Arial"/>
          <w:color w:val="000000"/>
        </w:rPr>
      </w:pPr>
      <w:r w:rsidRPr="006A7B22">
        <w:rPr>
          <w:rFonts w:cs="Arial"/>
          <w:color w:val="000000"/>
        </w:rPr>
        <w:t xml:space="preserve">The Group’s overall financial risk management programme focuses on the unpredictability of financial markets and seeks to reduce the likelihood and/or magnitude of adverse effects on the financial performance and financial position of the Group.  The Group uses derivative financial instruments to reduce exposure to fuel price risk.  The Group does not hold or issue derivative financial instruments for speculative purposes.  </w:t>
      </w:r>
    </w:p>
    <w:p w14:paraId="0502978C" w14:textId="77777777" w:rsidR="006A7B22" w:rsidRPr="006A7B22" w:rsidRDefault="006A7B22" w:rsidP="006A7B22">
      <w:pPr>
        <w:rPr>
          <w:rFonts w:cs="Arial"/>
          <w:color w:val="000000"/>
        </w:rPr>
      </w:pPr>
    </w:p>
    <w:p w14:paraId="4F7C7BB3" w14:textId="77777777" w:rsidR="006A7B22" w:rsidRPr="006A7B22" w:rsidRDefault="006A7B22" w:rsidP="006A7B22">
      <w:pPr>
        <w:rPr>
          <w:rFonts w:cs="Arial"/>
          <w:color w:val="000000"/>
        </w:rPr>
      </w:pPr>
      <w:r w:rsidRPr="006A7B22">
        <w:rPr>
          <w:rFonts w:cs="Arial"/>
          <w:color w:val="000000"/>
        </w:rPr>
        <w:t xml:space="preserve">This note presents qualitative information about the Group’s exposure to each of the above risks, including the Group’s objectives, policies and processes for measuring and managing risk.  There have been no significant changes to these matters during the period ended 30 March 2025.  This note also provides summary quantitative data about the Group’s exposure to each risk. </w:t>
      </w:r>
    </w:p>
    <w:p w14:paraId="75A25173" w14:textId="77777777" w:rsidR="006A7B22" w:rsidRPr="006A7B22" w:rsidRDefault="006A7B22" w:rsidP="006A7B22">
      <w:pPr>
        <w:rPr>
          <w:rFonts w:cs="Arial"/>
          <w:color w:val="000000"/>
        </w:rPr>
      </w:pPr>
    </w:p>
    <w:p w14:paraId="6F1B974B" w14:textId="77777777" w:rsidR="006A7B22" w:rsidRPr="006A7B22" w:rsidRDefault="006A7B22" w:rsidP="006A7B22">
      <w:pPr>
        <w:rPr>
          <w:rFonts w:cs="Arial"/>
          <w:color w:val="000000"/>
        </w:rPr>
      </w:pPr>
      <w:r w:rsidRPr="006A7B22">
        <w:rPr>
          <w:rFonts w:cs="Arial"/>
          <w:color w:val="000000"/>
        </w:rPr>
        <w:t xml:space="preserve">The Board have approved policies on fuel hedging, energy procurement and treasury management which guide management in managing risk in these areas.  Group finance is responsible for ensuring these policies are implemented.  Certain financial risk management </w:t>
      </w:r>
      <w:r w:rsidRPr="006A7B22">
        <w:rPr>
          <w:rFonts w:cs="Arial"/>
          <w:color w:val="000000"/>
        </w:rPr>
        <w:lastRenderedPageBreak/>
        <w:t>activities (for example, the management of credit risk arising from trade and other receivables) are devolved to the management of individual business units.</w:t>
      </w:r>
    </w:p>
    <w:p w14:paraId="10881574" w14:textId="77777777" w:rsidR="006A7B22" w:rsidRPr="006A7B22" w:rsidRDefault="006A7B22" w:rsidP="006A7B22">
      <w:pPr>
        <w:rPr>
          <w:rFonts w:cs="Arial"/>
          <w:color w:val="000000"/>
        </w:rPr>
      </w:pPr>
    </w:p>
    <w:p w14:paraId="4FABCAB2" w14:textId="77777777" w:rsidR="006A7B22" w:rsidRPr="006A7B22" w:rsidRDefault="006A7B22" w:rsidP="006A7B22">
      <w:pPr>
        <w:rPr>
          <w:rFonts w:cs="Arial"/>
          <w:i/>
          <w:iCs/>
          <w:color w:val="000000" w:themeColor="text1"/>
        </w:rPr>
      </w:pPr>
      <w:r w:rsidRPr="006A7B22">
        <w:rPr>
          <w:rFonts w:cs="Arial"/>
          <w:i/>
          <w:iCs/>
          <w:color w:val="000000" w:themeColor="text1"/>
        </w:rPr>
        <w:t>(</w:t>
      </w:r>
      <w:proofErr w:type="spellStart"/>
      <w:r w:rsidRPr="006A7B22">
        <w:rPr>
          <w:rFonts w:cs="Arial"/>
          <w:i/>
          <w:iCs/>
          <w:color w:val="000000" w:themeColor="text1"/>
        </w:rPr>
        <w:t>i</w:t>
      </w:r>
      <w:proofErr w:type="spellEnd"/>
      <w:r w:rsidRPr="006A7B22">
        <w:rPr>
          <w:rFonts w:cs="Arial"/>
          <w:i/>
          <w:iCs/>
          <w:color w:val="000000" w:themeColor="text1"/>
        </w:rPr>
        <w:t>) Market Risk</w:t>
      </w:r>
    </w:p>
    <w:p w14:paraId="0C8BFA6A" w14:textId="3A63C475" w:rsidR="006A7B22" w:rsidRPr="006A7B22" w:rsidRDefault="006A7B22" w:rsidP="006A7B22">
      <w:pPr>
        <w:rPr>
          <w:rFonts w:cs="Arial"/>
          <w:color w:val="000000"/>
        </w:rPr>
      </w:pPr>
      <w:r w:rsidRPr="006A7B22">
        <w:rPr>
          <w:rFonts w:cs="Arial"/>
          <w:color w:val="000000"/>
        </w:rPr>
        <w:t>Market risk is the risk that changes in market prices, such as commodity prices, interest rates and exchange rates will affect the Group’s financial performance and/or financial position.  The objective of the Group’s management of market risk is to manage and control market risk exposures within acceptable parameters.  The Group does not consider currency risk or interest rate risk to be material due to low levels of foreign currency transactions and its borrowings being limited to its overdraft.</w:t>
      </w:r>
    </w:p>
    <w:p w14:paraId="71126FA0" w14:textId="77777777" w:rsidR="006A7B22" w:rsidRPr="006A7B22" w:rsidRDefault="006A7B22" w:rsidP="006A7B22">
      <w:pPr>
        <w:rPr>
          <w:rFonts w:cs="Arial"/>
          <w:color w:val="000000"/>
        </w:rPr>
      </w:pPr>
    </w:p>
    <w:p w14:paraId="6B513306" w14:textId="77777777" w:rsidR="006A7B22" w:rsidRPr="006A7B22" w:rsidRDefault="006A7B22" w:rsidP="006A7B22">
      <w:pPr>
        <w:rPr>
          <w:rFonts w:cs="Arial"/>
          <w:color w:val="000000"/>
        </w:rPr>
      </w:pPr>
      <w:r w:rsidRPr="006A7B22">
        <w:rPr>
          <w:rFonts w:cs="Arial"/>
          <w:color w:val="000000"/>
        </w:rPr>
        <w:t xml:space="preserve">The Group </w:t>
      </w:r>
      <w:proofErr w:type="gramStart"/>
      <w:r w:rsidRPr="006A7B22">
        <w:rPr>
          <w:rFonts w:cs="Arial"/>
          <w:color w:val="000000"/>
        </w:rPr>
        <w:t>enters into</w:t>
      </w:r>
      <w:proofErr w:type="gramEnd"/>
      <w:r w:rsidRPr="006A7B22">
        <w:rPr>
          <w:rFonts w:cs="Arial"/>
          <w:color w:val="000000"/>
        </w:rPr>
        <w:t xml:space="preserve"> derivative financial instruments in the ordinary course of business </w:t>
      </w:r>
      <w:proofErr w:type="gramStart"/>
      <w:r w:rsidRPr="006A7B22">
        <w:rPr>
          <w:rFonts w:cs="Arial"/>
          <w:color w:val="000000"/>
        </w:rPr>
        <w:t>in order to</w:t>
      </w:r>
      <w:proofErr w:type="gramEnd"/>
      <w:r w:rsidRPr="006A7B22">
        <w:rPr>
          <w:rFonts w:cs="Arial"/>
          <w:color w:val="000000"/>
        </w:rPr>
        <w:t xml:space="preserve"> manage market risk, in the form of fuel price risk.  All such transactions are carried out within the guidelines set by the Board.  Market risk exposures are measured using sensitivity analysis.</w:t>
      </w:r>
    </w:p>
    <w:p w14:paraId="251F6E95" w14:textId="77777777" w:rsidR="006A7B22" w:rsidRPr="006A7B22" w:rsidRDefault="006A7B22" w:rsidP="006A7B22">
      <w:pPr>
        <w:rPr>
          <w:rFonts w:cs="Arial"/>
          <w:color w:val="000000"/>
        </w:rPr>
      </w:pPr>
    </w:p>
    <w:p w14:paraId="41E21848" w14:textId="77777777" w:rsidR="006A7B22" w:rsidRPr="006A7B22" w:rsidRDefault="006A7B22" w:rsidP="006A7B22">
      <w:pPr>
        <w:rPr>
          <w:rFonts w:cs="Arial"/>
          <w:color w:val="000000"/>
        </w:rPr>
      </w:pPr>
      <w:r w:rsidRPr="006A7B22">
        <w:rPr>
          <w:rFonts w:cs="Arial"/>
          <w:color w:val="000000"/>
        </w:rPr>
        <w:t xml:space="preserve">There has been no change to the Group’s exposure to </w:t>
      </w:r>
      <w:r w:rsidRPr="006A7B22">
        <w:rPr>
          <w:rFonts w:cs="Arial"/>
          <w:color w:val="000000"/>
        </w:rPr>
        <w:br/>
        <w:t xml:space="preserve">market risks or the </w:t>
      </w:r>
      <w:proofErr w:type="gramStart"/>
      <w:r w:rsidRPr="006A7B22">
        <w:rPr>
          <w:rFonts w:cs="Arial"/>
          <w:color w:val="000000"/>
        </w:rPr>
        <w:t>manner in which</w:t>
      </w:r>
      <w:proofErr w:type="gramEnd"/>
      <w:r w:rsidRPr="006A7B22">
        <w:rPr>
          <w:rFonts w:cs="Arial"/>
          <w:color w:val="000000"/>
        </w:rPr>
        <w:t xml:space="preserve"> these risks are managed and measured.</w:t>
      </w:r>
    </w:p>
    <w:p w14:paraId="00105BA7" w14:textId="77777777" w:rsidR="006A7B22" w:rsidRPr="006A7B22" w:rsidRDefault="006A7B22" w:rsidP="006A7B22">
      <w:pPr>
        <w:rPr>
          <w:rFonts w:cs="Arial"/>
          <w:i/>
          <w:iCs/>
          <w:color w:val="5EB676"/>
        </w:rPr>
      </w:pPr>
    </w:p>
    <w:p w14:paraId="0E98CFD1" w14:textId="77777777" w:rsidR="006A7B22" w:rsidRPr="006A7B22" w:rsidRDefault="006A7B22" w:rsidP="006A7B22">
      <w:pPr>
        <w:rPr>
          <w:rFonts w:cs="Arial"/>
          <w:i/>
          <w:iCs/>
          <w:color w:val="000000" w:themeColor="text1"/>
        </w:rPr>
      </w:pPr>
      <w:r w:rsidRPr="006A7B22">
        <w:rPr>
          <w:rFonts w:cs="Arial"/>
          <w:i/>
          <w:iCs/>
          <w:color w:val="000000" w:themeColor="text1"/>
        </w:rPr>
        <w:t xml:space="preserve">Foreign Currency Translation Risk </w:t>
      </w:r>
    </w:p>
    <w:p w14:paraId="1769369C" w14:textId="77777777" w:rsidR="006A7B22" w:rsidRPr="006A7B22" w:rsidRDefault="006A7B22" w:rsidP="006A7B22">
      <w:pPr>
        <w:rPr>
          <w:rFonts w:cs="Arial"/>
          <w:color w:val="000000"/>
        </w:rPr>
      </w:pPr>
      <w:r w:rsidRPr="006A7B22">
        <w:rPr>
          <w:rFonts w:cs="Arial"/>
          <w:color w:val="000000"/>
        </w:rPr>
        <w:t>Foreign currency translation risk is the risk that the fair value or future cash flows of a financial instrument will fluctuate because of changes in foreign exchange rates.  This risk for the Group is not considered to be material.</w:t>
      </w:r>
    </w:p>
    <w:p w14:paraId="3A60A9DA" w14:textId="77777777" w:rsidR="006A7B22" w:rsidRPr="006A7B22" w:rsidRDefault="006A7B22" w:rsidP="006A7B22">
      <w:pPr>
        <w:rPr>
          <w:rFonts w:cs="Arial"/>
          <w:i/>
          <w:iCs/>
          <w:color w:val="5EB676"/>
        </w:rPr>
      </w:pPr>
    </w:p>
    <w:p w14:paraId="2960D3CD" w14:textId="77777777" w:rsidR="006A7B22" w:rsidRPr="006A7B22" w:rsidRDefault="006A7B22" w:rsidP="006A7B22">
      <w:pPr>
        <w:rPr>
          <w:rFonts w:cs="Arial"/>
          <w:i/>
          <w:iCs/>
          <w:color w:val="000000" w:themeColor="text1"/>
        </w:rPr>
      </w:pPr>
      <w:r w:rsidRPr="006A7B22">
        <w:rPr>
          <w:rFonts w:cs="Arial"/>
          <w:i/>
          <w:iCs/>
          <w:color w:val="000000" w:themeColor="text1"/>
        </w:rPr>
        <w:t>Interest Rate Risk</w:t>
      </w:r>
    </w:p>
    <w:p w14:paraId="02AA2B4E" w14:textId="77777777" w:rsidR="006A7B22" w:rsidRPr="006A7B22" w:rsidRDefault="006A7B22" w:rsidP="006A7B22">
      <w:pPr>
        <w:rPr>
          <w:rFonts w:cs="Arial"/>
          <w:color w:val="000000"/>
        </w:rPr>
      </w:pPr>
      <w:r w:rsidRPr="006A7B22">
        <w:rPr>
          <w:rFonts w:cs="Arial"/>
          <w:color w:val="000000"/>
        </w:rPr>
        <w:t>Interest rate risk is the risk that the fair value or future cash flows of a financial instrument will fluctuate because of changes in market interest rates.  It is considered that the Group has no exposure in this area.</w:t>
      </w:r>
    </w:p>
    <w:p w14:paraId="554BFBEB" w14:textId="77777777" w:rsidR="006A7B22" w:rsidRPr="006A7B22" w:rsidRDefault="006A7B22" w:rsidP="006A7B22">
      <w:pPr>
        <w:rPr>
          <w:rFonts w:cs="Arial"/>
          <w:color w:val="000000"/>
        </w:rPr>
      </w:pPr>
    </w:p>
    <w:p w14:paraId="5F0C4322" w14:textId="77777777" w:rsidR="006A7B22" w:rsidRPr="006A7B22" w:rsidRDefault="006A7B22" w:rsidP="006A7B22">
      <w:pPr>
        <w:rPr>
          <w:rFonts w:cs="Arial"/>
          <w:color w:val="000000"/>
        </w:rPr>
      </w:pPr>
      <w:r w:rsidRPr="006A7B22">
        <w:rPr>
          <w:rFonts w:cs="Arial"/>
          <w:color w:val="000000"/>
        </w:rPr>
        <w:t>Given that the group has certain financial instruments held in fixed rate derivatives there is an exposure to interest rate however it is not considered to significant given the current interest rates and length of maturity.</w:t>
      </w:r>
    </w:p>
    <w:p w14:paraId="74785B3F" w14:textId="77777777" w:rsidR="006A7B22" w:rsidRPr="006A7B22" w:rsidRDefault="006A7B22" w:rsidP="006A7B22">
      <w:pPr>
        <w:rPr>
          <w:rFonts w:cs="Arial"/>
          <w:color w:val="000000"/>
        </w:rPr>
      </w:pPr>
    </w:p>
    <w:p w14:paraId="417F1F35" w14:textId="77777777" w:rsidR="006A7B22" w:rsidRDefault="006A7B22">
      <w:pPr>
        <w:spacing w:line="240" w:lineRule="auto"/>
        <w:rPr>
          <w:rFonts w:cs="Arial"/>
          <w:i/>
          <w:iCs/>
          <w:color w:val="000000" w:themeColor="text1"/>
        </w:rPr>
      </w:pPr>
      <w:r>
        <w:rPr>
          <w:rFonts w:cs="Arial"/>
          <w:i/>
          <w:iCs/>
          <w:color w:val="000000" w:themeColor="text1"/>
        </w:rPr>
        <w:br w:type="page"/>
      </w:r>
    </w:p>
    <w:p w14:paraId="48516F4E" w14:textId="157B97E6" w:rsidR="006A7B22" w:rsidRPr="006A7B22" w:rsidRDefault="006A7B22" w:rsidP="006A7B22">
      <w:pPr>
        <w:rPr>
          <w:rFonts w:cs="Arial"/>
          <w:i/>
          <w:iCs/>
          <w:color w:val="000000" w:themeColor="text1"/>
        </w:rPr>
      </w:pPr>
      <w:r w:rsidRPr="006A7B22">
        <w:rPr>
          <w:rFonts w:cs="Arial"/>
          <w:i/>
          <w:iCs/>
          <w:color w:val="000000" w:themeColor="text1"/>
        </w:rPr>
        <w:lastRenderedPageBreak/>
        <w:t>Fuel Price Risk</w:t>
      </w:r>
    </w:p>
    <w:p w14:paraId="7727E111" w14:textId="77777777" w:rsidR="006A7B22" w:rsidRPr="006A7B22" w:rsidRDefault="006A7B22" w:rsidP="006A7B22">
      <w:pPr>
        <w:rPr>
          <w:rFonts w:cs="Arial"/>
          <w:color w:val="000000"/>
        </w:rPr>
      </w:pPr>
      <w:r w:rsidRPr="006A7B22">
        <w:rPr>
          <w:rFonts w:cs="Arial"/>
          <w:color w:val="000000"/>
        </w:rPr>
        <w:t xml:space="preserve">The Group is exposed to fuel price risk.  The Group’s normal operations as </w:t>
      </w:r>
      <w:proofErr w:type="gramStart"/>
      <w:r w:rsidRPr="006A7B22">
        <w:rPr>
          <w:rFonts w:cs="Arial"/>
          <w:color w:val="000000"/>
        </w:rPr>
        <w:t>at</w:t>
      </w:r>
      <w:proofErr w:type="gramEnd"/>
      <w:r w:rsidRPr="006A7B22">
        <w:rPr>
          <w:rFonts w:cs="Arial"/>
          <w:color w:val="000000"/>
        </w:rPr>
        <w:t xml:space="preserve"> 30 March 2025 consume approximately 36.8 million litres of diesel fuel per annum.  As a result, the Group is exposed to movements in the underlying price of fuel.</w:t>
      </w:r>
    </w:p>
    <w:p w14:paraId="4FF2524B" w14:textId="77777777" w:rsidR="006A7B22" w:rsidRPr="006A7B22" w:rsidRDefault="006A7B22" w:rsidP="006A7B22">
      <w:pPr>
        <w:rPr>
          <w:rFonts w:cs="Arial"/>
          <w:color w:val="000000"/>
        </w:rPr>
      </w:pPr>
    </w:p>
    <w:p w14:paraId="1E4BF086" w14:textId="77777777" w:rsidR="006A7B22" w:rsidRPr="006A7B22" w:rsidRDefault="006A7B22" w:rsidP="006A7B22">
      <w:pPr>
        <w:rPr>
          <w:rFonts w:cs="Arial"/>
          <w:color w:val="000000"/>
        </w:rPr>
      </w:pPr>
      <w:r w:rsidRPr="006A7B22">
        <w:rPr>
          <w:rFonts w:cs="Arial"/>
          <w:color w:val="000000"/>
        </w:rPr>
        <w:t>The Group’s objective in managing fuel price risk is to reduce the risk that movements in fuel prices result in adverse movements in its profit and cash flow.  The Group has a policy of managing the volatility in its fuel costs by maintaining an ongoing fuel hedging programme whereby derivative financial instruments are used to fix or cap the variable unit cost of a percentage of anticipated fuel consumption.  The fuel derivatives hedge the underlying fuel price.  The Group’s residual exposure to fuel price risk is measured by quantifying the element of projected future fuel costs, after taking account of derivative financial instruments in place, which varies due to movements in fuel prices.  Group Finance is responsible for the processes for measuring and managing fuel price risk.</w:t>
      </w:r>
    </w:p>
    <w:p w14:paraId="62570005" w14:textId="77777777" w:rsidR="006A7B22" w:rsidRPr="006A7B22" w:rsidRDefault="006A7B22" w:rsidP="006A7B22">
      <w:pPr>
        <w:rPr>
          <w:rFonts w:cs="Arial"/>
          <w:color w:val="000000"/>
        </w:rPr>
      </w:pPr>
    </w:p>
    <w:p w14:paraId="3EA8BAA0" w14:textId="77777777" w:rsidR="006A7B22" w:rsidRPr="006A7B22" w:rsidRDefault="006A7B22" w:rsidP="006A7B22">
      <w:pPr>
        <w:rPr>
          <w:rFonts w:cs="Arial"/>
          <w:color w:val="000000"/>
        </w:rPr>
      </w:pPr>
      <w:r w:rsidRPr="006A7B22">
        <w:rPr>
          <w:rFonts w:cs="Arial"/>
          <w:color w:val="000000"/>
        </w:rPr>
        <w:t>The Group’s overall fuel costs include the impact of delivery margins, fuel taxes and fuel tax rebates.  These elements of fuel costs are not managed as part of the Group Finance’s fuel price risk management and are managed directly by business unit management.</w:t>
      </w:r>
    </w:p>
    <w:p w14:paraId="6A0C5ACC" w14:textId="77777777" w:rsidR="006A7B22" w:rsidRPr="006A7B22" w:rsidRDefault="006A7B22" w:rsidP="006A7B22">
      <w:pPr>
        <w:rPr>
          <w:rFonts w:cs="Arial"/>
          <w:color w:val="000000"/>
        </w:rPr>
      </w:pPr>
    </w:p>
    <w:p w14:paraId="770439AB" w14:textId="77777777" w:rsidR="006A7B22" w:rsidRPr="006A7B22" w:rsidRDefault="006A7B22" w:rsidP="006A7B22">
      <w:pPr>
        <w:rPr>
          <w:rFonts w:cs="Arial"/>
          <w:color w:val="000000"/>
        </w:rPr>
      </w:pPr>
      <w:r w:rsidRPr="006A7B22">
        <w:rPr>
          <w:rFonts w:cs="Arial"/>
          <w:color w:val="000000"/>
        </w:rPr>
        <w:t xml:space="preserve">The Group uses </w:t>
      </w:r>
      <w:proofErr w:type="gramStart"/>
      <w:r w:rsidRPr="006A7B22">
        <w:rPr>
          <w:rFonts w:cs="Arial"/>
          <w:color w:val="000000"/>
        </w:rPr>
        <w:t>a number of</w:t>
      </w:r>
      <w:proofErr w:type="gramEnd"/>
      <w:r w:rsidRPr="006A7B22">
        <w:rPr>
          <w:rFonts w:cs="Arial"/>
          <w:color w:val="000000"/>
        </w:rPr>
        <w:t xml:space="preserve"> fuel derivatives to hedge against movements in price of the different types of fuel used in bus and rail operations.  The fuel derivatives hedge the underlying commodity price (denominated in US$), they also hedge the currency risk due the commodity being priced in US$ and the functional currency of the two divisions being pounds sterling.</w:t>
      </w:r>
    </w:p>
    <w:p w14:paraId="78255518" w14:textId="77777777" w:rsidR="006A7B22" w:rsidRPr="006A7B22" w:rsidRDefault="006A7B22" w:rsidP="006A7B22"/>
    <w:p w14:paraId="071FDDE4" w14:textId="77777777" w:rsidR="006A7B22" w:rsidRPr="006A7B22" w:rsidRDefault="006A7B22" w:rsidP="006A7B22">
      <w:r w:rsidRPr="006A7B22">
        <w:t xml:space="preserve">Volume at risk for the period ended 30 March 2025 is 34.0 million litres (2024: 35.8 million litres) for which 100% is hedged </w:t>
      </w:r>
      <w:r w:rsidRPr="006A7B22">
        <w:br/>
        <w:t>(2024: 100%).</w:t>
      </w:r>
    </w:p>
    <w:p w14:paraId="6C901F36" w14:textId="77777777" w:rsidR="006A7B22" w:rsidRPr="006A7B22" w:rsidRDefault="006A7B22" w:rsidP="006A7B22"/>
    <w:p w14:paraId="36ED2147" w14:textId="77777777" w:rsidR="006A7B22" w:rsidRDefault="006A7B22">
      <w:pPr>
        <w:spacing w:line="240" w:lineRule="auto"/>
      </w:pPr>
      <w:r>
        <w:br w:type="page"/>
      </w:r>
    </w:p>
    <w:p w14:paraId="4B3E8336" w14:textId="134E1E4D" w:rsidR="006A7B22" w:rsidRDefault="006A7B22" w:rsidP="006A7B22">
      <w:r w:rsidRPr="006A7B22">
        <w:lastRenderedPageBreak/>
        <w:t>The following tables detail the notional principal amounts and remaining terms of fuel derivative financial instruments outstanding as at the reporting date:</w:t>
      </w:r>
    </w:p>
    <w:tbl>
      <w:tblPr>
        <w:tblStyle w:val="TableGrid"/>
        <w:tblW w:w="0" w:type="auto"/>
        <w:tblLayout w:type="fixed"/>
        <w:tblLook w:val="0000" w:firstRow="0" w:lastRow="0" w:firstColumn="0" w:lastColumn="0" w:noHBand="0" w:noVBand="0"/>
      </w:tblPr>
      <w:tblGrid>
        <w:gridCol w:w="3798"/>
        <w:gridCol w:w="1489"/>
        <w:gridCol w:w="1516"/>
        <w:gridCol w:w="1517"/>
        <w:gridCol w:w="1540"/>
      </w:tblGrid>
      <w:tr w:rsidR="006A7B22" w:rsidRPr="006A7B22" w14:paraId="177515BC" w14:textId="77777777" w:rsidTr="006A7B22">
        <w:trPr>
          <w:trHeight w:val="280"/>
        </w:trPr>
        <w:tc>
          <w:tcPr>
            <w:tcW w:w="3798" w:type="dxa"/>
            <w:vMerge w:val="restart"/>
          </w:tcPr>
          <w:p w14:paraId="1E0DF59F" w14:textId="77777777" w:rsidR="006A7B22" w:rsidRPr="006A7B22" w:rsidRDefault="006A7B22" w:rsidP="006A7B22">
            <w:pPr>
              <w:rPr>
                <w:color w:val="000000"/>
                <w:sz w:val="20"/>
                <w:szCs w:val="20"/>
              </w:rPr>
            </w:pPr>
            <w:r w:rsidRPr="006A7B22">
              <w:rPr>
                <w:sz w:val="20"/>
                <w:szCs w:val="20"/>
              </w:rPr>
              <w:t>Economic hedging of cashflows</w:t>
            </w:r>
          </w:p>
        </w:tc>
        <w:tc>
          <w:tcPr>
            <w:tcW w:w="3005" w:type="dxa"/>
            <w:gridSpan w:val="2"/>
          </w:tcPr>
          <w:p w14:paraId="18949175" w14:textId="77777777" w:rsidR="006A7B22" w:rsidRPr="006A7B22" w:rsidRDefault="006A7B22" w:rsidP="006A7B22">
            <w:pPr>
              <w:rPr>
                <w:sz w:val="20"/>
                <w:szCs w:val="20"/>
              </w:rPr>
            </w:pPr>
            <w:r w:rsidRPr="006A7B22">
              <w:rPr>
                <w:sz w:val="20"/>
                <w:szCs w:val="20"/>
              </w:rPr>
              <w:t xml:space="preserve">Average contract </w:t>
            </w:r>
          </w:p>
          <w:p w14:paraId="169CEDEE" w14:textId="77777777" w:rsidR="006A7B22" w:rsidRPr="006A7B22" w:rsidRDefault="006A7B22" w:rsidP="006A7B22">
            <w:pPr>
              <w:rPr>
                <w:color w:val="000000"/>
                <w:sz w:val="20"/>
                <w:szCs w:val="20"/>
              </w:rPr>
            </w:pPr>
            <w:r w:rsidRPr="006A7B22">
              <w:rPr>
                <w:sz w:val="20"/>
                <w:szCs w:val="20"/>
              </w:rPr>
              <w:t>fixed fuel price</w:t>
            </w:r>
          </w:p>
        </w:tc>
        <w:tc>
          <w:tcPr>
            <w:tcW w:w="3057" w:type="dxa"/>
            <w:gridSpan w:val="2"/>
          </w:tcPr>
          <w:p w14:paraId="1D606E53" w14:textId="77777777" w:rsidR="006A7B22" w:rsidRPr="006A7B22" w:rsidRDefault="006A7B22" w:rsidP="006A7B22">
            <w:pPr>
              <w:rPr>
                <w:color w:val="000000"/>
                <w:sz w:val="20"/>
                <w:szCs w:val="20"/>
              </w:rPr>
            </w:pPr>
            <w:r w:rsidRPr="006A7B22">
              <w:rPr>
                <w:sz w:val="20"/>
                <w:szCs w:val="20"/>
              </w:rPr>
              <w:t>Notional quantity</w:t>
            </w:r>
          </w:p>
        </w:tc>
      </w:tr>
      <w:tr w:rsidR="006A7B22" w:rsidRPr="006A7B22" w14:paraId="035165DE" w14:textId="77777777" w:rsidTr="006A7B22">
        <w:trPr>
          <w:trHeight w:val="450"/>
        </w:trPr>
        <w:tc>
          <w:tcPr>
            <w:tcW w:w="3798" w:type="dxa"/>
            <w:vMerge/>
          </w:tcPr>
          <w:p w14:paraId="01CF8DE4" w14:textId="77777777" w:rsidR="006A7B22" w:rsidRPr="006A7B22" w:rsidRDefault="006A7B22" w:rsidP="006A7B22">
            <w:pPr>
              <w:rPr>
                <w:sz w:val="20"/>
                <w:szCs w:val="20"/>
              </w:rPr>
            </w:pPr>
          </w:p>
        </w:tc>
        <w:tc>
          <w:tcPr>
            <w:tcW w:w="1489" w:type="dxa"/>
          </w:tcPr>
          <w:p w14:paraId="128306F9" w14:textId="77777777" w:rsidR="006A7B22" w:rsidRPr="006A7B22" w:rsidRDefault="006A7B22" w:rsidP="006A7B22">
            <w:pPr>
              <w:rPr>
                <w:sz w:val="20"/>
                <w:szCs w:val="20"/>
              </w:rPr>
            </w:pPr>
            <w:r w:rsidRPr="006A7B22">
              <w:rPr>
                <w:sz w:val="20"/>
                <w:szCs w:val="20"/>
              </w:rPr>
              <w:t>2025</w:t>
            </w:r>
          </w:p>
          <w:p w14:paraId="47AF3934" w14:textId="77777777" w:rsidR="006A7B22" w:rsidRPr="006A7B22" w:rsidRDefault="006A7B22" w:rsidP="006A7B22">
            <w:pPr>
              <w:rPr>
                <w:color w:val="000000"/>
                <w:sz w:val="20"/>
                <w:szCs w:val="20"/>
              </w:rPr>
            </w:pPr>
            <w:r w:rsidRPr="006A7B22">
              <w:rPr>
                <w:sz w:val="20"/>
                <w:szCs w:val="20"/>
              </w:rPr>
              <w:t>p / litre</w:t>
            </w:r>
          </w:p>
        </w:tc>
        <w:tc>
          <w:tcPr>
            <w:tcW w:w="1516" w:type="dxa"/>
          </w:tcPr>
          <w:p w14:paraId="283259F5" w14:textId="77777777" w:rsidR="006A7B22" w:rsidRPr="006A7B22" w:rsidRDefault="006A7B22" w:rsidP="006A7B22">
            <w:pPr>
              <w:rPr>
                <w:sz w:val="20"/>
                <w:szCs w:val="20"/>
              </w:rPr>
            </w:pPr>
            <w:r w:rsidRPr="006A7B22">
              <w:rPr>
                <w:sz w:val="20"/>
                <w:szCs w:val="20"/>
              </w:rPr>
              <w:t>2024</w:t>
            </w:r>
          </w:p>
          <w:p w14:paraId="2EB1CC38" w14:textId="77777777" w:rsidR="006A7B22" w:rsidRPr="006A7B22" w:rsidRDefault="006A7B22" w:rsidP="006A7B22">
            <w:pPr>
              <w:rPr>
                <w:color w:val="000000"/>
                <w:sz w:val="20"/>
                <w:szCs w:val="20"/>
              </w:rPr>
            </w:pPr>
            <w:r w:rsidRPr="006A7B22">
              <w:rPr>
                <w:sz w:val="20"/>
                <w:szCs w:val="20"/>
              </w:rPr>
              <w:t>p / litre</w:t>
            </w:r>
          </w:p>
        </w:tc>
        <w:tc>
          <w:tcPr>
            <w:tcW w:w="1517" w:type="dxa"/>
          </w:tcPr>
          <w:p w14:paraId="75F44D5E" w14:textId="77777777" w:rsidR="006A7B22" w:rsidRPr="006A7B22" w:rsidRDefault="006A7B22" w:rsidP="006A7B22">
            <w:pPr>
              <w:rPr>
                <w:sz w:val="20"/>
                <w:szCs w:val="20"/>
              </w:rPr>
            </w:pPr>
            <w:r w:rsidRPr="006A7B22">
              <w:rPr>
                <w:sz w:val="20"/>
                <w:szCs w:val="20"/>
              </w:rPr>
              <w:t>2025</w:t>
            </w:r>
          </w:p>
          <w:p w14:paraId="384904DD" w14:textId="77777777" w:rsidR="006A7B22" w:rsidRPr="006A7B22" w:rsidRDefault="006A7B22" w:rsidP="006A7B22">
            <w:pPr>
              <w:rPr>
                <w:color w:val="000000"/>
                <w:sz w:val="20"/>
                <w:szCs w:val="20"/>
              </w:rPr>
            </w:pPr>
            <w:r w:rsidRPr="006A7B22">
              <w:rPr>
                <w:sz w:val="20"/>
                <w:szCs w:val="20"/>
              </w:rPr>
              <w:t>Litres’000</w:t>
            </w:r>
          </w:p>
        </w:tc>
        <w:tc>
          <w:tcPr>
            <w:tcW w:w="1540" w:type="dxa"/>
          </w:tcPr>
          <w:p w14:paraId="644C538C" w14:textId="77777777" w:rsidR="006A7B22" w:rsidRPr="006A7B22" w:rsidRDefault="006A7B22" w:rsidP="006A7B22">
            <w:pPr>
              <w:rPr>
                <w:sz w:val="20"/>
                <w:szCs w:val="20"/>
              </w:rPr>
            </w:pPr>
            <w:r w:rsidRPr="006A7B22">
              <w:rPr>
                <w:sz w:val="20"/>
                <w:szCs w:val="20"/>
              </w:rPr>
              <w:t>2024</w:t>
            </w:r>
          </w:p>
          <w:p w14:paraId="5F2E03B7" w14:textId="77777777" w:rsidR="006A7B22" w:rsidRPr="006A7B22" w:rsidRDefault="006A7B22" w:rsidP="006A7B22">
            <w:pPr>
              <w:rPr>
                <w:color w:val="000000"/>
                <w:sz w:val="20"/>
                <w:szCs w:val="20"/>
              </w:rPr>
            </w:pPr>
            <w:r w:rsidRPr="006A7B22">
              <w:rPr>
                <w:sz w:val="20"/>
                <w:szCs w:val="20"/>
              </w:rPr>
              <w:t>Litres’000</w:t>
            </w:r>
          </w:p>
        </w:tc>
      </w:tr>
      <w:tr w:rsidR="006A7B22" w:rsidRPr="006A7B22" w14:paraId="31F3851D" w14:textId="77777777" w:rsidTr="006A7B22">
        <w:trPr>
          <w:trHeight w:hRule="exact" w:val="255"/>
        </w:trPr>
        <w:tc>
          <w:tcPr>
            <w:tcW w:w="3798" w:type="dxa"/>
          </w:tcPr>
          <w:p w14:paraId="64BD95B7" w14:textId="77777777" w:rsidR="006A7B22" w:rsidRPr="006A7B22" w:rsidRDefault="006A7B22" w:rsidP="006A7B22">
            <w:pPr>
              <w:rPr>
                <w:color w:val="000000"/>
                <w:sz w:val="20"/>
                <w:szCs w:val="20"/>
              </w:rPr>
            </w:pPr>
            <w:r w:rsidRPr="006A7B22">
              <w:rPr>
                <w:color w:val="000000"/>
                <w:sz w:val="20"/>
                <w:szCs w:val="20"/>
              </w:rPr>
              <w:t>Less than 1 year</w:t>
            </w:r>
          </w:p>
        </w:tc>
        <w:tc>
          <w:tcPr>
            <w:tcW w:w="1489" w:type="dxa"/>
          </w:tcPr>
          <w:p w14:paraId="582583CB" w14:textId="77777777" w:rsidR="006A7B22" w:rsidRPr="006A7B22" w:rsidRDefault="006A7B22" w:rsidP="006A7B22">
            <w:pPr>
              <w:rPr>
                <w:color w:val="000000"/>
                <w:sz w:val="20"/>
                <w:szCs w:val="20"/>
              </w:rPr>
            </w:pPr>
            <w:r w:rsidRPr="006A7B22">
              <w:rPr>
                <w:color w:val="000000"/>
                <w:sz w:val="20"/>
                <w:szCs w:val="20"/>
              </w:rPr>
              <w:t>50.15</w:t>
            </w:r>
          </w:p>
        </w:tc>
        <w:tc>
          <w:tcPr>
            <w:tcW w:w="1516" w:type="dxa"/>
          </w:tcPr>
          <w:p w14:paraId="323DEC52" w14:textId="77777777" w:rsidR="006A7B22" w:rsidRPr="006A7B22" w:rsidRDefault="006A7B22" w:rsidP="006A7B22">
            <w:pPr>
              <w:rPr>
                <w:color w:val="000000"/>
                <w:sz w:val="20"/>
                <w:szCs w:val="20"/>
              </w:rPr>
            </w:pPr>
            <w:r w:rsidRPr="006A7B22">
              <w:rPr>
                <w:color w:val="000000"/>
                <w:sz w:val="20"/>
                <w:szCs w:val="20"/>
              </w:rPr>
              <w:t>49.33</w:t>
            </w:r>
          </w:p>
        </w:tc>
        <w:tc>
          <w:tcPr>
            <w:tcW w:w="1517" w:type="dxa"/>
          </w:tcPr>
          <w:p w14:paraId="0C9FDD02" w14:textId="77777777" w:rsidR="006A7B22" w:rsidRPr="006A7B22" w:rsidRDefault="006A7B22" w:rsidP="006A7B22">
            <w:pPr>
              <w:rPr>
                <w:color w:val="000000"/>
                <w:sz w:val="20"/>
                <w:szCs w:val="20"/>
              </w:rPr>
            </w:pPr>
            <w:r w:rsidRPr="006A7B22">
              <w:rPr>
                <w:color w:val="000000"/>
                <w:sz w:val="20"/>
                <w:szCs w:val="20"/>
              </w:rPr>
              <w:t>32,400</w:t>
            </w:r>
          </w:p>
        </w:tc>
        <w:tc>
          <w:tcPr>
            <w:tcW w:w="1540" w:type="dxa"/>
          </w:tcPr>
          <w:p w14:paraId="6BEE59AF" w14:textId="77777777" w:rsidR="006A7B22" w:rsidRPr="006A7B22" w:rsidRDefault="006A7B22" w:rsidP="006A7B22">
            <w:pPr>
              <w:rPr>
                <w:color w:val="000000"/>
                <w:sz w:val="20"/>
                <w:szCs w:val="20"/>
              </w:rPr>
            </w:pPr>
            <w:r w:rsidRPr="006A7B22">
              <w:rPr>
                <w:color w:val="000000"/>
                <w:sz w:val="20"/>
                <w:szCs w:val="20"/>
              </w:rPr>
              <w:t>36,000</w:t>
            </w:r>
          </w:p>
        </w:tc>
      </w:tr>
      <w:tr w:rsidR="006A7B22" w:rsidRPr="006A7B22" w14:paraId="2C8BD5D5" w14:textId="77777777" w:rsidTr="006A7B22">
        <w:trPr>
          <w:trHeight w:hRule="exact" w:val="255"/>
        </w:trPr>
        <w:tc>
          <w:tcPr>
            <w:tcW w:w="3798" w:type="dxa"/>
          </w:tcPr>
          <w:p w14:paraId="66466AA5" w14:textId="77777777" w:rsidR="006A7B22" w:rsidRPr="006A7B22" w:rsidRDefault="006A7B22" w:rsidP="006A7B22">
            <w:pPr>
              <w:rPr>
                <w:color w:val="000000"/>
                <w:sz w:val="20"/>
                <w:szCs w:val="20"/>
              </w:rPr>
            </w:pPr>
            <w:r w:rsidRPr="006A7B22">
              <w:rPr>
                <w:color w:val="000000"/>
                <w:sz w:val="20"/>
                <w:szCs w:val="20"/>
              </w:rPr>
              <w:t>1 to 2 years</w:t>
            </w:r>
          </w:p>
        </w:tc>
        <w:tc>
          <w:tcPr>
            <w:tcW w:w="1489" w:type="dxa"/>
          </w:tcPr>
          <w:p w14:paraId="3676363A" w14:textId="77777777" w:rsidR="006A7B22" w:rsidRPr="006A7B22" w:rsidRDefault="006A7B22" w:rsidP="006A7B22">
            <w:pPr>
              <w:rPr>
                <w:color w:val="000000"/>
                <w:sz w:val="20"/>
                <w:szCs w:val="20"/>
              </w:rPr>
            </w:pPr>
            <w:r w:rsidRPr="006A7B22">
              <w:rPr>
                <w:color w:val="000000"/>
                <w:sz w:val="20"/>
                <w:szCs w:val="20"/>
              </w:rPr>
              <w:t>47.68</w:t>
            </w:r>
          </w:p>
        </w:tc>
        <w:tc>
          <w:tcPr>
            <w:tcW w:w="1516" w:type="dxa"/>
          </w:tcPr>
          <w:p w14:paraId="700B1354" w14:textId="77777777" w:rsidR="006A7B22" w:rsidRPr="006A7B22" w:rsidRDefault="006A7B22" w:rsidP="006A7B22">
            <w:pPr>
              <w:rPr>
                <w:color w:val="000000"/>
                <w:sz w:val="20"/>
                <w:szCs w:val="20"/>
              </w:rPr>
            </w:pPr>
            <w:r w:rsidRPr="006A7B22">
              <w:rPr>
                <w:color w:val="000000"/>
                <w:sz w:val="20"/>
                <w:szCs w:val="20"/>
              </w:rPr>
              <w:t>52.32</w:t>
            </w:r>
          </w:p>
        </w:tc>
        <w:tc>
          <w:tcPr>
            <w:tcW w:w="1517" w:type="dxa"/>
          </w:tcPr>
          <w:p w14:paraId="73F1698F" w14:textId="77777777" w:rsidR="006A7B22" w:rsidRPr="006A7B22" w:rsidRDefault="006A7B22" w:rsidP="006A7B22">
            <w:pPr>
              <w:rPr>
                <w:color w:val="000000"/>
                <w:sz w:val="20"/>
                <w:szCs w:val="20"/>
              </w:rPr>
            </w:pPr>
            <w:r w:rsidRPr="006A7B22">
              <w:rPr>
                <w:color w:val="000000"/>
                <w:sz w:val="20"/>
                <w:szCs w:val="20"/>
              </w:rPr>
              <w:t>21,600</w:t>
            </w:r>
          </w:p>
        </w:tc>
        <w:tc>
          <w:tcPr>
            <w:tcW w:w="1540" w:type="dxa"/>
          </w:tcPr>
          <w:p w14:paraId="0F6B904F" w14:textId="77777777" w:rsidR="006A7B22" w:rsidRPr="006A7B22" w:rsidRDefault="006A7B22" w:rsidP="006A7B22">
            <w:pPr>
              <w:rPr>
                <w:color w:val="000000"/>
                <w:sz w:val="20"/>
                <w:szCs w:val="20"/>
              </w:rPr>
            </w:pPr>
            <w:r w:rsidRPr="006A7B22">
              <w:rPr>
                <w:color w:val="000000"/>
                <w:sz w:val="20"/>
                <w:szCs w:val="20"/>
              </w:rPr>
              <w:t>21,600</w:t>
            </w:r>
          </w:p>
        </w:tc>
      </w:tr>
      <w:tr w:rsidR="006A7B22" w:rsidRPr="006A7B22" w14:paraId="796D5DAE" w14:textId="77777777" w:rsidTr="006A7B22">
        <w:trPr>
          <w:trHeight w:hRule="exact" w:val="255"/>
        </w:trPr>
        <w:tc>
          <w:tcPr>
            <w:tcW w:w="3798" w:type="dxa"/>
          </w:tcPr>
          <w:p w14:paraId="0B970986" w14:textId="77777777" w:rsidR="006A7B22" w:rsidRPr="006A7B22" w:rsidRDefault="006A7B22" w:rsidP="006A7B22">
            <w:pPr>
              <w:rPr>
                <w:color w:val="000000"/>
                <w:sz w:val="20"/>
                <w:szCs w:val="20"/>
              </w:rPr>
            </w:pPr>
            <w:r w:rsidRPr="006A7B22">
              <w:rPr>
                <w:color w:val="000000"/>
                <w:sz w:val="20"/>
                <w:szCs w:val="20"/>
              </w:rPr>
              <w:t>2 to 5 years</w:t>
            </w:r>
          </w:p>
        </w:tc>
        <w:tc>
          <w:tcPr>
            <w:tcW w:w="1489" w:type="dxa"/>
          </w:tcPr>
          <w:p w14:paraId="3C55158C" w14:textId="77777777" w:rsidR="006A7B22" w:rsidRPr="006A7B22" w:rsidRDefault="006A7B22" w:rsidP="006A7B22">
            <w:pPr>
              <w:rPr>
                <w:color w:val="000000"/>
                <w:sz w:val="20"/>
                <w:szCs w:val="20"/>
              </w:rPr>
            </w:pPr>
            <w:r w:rsidRPr="006A7B22">
              <w:rPr>
                <w:color w:val="000000"/>
                <w:sz w:val="20"/>
                <w:szCs w:val="20"/>
              </w:rPr>
              <w:t>-</w:t>
            </w:r>
          </w:p>
        </w:tc>
        <w:tc>
          <w:tcPr>
            <w:tcW w:w="1516" w:type="dxa"/>
          </w:tcPr>
          <w:p w14:paraId="27287AB8" w14:textId="77777777" w:rsidR="006A7B22" w:rsidRPr="006A7B22" w:rsidRDefault="006A7B22" w:rsidP="006A7B22">
            <w:pPr>
              <w:rPr>
                <w:color w:val="000000"/>
                <w:sz w:val="20"/>
                <w:szCs w:val="20"/>
              </w:rPr>
            </w:pPr>
            <w:r w:rsidRPr="006A7B22">
              <w:rPr>
                <w:color w:val="000000"/>
                <w:sz w:val="20"/>
                <w:szCs w:val="20"/>
              </w:rPr>
              <w:t>50.57</w:t>
            </w:r>
          </w:p>
        </w:tc>
        <w:tc>
          <w:tcPr>
            <w:tcW w:w="1517" w:type="dxa"/>
          </w:tcPr>
          <w:p w14:paraId="56F8BD09" w14:textId="77777777" w:rsidR="006A7B22" w:rsidRPr="006A7B22" w:rsidRDefault="006A7B22" w:rsidP="006A7B22">
            <w:pPr>
              <w:rPr>
                <w:color w:val="000000"/>
                <w:sz w:val="20"/>
                <w:szCs w:val="20"/>
              </w:rPr>
            </w:pPr>
            <w:r w:rsidRPr="006A7B22">
              <w:rPr>
                <w:color w:val="000000"/>
                <w:sz w:val="20"/>
                <w:szCs w:val="20"/>
              </w:rPr>
              <w:t>-</w:t>
            </w:r>
          </w:p>
        </w:tc>
        <w:tc>
          <w:tcPr>
            <w:tcW w:w="1540" w:type="dxa"/>
          </w:tcPr>
          <w:p w14:paraId="1F78D418" w14:textId="77777777" w:rsidR="006A7B22" w:rsidRPr="006A7B22" w:rsidRDefault="006A7B22" w:rsidP="006A7B22">
            <w:pPr>
              <w:rPr>
                <w:color w:val="000000"/>
                <w:sz w:val="20"/>
                <w:szCs w:val="20"/>
              </w:rPr>
            </w:pPr>
            <w:r w:rsidRPr="006A7B22">
              <w:rPr>
                <w:color w:val="000000"/>
                <w:sz w:val="20"/>
                <w:szCs w:val="20"/>
              </w:rPr>
              <w:t>10,800</w:t>
            </w:r>
          </w:p>
        </w:tc>
      </w:tr>
      <w:tr w:rsidR="006A7B22" w:rsidRPr="006A7B22" w14:paraId="6885E922" w14:textId="77777777" w:rsidTr="006A7B22">
        <w:trPr>
          <w:trHeight w:hRule="exact" w:val="340"/>
        </w:trPr>
        <w:tc>
          <w:tcPr>
            <w:tcW w:w="3798" w:type="dxa"/>
          </w:tcPr>
          <w:p w14:paraId="73AFC88E" w14:textId="77777777" w:rsidR="006A7B22" w:rsidRPr="006A7B22" w:rsidRDefault="006A7B22" w:rsidP="006A7B22">
            <w:pPr>
              <w:rPr>
                <w:color w:val="000000"/>
                <w:sz w:val="20"/>
                <w:szCs w:val="20"/>
              </w:rPr>
            </w:pPr>
            <w:r w:rsidRPr="006A7B22">
              <w:rPr>
                <w:color w:val="000000"/>
                <w:sz w:val="20"/>
                <w:szCs w:val="20"/>
              </w:rPr>
              <w:t>5 years +</w:t>
            </w:r>
          </w:p>
        </w:tc>
        <w:tc>
          <w:tcPr>
            <w:tcW w:w="1489" w:type="dxa"/>
          </w:tcPr>
          <w:p w14:paraId="39ADE274" w14:textId="77777777" w:rsidR="006A7B22" w:rsidRPr="006A7B22" w:rsidRDefault="006A7B22" w:rsidP="006A7B22">
            <w:pPr>
              <w:rPr>
                <w:color w:val="000000"/>
                <w:sz w:val="20"/>
                <w:szCs w:val="20"/>
              </w:rPr>
            </w:pPr>
            <w:r w:rsidRPr="006A7B22">
              <w:rPr>
                <w:color w:val="000000"/>
                <w:sz w:val="20"/>
                <w:szCs w:val="20"/>
              </w:rPr>
              <w:t>-</w:t>
            </w:r>
          </w:p>
        </w:tc>
        <w:tc>
          <w:tcPr>
            <w:tcW w:w="1516" w:type="dxa"/>
          </w:tcPr>
          <w:p w14:paraId="5ED54126" w14:textId="77777777" w:rsidR="006A7B22" w:rsidRPr="006A7B22" w:rsidRDefault="006A7B22" w:rsidP="006A7B22">
            <w:pPr>
              <w:rPr>
                <w:color w:val="000000"/>
                <w:sz w:val="20"/>
                <w:szCs w:val="20"/>
              </w:rPr>
            </w:pPr>
            <w:r w:rsidRPr="006A7B22">
              <w:rPr>
                <w:color w:val="000000"/>
                <w:sz w:val="20"/>
                <w:szCs w:val="20"/>
              </w:rPr>
              <w:t>-</w:t>
            </w:r>
          </w:p>
        </w:tc>
        <w:tc>
          <w:tcPr>
            <w:tcW w:w="1517" w:type="dxa"/>
          </w:tcPr>
          <w:p w14:paraId="363133CF" w14:textId="77777777" w:rsidR="006A7B22" w:rsidRPr="006A7B22" w:rsidRDefault="006A7B22" w:rsidP="006A7B22">
            <w:pPr>
              <w:rPr>
                <w:color w:val="000000"/>
                <w:sz w:val="20"/>
                <w:szCs w:val="20"/>
              </w:rPr>
            </w:pPr>
            <w:r w:rsidRPr="006A7B22">
              <w:rPr>
                <w:color w:val="000000"/>
                <w:sz w:val="20"/>
                <w:szCs w:val="20"/>
              </w:rPr>
              <w:t>-</w:t>
            </w:r>
          </w:p>
        </w:tc>
        <w:tc>
          <w:tcPr>
            <w:tcW w:w="1540" w:type="dxa"/>
          </w:tcPr>
          <w:p w14:paraId="189D6059" w14:textId="77777777" w:rsidR="006A7B22" w:rsidRPr="006A7B22" w:rsidRDefault="006A7B22" w:rsidP="006A7B22">
            <w:pPr>
              <w:rPr>
                <w:color w:val="000000"/>
                <w:sz w:val="20"/>
                <w:szCs w:val="20"/>
              </w:rPr>
            </w:pPr>
            <w:r w:rsidRPr="006A7B22">
              <w:rPr>
                <w:color w:val="000000"/>
                <w:sz w:val="20"/>
                <w:szCs w:val="20"/>
              </w:rPr>
              <w:t>-</w:t>
            </w:r>
          </w:p>
        </w:tc>
      </w:tr>
      <w:tr w:rsidR="006A7B22" w:rsidRPr="006A7B22" w14:paraId="47AF4C12" w14:textId="77777777" w:rsidTr="006A7B22">
        <w:trPr>
          <w:trHeight w:hRule="exact" w:val="340"/>
        </w:trPr>
        <w:tc>
          <w:tcPr>
            <w:tcW w:w="3798" w:type="dxa"/>
          </w:tcPr>
          <w:p w14:paraId="744D9D08" w14:textId="77777777" w:rsidR="006A7B22" w:rsidRPr="006A7B22" w:rsidRDefault="006A7B22" w:rsidP="006A7B22">
            <w:pPr>
              <w:rPr>
                <w:sz w:val="20"/>
                <w:szCs w:val="20"/>
              </w:rPr>
            </w:pPr>
          </w:p>
        </w:tc>
        <w:tc>
          <w:tcPr>
            <w:tcW w:w="1489" w:type="dxa"/>
          </w:tcPr>
          <w:p w14:paraId="608E3A62" w14:textId="77777777" w:rsidR="006A7B22" w:rsidRPr="006A7B22" w:rsidRDefault="006A7B22" w:rsidP="006A7B22">
            <w:pPr>
              <w:rPr>
                <w:sz w:val="20"/>
                <w:szCs w:val="20"/>
              </w:rPr>
            </w:pPr>
          </w:p>
        </w:tc>
        <w:tc>
          <w:tcPr>
            <w:tcW w:w="1516" w:type="dxa"/>
          </w:tcPr>
          <w:p w14:paraId="4B62B2D1" w14:textId="77777777" w:rsidR="006A7B22" w:rsidRPr="006A7B22" w:rsidRDefault="006A7B22" w:rsidP="006A7B22">
            <w:pPr>
              <w:rPr>
                <w:sz w:val="20"/>
                <w:szCs w:val="20"/>
              </w:rPr>
            </w:pPr>
          </w:p>
        </w:tc>
        <w:tc>
          <w:tcPr>
            <w:tcW w:w="1517" w:type="dxa"/>
          </w:tcPr>
          <w:p w14:paraId="2472E760" w14:textId="77777777" w:rsidR="006A7B22" w:rsidRPr="006A7B22" w:rsidRDefault="006A7B22" w:rsidP="006A7B22">
            <w:pPr>
              <w:rPr>
                <w:color w:val="000000"/>
                <w:sz w:val="20"/>
                <w:szCs w:val="20"/>
              </w:rPr>
            </w:pPr>
            <w:r w:rsidRPr="006A7B22">
              <w:rPr>
                <w:color w:val="000000"/>
                <w:sz w:val="20"/>
                <w:szCs w:val="20"/>
              </w:rPr>
              <w:t>54,000</w:t>
            </w:r>
          </w:p>
        </w:tc>
        <w:tc>
          <w:tcPr>
            <w:tcW w:w="1540" w:type="dxa"/>
          </w:tcPr>
          <w:p w14:paraId="6723137B" w14:textId="77777777" w:rsidR="006A7B22" w:rsidRPr="006A7B22" w:rsidRDefault="006A7B22" w:rsidP="006A7B22">
            <w:pPr>
              <w:rPr>
                <w:color w:val="000000"/>
                <w:sz w:val="20"/>
                <w:szCs w:val="20"/>
              </w:rPr>
            </w:pPr>
            <w:r w:rsidRPr="006A7B22">
              <w:rPr>
                <w:color w:val="000000"/>
                <w:sz w:val="20"/>
                <w:szCs w:val="20"/>
              </w:rPr>
              <w:t>68,400</w:t>
            </w:r>
          </w:p>
        </w:tc>
      </w:tr>
    </w:tbl>
    <w:p w14:paraId="08C93EBE" w14:textId="77777777" w:rsidR="006A7B22" w:rsidRPr="006A7B22" w:rsidRDefault="006A7B22" w:rsidP="006A7B22"/>
    <w:p w14:paraId="3FF0545E" w14:textId="77777777" w:rsidR="006A7B22" w:rsidRDefault="006A7B22" w:rsidP="006A7B2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rPr>
      </w:pPr>
      <w:r w:rsidRPr="006A7B22">
        <w:rPr>
          <w:rFonts w:cs="Arial"/>
          <w:color w:val="000000"/>
        </w:rPr>
        <w:t>The fair value of fuel derivatives is further analysed by division as follows:</w:t>
      </w:r>
    </w:p>
    <w:p w14:paraId="2A335333" w14:textId="77777777" w:rsidR="006A7B22" w:rsidRPr="006A7B22" w:rsidRDefault="006A7B22" w:rsidP="006A7B2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rPr>
      </w:pPr>
    </w:p>
    <w:tbl>
      <w:tblPr>
        <w:tblStyle w:val="TableGrid"/>
        <w:tblW w:w="0" w:type="auto"/>
        <w:tblLayout w:type="fixed"/>
        <w:tblLook w:val="0000" w:firstRow="0" w:lastRow="0" w:firstColumn="0" w:lastColumn="0" w:noHBand="0" w:noVBand="0"/>
      </w:tblPr>
      <w:tblGrid>
        <w:gridCol w:w="5240"/>
        <w:gridCol w:w="2410"/>
      </w:tblGrid>
      <w:tr w:rsidR="006A7B22" w:rsidRPr="006A7B22" w14:paraId="2AE80F48" w14:textId="77777777" w:rsidTr="006A7B22">
        <w:trPr>
          <w:trHeight w:hRule="exact" w:val="1033"/>
        </w:trPr>
        <w:tc>
          <w:tcPr>
            <w:tcW w:w="5240" w:type="dxa"/>
          </w:tcPr>
          <w:p w14:paraId="63B95DF6"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c>
          <w:tcPr>
            <w:tcW w:w="2410" w:type="dxa"/>
          </w:tcPr>
          <w:p w14:paraId="59569389" w14:textId="77777777" w:rsidR="006A7B22" w:rsidRPr="006A7B22" w:rsidRDefault="006A7B22" w:rsidP="006A7B22">
            <w:pPr>
              <w:autoSpaceDE w:val="0"/>
              <w:autoSpaceDN w:val="0"/>
              <w:adjustRightInd w:val="0"/>
              <w:spacing w:line="240" w:lineRule="auto"/>
              <w:jc w:val="right"/>
              <w:textAlignment w:val="center"/>
              <w:rPr>
                <w:rFonts w:cs="Arial"/>
                <w:b/>
                <w:bCs/>
                <w:color w:val="000000" w:themeColor="text1"/>
                <w:sz w:val="20"/>
                <w:szCs w:val="20"/>
              </w:rPr>
            </w:pPr>
            <w:r w:rsidRPr="006A7B22">
              <w:rPr>
                <w:rFonts w:cs="Arial"/>
                <w:b/>
                <w:bCs/>
                <w:color w:val="000000" w:themeColor="text1"/>
                <w:sz w:val="20"/>
                <w:szCs w:val="20"/>
              </w:rPr>
              <w:t xml:space="preserve">Notional Quantity of fuel covered </w:t>
            </w:r>
          </w:p>
          <w:p w14:paraId="6966E18F"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b/>
                <w:bCs/>
                <w:color w:val="000000" w:themeColor="text1"/>
                <w:sz w:val="20"/>
                <w:szCs w:val="20"/>
              </w:rPr>
              <w:t>by derivatives thousands/litres</w:t>
            </w:r>
          </w:p>
        </w:tc>
      </w:tr>
      <w:tr w:rsidR="006A7B22" w:rsidRPr="006A7B22" w14:paraId="28ACFFEF" w14:textId="77777777" w:rsidTr="006A7B22">
        <w:trPr>
          <w:trHeight w:val="283"/>
        </w:trPr>
        <w:tc>
          <w:tcPr>
            <w:tcW w:w="5240" w:type="dxa"/>
          </w:tcPr>
          <w:p w14:paraId="239EF8F3"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b/>
                <w:bCs/>
                <w:color w:val="000000" w:themeColor="text1"/>
                <w:sz w:val="20"/>
                <w:szCs w:val="20"/>
              </w:rPr>
              <w:t xml:space="preserve">As </w:t>
            </w: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30 March 2025</w:t>
            </w:r>
          </w:p>
        </w:tc>
        <w:tc>
          <w:tcPr>
            <w:tcW w:w="2410" w:type="dxa"/>
          </w:tcPr>
          <w:p w14:paraId="24C15A2C"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24AAB599" w14:textId="77777777" w:rsidTr="006A7B22">
        <w:trPr>
          <w:trHeight w:val="283"/>
        </w:trPr>
        <w:tc>
          <w:tcPr>
            <w:tcW w:w="5240" w:type="dxa"/>
          </w:tcPr>
          <w:p w14:paraId="0FE34546"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color w:val="000000" w:themeColor="text1"/>
                <w:sz w:val="20"/>
                <w:szCs w:val="20"/>
              </w:rPr>
              <w:t>Bus division</w:t>
            </w:r>
          </w:p>
        </w:tc>
        <w:tc>
          <w:tcPr>
            <w:tcW w:w="2410" w:type="dxa"/>
          </w:tcPr>
          <w:p w14:paraId="1CE552EB"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31,860</w:t>
            </w:r>
          </w:p>
        </w:tc>
      </w:tr>
      <w:tr w:rsidR="006A7B22" w:rsidRPr="006A7B22" w14:paraId="46A26DDE" w14:textId="77777777" w:rsidTr="006A7B22">
        <w:trPr>
          <w:trHeight w:val="283"/>
        </w:trPr>
        <w:tc>
          <w:tcPr>
            <w:tcW w:w="5240" w:type="dxa"/>
          </w:tcPr>
          <w:p w14:paraId="44057936"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color w:val="000000" w:themeColor="text1"/>
                <w:sz w:val="20"/>
                <w:szCs w:val="20"/>
              </w:rPr>
              <w:t>Rail division</w:t>
            </w:r>
          </w:p>
        </w:tc>
        <w:tc>
          <w:tcPr>
            <w:tcW w:w="2410" w:type="dxa"/>
          </w:tcPr>
          <w:p w14:paraId="2107E329"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22,140</w:t>
            </w:r>
          </w:p>
        </w:tc>
      </w:tr>
      <w:tr w:rsidR="006A7B22" w:rsidRPr="006A7B22" w14:paraId="22FB82FC" w14:textId="77777777" w:rsidTr="006A7B22">
        <w:trPr>
          <w:trHeight w:val="283"/>
        </w:trPr>
        <w:tc>
          <w:tcPr>
            <w:tcW w:w="5240" w:type="dxa"/>
          </w:tcPr>
          <w:p w14:paraId="605DAC8C"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b/>
                <w:bCs/>
                <w:color w:val="000000" w:themeColor="text1"/>
                <w:sz w:val="20"/>
                <w:szCs w:val="20"/>
              </w:rPr>
              <w:t xml:space="preserve">As </w:t>
            </w:r>
            <w:proofErr w:type="gramStart"/>
            <w:r w:rsidRPr="006A7B22">
              <w:rPr>
                <w:rFonts w:cs="Arial"/>
                <w:b/>
                <w:bCs/>
                <w:color w:val="000000" w:themeColor="text1"/>
                <w:sz w:val="20"/>
                <w:szCs w:val="20"/>
              </w:rPr>
              <w:t>at</w:t>
            </w:r>
            <w:proofErr w:type="gramEnd"/>
            <w:r w:rsidRPr="006A7B22">
              <w:rPr>
                <w:rFonts w:cs="Arial"/>
                <w:b/>
                <w:bCs/>
                <w:color w:val="000000" w:themeColor="text1"/>
                <w:sz w:val="20"/>
                <w:szCs w:val="20"/>
              </w:rPr>
              <w:t xml:space="preserve"> 31 March 2024</w:t>
            </w:r>
          </w:p>
        </w:tc>
        <w:tc>
          <w:tcPr>
            <w:tcW w:w="2410" w:type="dxa"/>
          </w:tcPr>
          <w:p w14:paraId="04B15AF8" w14:textId="77777777" w:rsidR="006A7B22" w:rsidRPr="006A7B22" w:rsidRDefault="006A7B22" w:rsidP="006A7B22">
            <w:pPr>
              <w:autoSpaceDE w:val="0"/>
              <w:autoSpaceDN w:val="0"/>
              <w:adjustRightInd w:val="0"/>
              <w:spacing w:line="240" w:lineRule="auto"/>
              <w:rPr>
                <w:rFonts w:cs="Arial"/>
                <w:color w:val="000000" w:themeColor="text1"/>
                <w:sz w:val="20"/>
                <w:szCs w:val="20"/>
              </w:rPr>
            </w:pPr>
          </w:p>
        </w:tc>
      </w:tr>
      <w:tr w:rsidR="006A7B22" w:rsidRPr="006A7B22" w14:paraId="10827764" w14:textId="77777777" w:rsidTr="006A7B22">
        <w:trPr>
          <w:trHeight w:val="283"/>
        </w:trPr>
        <w:tc>
          <w:tcPr>
            <w:tcW w:w="5240" w:type="dxa"/>
          </w:tcPr>
          <w:p w14:paraId="25DCBB71"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color w:val="000000" w:themeColor="text1"/>
                <w:sz w:val="20"/>
                <w:szCs w:val="20"/>
              </w:rPr>
              <w:t>Bus division</w:t>
            </w:r>
          </w:p>
        </w:tc>
        <w:tc>
          <w:tcPr>
            <w:tcW w:w="2410" w:type="dxa"/>
          </w:tcPr>
          <w:p w14:paraId="200F92E1"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39,775</w:t>
            </w:r>
          </w:p>
        </w:tc>
      </w:tr>
      <w:tr w:rsidR="006A7B22" w:rsidRPr="006A7B22" w14:paraId="2446938E" w14:textId="77777777" w:rsidTr="006A7B22">
        <w:trPr>
          <w:trHeight w:val="283"/>
        </w:trPr>
        <w:tc>
          <w:tcPr>
            <w:tcW w:w="5240" w:type="dxa"/>
          </w:tcPr>
          <w:p w14:paraId="782AECE6" w14:textId="77777777" w:rsidR="006A7B22" w:rsidRPr="006A7B22" w:rsidRDefault="006A7B22" w:rsidP="006A7B22">
            <w:pPr>
              <w:autoSpaceDE w:val="0"/>
              <w:autoSpaceDN w:val="0"/>
              <w:adjustRightInd w:val="0"/>
              <w:spacing w:line="240" w:lineRule="auto"/>
              <w:textAlignment w:val="center"/>
              <w:rPr>
                <w:rFonts w:cs="Arial"/>
                <w:color w:val="000000" w:themeColor="text1"/>
                <w:sz w:val="20"/>
                <w:szCs w:val="20"/>
              </w:rPr>
            </w:pPr>
            <w:r w:rsidRPr="006A7B22">
              <w:rPr>
                <w:rFonts w:cs="Arial"/>
                <w:color w:val="000000" w:themeColor="text1"/>
                <w:sz w:val="20"/>
                <w:szCs w:val="20"/>
              </w:rPr>
              <w:t>Rail division</w:t>
            </w:r>
          </w:p>
        </w:tc>
        <w:tc>
          <w:tcPr>
            <w:tcW w:w="2410" w:type="dxa"/>
          </w:tcPr>
          <w:p w14:paraId="21CF2EE4" w14:textId="77777777" w:rsidR="006A7B22" w:rsidRPr="006A7B22" w:rsidRDefault="006A7B22" w:rsidP="006A7B22">
            <w:pPr>
              <w:autoSpaceDE w:val="0"/>
              <w:autoSpaceDN w:val="0"/>
              <w:adjustRightInd w:val="0"/>
              <w:spacing w:line="240" w:lineRule="auto"/>
              <w:jc w:val="right"/>
              <w:textAlignment w:val="center"/>
              <w:rPr>
                <w:rFonts w:cs="Arial"/>
                <w:color w:val="000000" w:themeColor="text1"/>
                <w:sz w:val="20"/>
                <w:szCs w:val="20"/>
              </w:rPr>
            </w:pPr>
            <w:r w:rsidRPr="006A7B22">
              <w:rPr>
                <w:rFonts w:cs="Arial"/>
                <w:color w:val="000000" w:themeColor="text1"/>
                <w:sz w:val="20"/>
                <w:szCs w:val="20"/>
              </w:rPr>
              <w:t>28,625</w:t>
            </w:r>
          </w:p>
        </w:tc>
      </w:tr>
    </w:tbl>
    <w:p w14:paraId="71D100E4" w14:textId="77777777" w:rsidR="006A7B22" w:rsidRPr="006A7B22" w:rsidRDefault="006A7B22" w:rsidP="006A7B2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sz w:val="28"/>
          <w:szCs w:val="28"/>
        </w:rPr>
      </w:pPr>
    </w:p>
    <w:p w14:paraId="756CBAF5" w14:textId="108FE37C" w:rsidR="004204EF" w:rsidRDefault="004204EF" w:rsidP="004204E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rPr>
      </w:pPr>
      <w:proofErr w:type="gramStart"/>
      <w:r w:rsidRPr="004204EF">
        <w:rPr>
          <w:rFonts w:cs="Arial"/>
          <w:color w:val="000000"/>
        </w:rPr>
        <w:t>At</w:t>
      </w:r>
      <w:proofErr w:type="gramEnd"/>
      <w:r w:rsidRPr="004204EF">
        <w:rPr>
          <w:rFonts w:cs="Arial"/>
          <w:color w:val="000000"/>
        </w:rPr>
        <w:t xml:space="preserve"> 30 March 2025 and 31 March 2024, the projected fuel costs (excluding premia payable on fuel derivatives, delivery margins, fuel taxes and fuel tax rebates) for the next twelve months were:</w:t>
      </w:r>
    </w:p>
    <w:p w14:paraId="320651A1" w14:textId="77777777" w:rsidR="004204EF" w:rsidRDefault="004204EF" w:rsidP="004204E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rPr>
      </w:pPr>
    </w:p>
    <w:tbl>
      <w:tblPr>
        <w:tblStyle w:val="TableGrid"/>
        <w:tblW w:w="0" w:type="auto"/>
        <w:tblLayout w:type="fixed"/>
        <w:tblLook w:val="0000" w:firstRow="0" w:lastRow="0" w:firstColumn="0" w:lastColumn="0" w:noHBand="0" w:noVBand="0"/>
      </w:tblPr>
      <w:tblGrid>
        <w:gridCol w:w="5240"/>
        <w:gridCol w:w="1276"/>
        <w:gridCol w:w="1134"/>
      </w:tblGrid>
      <w:tr w:rsidR="004204EF" w:rsidRPr="004204EF" w14:paraId="0CE016F1" w14:textId="77777777" w:rsidTr="004204EF">
        <w:trPr>
          <w:trHeight w:val="624"/>
        </w:trPr>
        <w:tc>
          <w:tcPr>
            <w:tcW w:w="5240" w:type="dxa"/>
            <w:vAlign w:val="center"/>
          </w:tcPr>
          <w:p w14:paraId="56719FF6" w14:textId="77777777" w:rsidR="004204EF" w:rsidRPr="004204EF" w:rsidRDefault="004204EF" w:rsidP="004204EF">
            <w:pPr>
              <w:autoSpaceDE w:val="0"/>
              <w:autoSpaceDN w:val="0"/>
              <w:adjustRightInd w:val="0"/>
              <w:spacing w:line="240" w:lineRule="auto"/>
              <w:jc w:val="right"/>
              <w:rPr>
                <w:rFonts w:cs="Arial"/>
                <w:color w:val="000000" w:themeColor="text1"/>
                <w:sz w:val="20"/>
                <w:szCs w:val="20"/>
              </w:rPr>
            </w:pPr>
          </w:p>
        </w:tc>
        <w:tc>
          <w:tcPr>
            <w:tcW w:w="1276" w:type="dxa"/>
            <w:vAlign w:val="center"/>
          </w:tcPr>
          <w:p w14:paraId="601291F5" w14:textId="77777777" w:rsidR="004204EF" w:rsidRPr="004204EF" w:rsidRDefault="004204EF" w:rsidP="004204EF">
            <w:pPr>
              <w:tabs>
                <w:tab w:val="left" w:pos="198"/>
                <w:tab w:val="decimal" w:pos="1122"/>
              </w:tabs>
              <w:autoSpaceDE w:val="0"/>
              <w:autoSpaceDN w:val="0"/>
              <w:adjustRightInd w:val="0"/>
              <w:spacing w:line="240" w:lineRule="auto"/>
              <w:jc w:val="right"/>
              <w:textAlignment w:val="center"/>
              <w:rPr>
                <w:rFonts w:cs="Arial"/>
                <w:b/>
                <w:bCs/>
                <w:color w:val="000000" w:themeColor="text1"/>
                <w:sz w:val="20"/>
                <w:szCs w:val="20"/>
              </w:rPr>
            </w:pPr>
            <w:r w:rsidRPr="004204EF">
              <w:rPr>
                <w:rFonts w:cs="Arial"/>
                <w:b/>
                <w:bCs/>
                <w:color w:val="000000" w:themeColor="text1"/>
                <w:sz w:val="20"/>
                <w:szCs w:val="20"/>
              </w:rPr>
              <w:t>2025</w:t>
            </w:r>
          </w:p>
          <w:p w14:paraId="43764BEE" w14:textId="77777777" w:rsidR="004204EF" w:rsidRPr="004204EF" w:rsidRDefault="004204EF" w:rsidP="004204EF">
            <w:pPr>
              <w:tabs>
                <w:tab w:val="left" w:pos="198"/>
                <w:tab w:val="decimal" w:pos="1122"/>
              </w:tabs>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tl/>
                <w:lang w:bidi="ar-YE"/>
              </w:rPr>
              <w:t>£’000</w:t>
            </w:r>
            <w:r w:rsidRPr="004204EF">
              <w:rPr>
                <w:rFonts w:cs="Arial"/>
                <w:b/>
                <w:bCs/>
                <w:color w:val="000000" w:themeColor="text1"/>
                <w:sz w:val="20"/>
                <w:szCs w:val="20"/>
              </w:rPr>
              <w:t xml:space="preserve"> </w:t>
            </w:r>
          </w:p>
        </w:tc>
        <w:tc>
          <w:tcPr>
            <w:tcW w:w="1134" w:type="dxa"/>
            <w:vAlign w:val="center"/>
          </w:tcPr>
          <w:p w14:paraId="2C4BC0D4" w14:textId="77777777" w:rsidR="004204EF" w:rsidRPr="004204EF" w:rsidRDefault="004204EF" w:rsidP="004204EF">
            <w:pPr>
              <w:tabs>
                <w:tab w:val="left" w:pos="198"/>
                <w:tab w:val="decimal" w:pos="1122"/>
              </w:tabs>
              <w:autoSpaceDE w:val="0"/>
              <w:autoSpaceDN w:val="0"/>
              <w:adjustRightInd w:val="0"/>
              <w:spacing w:line="240" w:lineRule="auto"/>
              <w:jc w:val="right"/>
              <w:textAlignment w:val="center"/>
              <w:rPr>
                <w:rFonts w:cs="Arial"/>
                <w:b/>
                <w:bCs/>
                <w:color w:val="000000" w:themeColor="text1"/>
                <w:sz w:val="20"/>
                <w:szCs w:val="20"/>
              </w:rPr>
            </w:pPr>
            <w:r w:rsidRPr="004204EF">
              <w:rPr>
                <w:rFonts w:cs="Arial"/>
                <w:b/>
                <w:bCs/>
                <w:color w:val="000000" w:themeColor="text1"/>
                <w:sz w:val="20"/>
                <w:szCs w:val="20"/>
              </w:rPr>
              <w:t>2024</w:t>
            </w:r>
          </w:p>
          <w:p w14:paraId="713156E9" w14:textId="77777777" w:rsidR="004204EF" w:rsidRPr="004204EF" w:rsidRDefault="004204EF" w:rsidP="004204EF">
            <w:pPr>
              <w:tabs>
                <w:tab w:val="left" w:pos="198"/>
                <w:tab w:val="decimal" w:pos="1122"/>
              </w:tabs>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tl/>
                <w:lang w:bidi="ar-YE"/>
              </w:rPr>
              <w:t>£’000</w:t>
            </w:r>
            <w:r w:rsidRPr="004204EF">
              <w:rPr>
                <w:rFonts w:cs="Arial"/>
                <w:b/>
                <w:bCs/>
                <w:color w:val="000000" w:themeColor="text1"/>
                <w:sz w:val="20"/>
                <w:szCs w:val="20"/>
              </w:rPr>
              <w:t xml:space="preserve"> </w:t>
            </w:r>
          </w:p>
        </w:tc>
      </w:tr>
      <w:tr w:rsidR="004204EF" w:rsidRPr="004204EF" w14:paraId="033BE5AC" w14:textId="77777777" w:rsidTr="004204EF">
        <w:trPr>
          <w:trHeight w:val="283"/>
        </w:trPr>
        <w:tc>
          <w:tcPr>
            <w:tcW w:w="5240" w:type="dxa"/>
            <w:vAlign w:val="center"/>
          </w:tcPr>
          <w:p w14:paraId="0BDCDD6B"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Costs subject to fuel hedges</w:t>
            </w:r>
          </w:p>
        </w:tc>
        <w:tc>
          <w:tcPr>
            <w:tcW w:w="1276" w:type="dxa"/>
            <w:vAlign w:val="center"/>
          </w:tcPr>
          <w:p w14:paraId="3326F863" w14:textId="77777777" w:rsidR="004204EF" w:rsidRPr="004204EF" w:rsidRDefault="004204EF" w:rsidP="004204EF">
            <w:pPr>
              <w:autoSpaceDE w:val="0"/>
              <w:autoSpaceDN w:val="0"/>
              <w:adjustRightInd w:val="0"/>
              <w:spacing w:line="240" w:lineRule="auto"/>
              <w:jc w:val="right"/>
              <w:rPr>
                <w:rFonts w:cs="Arial"/>
                <w:color w:val="000000" w:themeColor="text1"/>
                <w:sz w:val="20"/>
                <w:szCs w:val="20"/>
              </w:rPr>
            </w:pPr>
          </w:p>
        </w:tc>
        <w:tc>
          <w:tcPr>
            <w:tcW w:w="1134" w:type="dxa"/>
            <w:vAlign w:val="center"/>
          </w:tcPr>
          <w:p w14:paraId="7913AF60" w14:textId="77777777" w:rsidR="004204EF" w:rsidRPr="004204EF" w:rsidRDefault="004204EF" w:rsidP="004204EF">
            <w:pPr>
              <w:autoSpaceDE w:val="0"/>
              <w:autoSpaceDN w:val="0"/>
              <w:adjustRightInd w:val="0"/>
              <w:spacing w:line="240" w:lineRule="auto"/>
              <w:jc w:val="right"/>
              <w:rPr>
                <w:rFonts w:cs="Arial"/>
                <w:color w:val="000000" w:themeColor="text1"/>
                <w:sz w:val="20"/>
                <w:szCs w:val="20"/>
              </w:rPr>
            </w:pPr>
          </w:p>
        </w:tc>
      </w:tr>
      <w:tr w:rsidR="004204EF" w:rsidRPr="004204EF" w14:paraId="68A47B83" w14:textId="77777777" w:rsidTr="004204EF">
        <w:trPr>
          <w:trHeight w:val="283"/>
        </w:trPr>
        <w:tc>
          <w:tcPr>
            <w:tcW w:w="5240" w:type="dxa"/>
            <w:vAlign w:val="center"/>
          </w:tcPr>
          <w:p w14:paraId="2BE6AB43"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  Bus</w:t>
            </w:r>
          </w:p>
        </w:tc>
        <w:tc>
          <w:tcPr>
            <w:tcW w:w="1276" w:type="dxa"/>
            <w:vAlign w:val="center"/>
          </w:tcPr>
          <w:p w14:paraId="4B44F086"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9,132</w:t>
            </w:r>
          </w:p>
        </w:tc>
        <w:tc>
          <w:tcPr>
            <w:tcW w:w="1134" w:type="dxa"/>
            <w:vAlign w:val="center"/>
          </w:tcPr>
          <w:p w14:paraId="2ECC2497"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10,327</w:t>
            </w:r>
          </w:p>
        </w:tc>
      </w:tr>
      <w:tr w:rsidR="004204EF" w:rsidRPr="004204EF" w14:paraId="027F0D8F" w14:textId="77777777" w:rsidTr="004204EF">
        <w:trPr>
          <w:trHeight w:val="283"/>
        </w:trPr>
        <w:tc>
          <w:tcPr>
            <w:tcW w:w="5240" w:type="dxa"/>
            <w:vAlign w:val="center"/>
          </w:tcPr>
          <w:p w14:paraId="09233572"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  Rail</w:t>
            </w:r>
          </w:p>
        </w:tc>
        <w:tc>
          <w:tcPr>
            <w:tcW w:w="1276" w:type="dxa"/>
            <w:vAlign w:val="center"/>
          </w:tcPr>
          <w:p w14:paraId="26C61CA0"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7,228</w:t>
            </w:r>
          </w:p>
        </w:tc>
        <w:tc>
          <w:tcPr>
            <w:tcW w:w="1134" w:type="dxa"/>
            <w:vAlign w:val="center"/>
          </w:tcPr>
          <w:p w14:paraId="1944E12C"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7,431</w:t>
            </w:r>
          </w:p>
        </w:tc>
      </w:tr>
      <w:tr w:rsidR="004204EF" w:rsidRPr="004204EF" w14:paraId="665D5E7F" w14:textId="77777777" w:rsidTr="004204EF">
        <w:trPr>
          <w:trHeight w:val="283"/>
        </w:trPr>
        <w:tc>
          <w:tcPr>
            <w:tcW w:w="5240" w:type="dxa"/>
            <w:vAlign w:val="center"/>
          </w:tcPr>
          <w:p w14:paraId="5F37DFBE" w14:textId="77777777" w:rsidR="004204EF" w:rsidRPr="004204EF" w:rsidRDefault="004204EF" w:rsidP="004204EF">
            <w:pPr>
              <w:autoSpaceDE w:val="0"/>
              <w:autoSpaceDN w:val="0"/>
              <w:adjustRightInd w:val="0"/>
              <w:spacing w:line="240" w:lineRule="auto"/>
              <w:rPr>
                <w:rFonts w:cs="Arial"/>
                <w:color w:val="000000" w:themeColor="text1"/>
                <w:sz w:val="20"/>
                <w:szCs w:val="20"/>
              </w:rPr>
            </w:pPr>
          </w:p>
        </w:tc>
        <w:tc>
          <w:tcPr>
            <w:tcW w:w="1276" w:type="dxa"/>
            <w:vAlign w:val="center"/>
          </w:tcPr>
          <w:p w14:paraId="7D8F7016"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16,360</w:t>
            </w:r>
          </w:p>
        </w:tc>
        <w:tc>
          <w:tcPr>
            <w:tcW w:w="1134" w:type="dxa"/>
            <w:vAlign w:val="center"/>
          </w:tcPr>
          <w:p w14:paraId="02CBFAB3"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17,758</w:t>
            </w:r>
          </w:p>
        </w:tc>
      </w:tr>
      <w:tr w:rsidR="004204EF" w:rsidRPr="004204EF" w14:paraId="7A79C0F7" w14:textId="77777777" w:rsidTr="004204EF">
        <w:trPr>
          <w:trHeight w:val="283"/>
        </w:trPr>
        <w:tc>
          <w:tcPr>
            <w:tcW w:w="5240" w:type="dxa"/>
            <w:vAlign w:val="center"/>
          </w:tcPr>
          <w:p w14:paraId="26FF1431"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 xml:space="preserve">Costs </w:t>
            </w:r>
            <w:proofErr w:type="gramStart"/>
            <w:r w:rsidRPr="004204EF">
              <w:rPr>
                <w:rFonts w:cs="Arial"/>
                <w:color w:val="000000" w:themeColor="text1"/>
                <w:sz w:val="20"/>
                <w:szCs w:val="20"/>
              </w:rPr>
              <w:t>not subject</w:t>
            </w:r>
            <w:proofErr w:type="gramEnd"/>
            <w:r w:rsidRPr="004204EF">
              <w:rPr>
                <w:rFonts w:cs="Arial"/>
                <w:color w:val="000000" w:themeColor="text1"/>
                <w:sz w:val="20"/>
                <w:szCs w:val="20"/>
              </w:rPr>
              <w:t xml:space="preserve"> to fuel hedges</w:t>
            </w:r>
          </w:p>
        </w:tc>
        <w:tc>
          <w:tcPr>
            <w:tcW w:w="1276" w:type="dxa"/>
            <w:vAlign w:val="center"/>
          </w:tcPr>
          <w:p w14:paraId="22B6756B" w14:textId="77777777" w:rsidR="004204EF" w:rsidRPr="004204EF" w:rsidRDefault="004204EF" w:rsidP="004204EF">
            <w:pPr>
              <w:autoSpaceDE w:val="0"/>
              <w:autoSpaceDN w:val="0"/>
              <w:adjustRightInd w:val="0"/>
              <w:spacing w:line="240" w:lineRule="auto"/>
              <w:jc w:val="right"/>
              <w:rPr>
                <w:rFonts w:cs="Arial"/>
                <w:color w:val="000000" w:themeColor="text1"/>
                <w:sz w:val="20"/>
                <w:szCs w:val="20"/>
              </w:rPr>
            </w:pPr>
          </w:p>
        </w:tc>
        <w:tc>
          <w:tcPr>
            <w:tcW w:w="1134" w:type="dxa"/>
            <w:vAlign w:val="center"/>
          </w:tcPr>
          <w:p w14:paraId="4CC346A3" w14:textId="77777777" w:rsidR="004204EF" w:rsidRPr="004204EF" w:rsidRDefault="004204EF" w:rsidP="004204EF">
            <w:pPr>
              <w:autoSpaceDE w:val="0"/>
              <w:autoSpaceDN w:val="0"/>
              <w:adjustRightInd w:val="0"/>
              <w:spacing w:line="240" w:lineRule="auto"/>
              <w:jc w:val="right"/>
              <w:rPr>
                <w:rFonts w:cs="Arial"/>
                <w:color w:val="000000" w:themeColor="text1"/>
                <w:sz w:val="20"/>
                <w:szCs w:val="20"/>
              </w:rPr>
            </w:pPr>
          </w:p>
        </w:tc>
      </w:tr>
      <w:tr w:rsidR="004204EF" w:rsidRPr="004204EF" w14:paraId="1A75EEB1" w14:textId="77777777" w:rsidTr="004204EF">
        <w:trPr>
          <w:trHeight w:val="283"/>
        </w:trPr>
        <w:tc>
          <w:tcPr>
            <w:tcW w:w="5240" w:type="dxa"/>
            <w:vAlign w:val="center"/>
          </w:tcPr>
          <w:p w14:paraId="2BECB732"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  Bus</w:t>
            </w:r>
          </w:p>
        </w:tc>
        <w:tc>
          <w:tcPr>
            <w:tcW w:w="1276" w:type="dxa"/>
            <w:vAlign w:val="center"/>
          </w:tcPr>
          <w:p w14:paraId="333CCF8F"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1,268</w:t>
            </w:r>
          </w:p>
        </w:tc>
        <w:tc>
          <w:tcPr>
            <w:tcW w:w="1134" w:type="dxa"/>
            <w:vAlign w:val="center"/>
          </w:tcPr>
          <w:p w14:paraId="3EF364FC"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390</w:t>
            </w:r>
          </w:p>
        </w:tc>
      </w:tr>
      <w:tr w:rsidR="004204EF" w:rsidRPr="004204EF" w14:paraId="65FEEC3C" w14:textId="77777777" w:rsidTr="004204EF">
        <w:trPr>
          <w:trHeight w:val="283"/>
        </w:trPr>
        <w:tc>
          <w:tcPr>
            <w:tcW w:w="5240" w:type="dxa"/>
            <w:vAlign w:val="center"/>
          </w:tcPr>
          <w:p w14:paraId="3952B94B"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color w:val="000000" w:themeColor="text1"/>
                <w:sz w:val="20"/>
                <w:szCs w:val="20"/>
              </w:rPr>
              <w:t>-  Rail</w:t>
            </w:r>
          </w:p>
        </w:tc>
        <w:tc>
          <w:tcPr>
            <w:tcW w:w="1276" w:type="dxa"/>
            <w:vAlign w:val="center"/>
          </w:tcPr>
          <w:p w14:paraId="359B468B"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791</w:t>
            </w:r>
          </w:p>
        </w:tc>
        <w:tc>
          <w:tcPr>
            <w:tcW w:w="1134" w:type="dxa"/>
            <w:vAlign w:val="center"/>
          </w:tcPr>
          <w:p w14:paraId="20EE033D"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color w:val="000000" w:themeColor="text1"/>
                <w:sz w:val="20"/>
                <w:szCs w:val="20"/>
              </w:rPr>
              <w:t>281</w:t>
            </w:r>
          </w:p>
        </w:tc>
      </w:tr>
      <w:tr w:rsidR="004204EF" w:rsidRPr="004204EF" w14:paraId="1140AAD7" w14:textId="77777777" w:rsidTr="004204EF">
        <w:trPr>
          <w:trHeight w:val="283"/>
        </w:trPr>
        <w:tc>
          <w:tcPr>
            <w:tcW w:w="5240" w:type="dxa"/>
            <w:vAlign w:val="center"/>
          </w:tcPr>
          <w:p w14:paraId="7FB9B906" w14:textId="77777777" w:rsidR="004204EF" w:rsidRPr="004204EF" w:rsidRDefault="004204EF" w:rsidP="004204EF">
            <w:pPr>
              <w:autoSpaceDE w:val="0"/>
              <w:autoSpaceDN w:val="0"/>
              <w:adjustRightInd w:val="0"/>
              <w:spacing w:line="240" w:lineRule="auto"/>
              <w:rPr>
                <w:rFonts w:cs="Arial"/>
                <w:color w:val="000000" w:themeColor="text1"/>
                <w:sz w:val="20"/>
                <w:szCs w:val="20"/>
              </w:rPr>
            </w:pPr>
          </w:p>
        </w:tc>
        <w:tc>
          <w:tcPr>
            <w:tcW w:w="1276" w:type="dxa"/>
            <w:vAlign w:val="center"/>
          </w:tcPr>
          <w:p w14:paraId="12FC055B"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2,059</w:t>
            </w:r>
          </w:p>
        </w:tc>
        <w:tc>
          <w:tcPr>
            <w:tcW w:w="1134" w:type="dxa"/>
            <w:vAlign w:val="center"/>
          </w:tcPr>
          <w:p w14:paraId="6966365E"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671</w:t>
            </w:r>
          </w:p>
        </w:tc>
      </w:tr>
      <w:tr w:rsidR="004204EF" w:rsidRPr="004204EF" w14:paraId="1D2CEA50" w14:textId="77777777" w:rsidTr="004204EF">
        <w:trPr>
          <w:trHeight w:val="283"/>
        </w:trPr>
        <w:tc>
          <w:tcPr>
            <w:tcW w:w="5240" w:type="dxa"/>
            <w:vAlign w:val="center"/>
          </w:tcPr>
          <w:p w14:paraId="78E6A2CA" w14:textId="77777777" w:rsidR="004204EF" w:rsidRPr="004204EF" w:rsidRDefault="004204EF" w:rsidP="004204EF">
            <w:pPr>
              <w:autoSpaceDE w:val="0"/>
              <w:autoSpaceDN w:val="0"/>
              <w:adjustRightInd w:val="0"/>
              <w:spacing w:line="240" w:lineRule="auto"/>
              <w:textAlignment w:val="center"/>
              <w:rPr>
                <w:rFonts w:cs="Arial"/>
                <w:color w:val="000000" w:themeColor="text1"/>
                <w:sz w:val="20"/>
                <w:szCs w:val="20"/>
              </w:rPr>
            </w:pPr>
            <w:r w:rsidRPr="004204EF">
              <w:rPr>
                <w:rFonts w:cs="Arial"/>
                <w:b/>
                <w:bCs/>
                <w:color w:val="000000" w:themeColor="text1"/>
                <w:sz w:val="20"/>
                <w:szCs w:val="20"/>
              </w:rPr>
              <w:t>Total</w:t>
            </w:r>
          </w:p>
        </w:tc>
        <w:tc>
          <w:tcPr>
            <w:tcW w:w="1276" w:type="dxa"/>
            <w:vAlign w:val="center"/>
          </w:tcPr>
          <w:p w14:paraId="4300116C"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18,419</w:t>
            </w:r>
          </w:p>
        </w:tc>
        <w:tc>
          <w:tcPr>
            <w:tcW w:w="1134" w:type="dxa"/>
            <w:vAlign w:val="center"/>
          </w:tcPr>
          <w:p w14:paraId="74A9479B" w14:textId="77777777" w:rsidR="004204EF" w:rsidRPr="004204EF" w:rsidRDefault="004204EF" w:rsidP="004204EF">
            <w:pPr>
              <w:autoSpaceDE w:val="0"/>
              <w:autoSpaceDN w:val="0"/>
              <w:adjustRightInd w:val="0"/>
              <w:spacing w:line="240" w:lineRule="auto"/>
              <w:jc w:val="right"/>
              <w:textAlignment w:val="center"/>
              <w:rPr>
                <w:rFonts w:cs="Arial"/>
                <w:color w:val="000000" w:themeColor="text1"/>
                <w:sz w:val="20"/>
                <w:szCs w:val="20"/>
              </w:rPr>
            </w:pPr>
            <w:r w:rsidRPr="004204EF">
              <w:rPr>
                <w:rFonts w:cs="Arial"/>
                <w:b/>
                <w:bCs/>
                <w:color w:val="000000" w:themeColor="text1"/>
                <w:sz w:val="20"/>
                <w:szCs w:val="20"/>
              </w:rPr>
              <w:t>18,429</w:t>
            </w:r>
          </w:p>
        </w:tc>
      </w:tr>
    </w:tbl>
    <w:p w14:paraId="539D9C3D" w14:textId="77777777" w:rsidR="004204EF" w:rsidRPr="004204EF" w:rsidRDefault="004204EF" w:rsidP="004204EF">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cs="Arial"/>
          <w:color w:val="000000"/>
        </w:rPr>
      </w:pPr>
    </w:p>
    <w:p w14:paraId="6A569BEC" w14:textId="77777777" w:rsidR="006F5883" w:rsidRDefault="006F5883">
      <w:pPr>
        <w:spacing w:line="240" w:lineRule="auto"/>
        <w:rPr>
          <w:rFonts w:cs="Arial"/>
          <w:color w:val="000000"/>
        </w:rPr>
      </w:pPr>
      <w:r>
        <w:rPr>
          <w:rFonts w:cs="Arial"/>
          <w:color w:val="000000"/>
        </w:rPr>
        <w:br w:type="page"/>
      </w:r>
    </w:p>
    <w:p w14:paraId="29C51A2B" w14:textId="69E7528B" w:rsidR="006F5883" w:rsidRDefault="006F5883" w:rsidP="006F5883">
      <w:r w:rsidRPr="006F5883">
        <w:lastRenderedPageBreak/>
        <w:t>If all the relevant (unhedged volume) fuel prices were 10% higher (2024: 10% higher) at the balance sheet date, the profit before taxation would be reduced by:</w:t>
      </w:r>
    </w:p>
    <w:tbl>
      <w:tblPr>
        <w:tblStyle w:val="TableGrid"/>
        <w:tblW w:w="0" w:type="auto"/>
        <w:tblLayout w:type="fixed"/>
        <w:tblLook w:val="0000" w:firstRow="0" w:lastRow="0" w:firstColumn="0" w:lastColumn="0" w:noHBand="0" w:noVBand="0"/>
      </w:tblPr>
      <w:tblGrid>
        <w:gridCol w:w="3764"/>
        <w:gridCol w:w="1517"/>
        <w:gridCol w:w="1521"/>
      </w:tblGrid>
      <w:tr w:rsidR="006F5883" w:rsidRPr="006F5883" w14:paraId="719D2713" w14:textId="77777777" w:rsidTr="006F5883">
        <w:trPr>
          <w:trHeight w:val="624"/>
        </w:trPr>
        <w:tc>
          <w:tcPr>
            <w:tcW w:w="3764" w:type="dxa"/>
            <w:vAlign w:val="center"/>
          </w:tcPr>
          <w:p w14:paraId="313A36C2" w14:textId="77777777" w:rsidR="006F5883" w:rsidRPr="006F5883" w:rsidRDefault="006F5883" w:rsidP="006F5883">
            <w:pPr>
              <w:autoSpaceDE w:val="0"/>
              <w:autoSpaceDN w:val="0"/>
              <w:adjustRightInd w:val="0"/>
              <w:spacing w:line="240" w:lineRule="auto"/>
              <w:jc w:val="right"/>
              <w:rPr>
                <w:rFonts w:cs="Arial"/>
                <w:color w:val="000000" w:themeColor="text1"/>
                <w:sz w:val="20"/>
                <w:szCs w:val="20"/>
              </w:rPr>
            </w:pPr>
          </w:p>
        </w:tc>
        <w:tc>
          <w:tcPr>
            <w:tcW w:w="1517" w:type="dxa"/>
            <w:vAlign w:val="center"/>
          </w:tcPr>
          <w:p w14:paraId="215388BF" w14:textId="77777777" w:rsidR="006F5883" w:rsidRPr="006F5883" w:rsidRDefault="006F5883" w:rsidP="006F5883">
            <w:pPr>
              <w:tabs>
                <w:tab w:val="left" w:pos="198"/>
                <w:tab w:val="decimal" w:pos="1122"/>
              </w:tabs>
              <w:autoSpaceDE w:val="0"/>
              <w:autoSpaceDN w:val="0"/>
              <w:adjustRightInd w:val="0"/>
              <w:spacing w:line="240" w:lineRule="auto"/>
              <w:jc w:val="right"/>
              <w:textAlignment w:val="center"/>
              <w:rPr>
                <w:rFonts w:cs="Arial"/>
                <w:b/>
                <w:bCs/>
                <w:color w:val="000000" w:themeColor="text1"/>
                <w:sz w:val="20"/>
                <w:szCs w:val="20"/>
              </w:rPr>
            </w:pPr>
            <w:r w:rsidRPr="006F5883">
              <w:rPr>
                <w:rFonts w:cs="Arial"/>
                <w:b/>
                <w:bCs/>
                <w:color w:val="000000" w:themeColor="text1"/>
                <w:sz w:val="20"/>
                <w:szCs w:val="20"/>
              </w:rPr>
              <w:t>2025</w:t>
            </w:r>
          </w:p>
          <w:p w14:paraId="1CB1B9D1" w14:textId="77777777" w:rsidR="006F5883" w:rsidRPr="006F5883" w:rsidRDefault="006F5883" w:rsidP="006F5883">
            <w:pPr>
              <w:tabs>
                <w:tab w:val="left" w:pos="198"/>
                <w:tab w:val="decimal" w:pos="1122"/>
              </w:tabs>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tl/>
                <w:lang w:bidi="ar-YE"/>
              </w:rPr>
              <w:t>£’000</w:t>
            </w:r>
            <w:r w:rsidRPr="006F5883">
              <w:rPr>
                <w:rFonts w:cs="Arial"/>
                <w:b/>
                <w:bCs/>
                <w:color w:val="000000" w:themeColor="text1"/>
                <w:sz w:val="20"/>
                <w:szCs w:val="20"/>
              </w:rPr>
              <w:t xml:space="preserve"> </w:t>
            </w:r>
          </w:p>
        </w:tc>
        <w:tc>
          <w:tcPr>
            <w:tcW w:w="1521" w:type="dxa"/>
            <w:vAlign w:val="center"/>
          </w:tcPr>
          <w:p w14:paraId="693243C4" w14:textId="77777777" w:rsidR="006F5883" w:rsidRPr="006F5883" w:rsidRDefault="006F5883" w:rsidP="006F5883">
            <w:pPr>
              <w:tabs>
                <w:tab w:val="left" w:pos="198"/>
                <w:tab w:val="decimal" w:pos="1122"/>
              </w:tabs>
              <w:autoSpaceDE w:val="0"/>
              <w:autoSpaceDN w:val="0"/>
              <w:adjustRightInd w:val="0"/>
              <w:spacing w:line="240" w:lineRule="auto"/>
              <w:jc w:val="right"/>
              <w:textAlignment w:val="center"/>
              <w:rPr>
                <w:rFonts w:cs="Arial"/>
                <w:b/>
                <w:bCs/>
                <w:color w:val="000000" w:themeColor="text1"/>
                <w:sz w:val="20"/>
                <w:szCs w:val="20"/>
              </w:rPr>
            </w:pPr>
            <w:r w:rsidRPr="006F5883">
              <w:rPr>
                <w:rFonts w:cs="Arial"/>
                <w:b/>
                <w:bCs/>
                <w:color w:val="000000" w:themeColor="text1"/>
                <w:sz w:val="20"/>
                <w:szCs w:val="20"/>
              </w:rPr>
              <w:t>2024</w:t>
            </w:r>
          </w:p>
          <w:p w14:paraId="485EA2ED" w14:textId="77777777" w:rsidR="006F5883" w:rsidRPr="006F5883" w:rsidRDefault="006F5883" w:rsidP="006F5883">
            <w:pPr>
              <w:tabs>
                <w:tab w:val="left" w:pos="198"/>
                <w:tab w:val="decimal" w:pos="1122"/>
              </w:tabs>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tl/>
                <w:lang w:bidi="ar-YE"/>
              </w:rPr>
              <w:t>£’000</w:t>
            </w:r>
            <w:r w:rsidRPr="006F5883">
              <w:rPr>
                <w:rFonts w:cs="Arial"/>
                <w:b/>
                <w:bCs/>
                <w:color w:val="000000" w:themeColor="text1"/>
                <w:sz w:val="20"/>
                <w:szCs w:val="20"/>
              </w:rPr>
              <w:t xml:space="preserve"> </w:t>
            </w:r>
          </w:p>
        </w:tc>
      </w:tr>
      <w:tr w:rsidR="006F5883" w:rsidRPr="006F5883" w14:paraId="3419A981" w14:textId="77777777" w:rsidTr="006F5883">
        <w:trPr>
          <w:trHeight w:hRule="exact" w:val="283"/>
        </w:trPr>
        <w:tc>
          <w:tcPr>
            <w:tcW w:w="3764" w:type="dxa"/>
          </w:tcPr>
          <w:p w14:paraId="34F100F5" w14:textId="77777777" w:rsidR="006F5883" w:rsidRPr="006F5883" w:rsidRDefault="006F5883" w:rsidP="006F5883">
            <w:pPr>
              <w:autoSpaceDE w:val="0"/>
              <w:autoSpaceDN w:val="0"/>
              <w:adjustRightInd w:val="0"/>
              <w:spacing w:line="240" w:lineRule="auto"/>
              <w:jc w:val="both"/>
              <w:textAlignment w:val="center"/>
              <w:rPr>
                <w:rFonts w:cs="Arial"/>
                <w:color w:val="000000" w:themeColor="text1"/>
                <w:sz w:val="20"/>
                <w:szCs w:val="20"/>
              </w:rPr>
            </w:pPr>
            <w:r w:rsidRPr="006F5883">
              <w:rPr>
                <w:rFonts w:cs="Arial"/>
                <w:color w:val="000000" w:themeColor="text1"/>
                <w:sz w:val="20"/>
                <w:szCs w:val="20"/>
              </w:rPr>
              <w:t>Bus</w:t>
            </w:r>
          </w:p>
        </w:tc>
        <w:tc>
          <w:tcPr>
            <w:tcW w:w="1517" w:type="dxa"/>
          </w:tcPr>
          <w:p w14:paraId="1CBE96FD" w14:textId="77777777" w:rsidR="006F5883" w:rsidRPr="006F5883" w:rsidRDefault="006F5883" w:rsidP="006F5883">
            <w:pPr>
              <w:tabs>
                <w:tab w:val="decimal" w:pos="806"/>
              </w:tabs>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28</w:t>
            </w:r>
          </w:p>
        </w:tc>
        <w:tc>
          <w:tcPr>
            <w:tcW w:w="1521" w:type="dxa"/>
          </w:tcPr>
          <w:p w14:paraId="56B33589" w14:textId="77777777" w:rsidR="006F5883" w:rsidRPr="006F5883" w:rsidRDefault="006F5883" w:rsidP="006F5883">
            <w:pPr>
              <w:tabs>
                <w:tab w:val="decimal" w:pos="806"/>
              </w:tabs>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29</w:t>
            </w:r>
          </w:p>
        </w:tc>
      </w:tr>
      <w:tr w:rsidR="006F5883" w:rsidRPr="006F5883" w14:paraId="1CFC3A02" w14:textId="77777777" w:rsidTr="006F5883">
        <w:trPr>
          <w:trHeight w:hRule="exact" w:val="283"/>
        </w:trPr>
        <w:tc>
          <w:tcPr>
            <w:tcW w:w="3764" w:type="dxa"/>
          </w:tcPr>
          <w:p w14:paraId="57888072" w14:textId="77777777" w:rsidR="006F5883" w:rsidRPr="006F5883" w:rsidRDefault="006F5883" w:rsidP="006F5883">
            <w:pPr>
              <w:autoSpaceDE w:val="0"/>
              <w:autoSpaceDN w:val="0"/>
              <w:adjustRightInd w:val="0"/>
              <w:spacing w:line="240" w:lineRule="auto"/>
              <w:jc w:val="both"/>
              <w:textAlignment w:val="center"/>
              <w:rPr>
                <w:rFonts w:cs="Arial"/>
                <w:color w:val="000000" w:themeColor="text1"/>
                <w:sz w:val="20"/>
                <w:szCs w:val="20"/>
              </w:rPr>
            </w:pPr>
            <w:r w:rsidRPr="006F5883">
              <w:rPr>
                <w:rFonts w:cs="Arial"/>
                <w:color w:val="000000" w:themeColor="text1"/>
                <w:sz w:val="20"/>
                <w:szCs w:val="20"/>
              </w:rPr>
              <w:t>Rail</w:t>
            </w:r>
          </w:p>
        </w:tc>
        <w:tc>
          <w:tcPr>
            <w:tcW w:w="1517" w:type="dxa"/>
          </w:tcPr>
          <w:p w14:paraId="2AB4734D" w14:textId="77777777" w:rsidR="006F5883" w:rsidRPr="006F5883" w:rsidRDefault="006F5883" w:rsidP="006F5883">
            <w:pPr>
              <w:tabs>
                <w:tab w:val="decimal" w:pos="806"/>
              </w:tabs>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521" w:type="dxa"/>
          </w:tcPr>
          <w:p w14:paraId="67B81B4D" w14:textId="77777777" w:rsidR="006F5883" w:rsidRPr="006F5883" w:rsidRDefault="006F5883" w:rsidP="006F5883">
            <w:pPr>
              <w:tabs>
                <w:tab w:val="decimal" w:pos="806"/>
              </w:tabs>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r>
    </w:tbl>
    <w:p w14:paraId="227A70B3" w14:textId="77777777" w:rsidR="006F5883" w:rsidRDefault="006F5883" w:rsidP="006F5883"/>
    <w:p w14:paraId="19BAB542" w14:textId="77777777" w:rsidR="006F5883" w:rsidRPr="006F5883" w:rsidRDefault="006F5883" w:rsidP="006F5883">
      <w:r w:rsidRPr="006F5883">
        <w:t>e. Financial Risk Management Objectives (continued)</w:t>
      </w:r>
    </w:p>
    <w:p w14:paraId="2AC863EB" w14:textId="77777777" w:rsidR="006F5883" w:rsidRPr="006F5883" w:rsidRDefault="006F5883" w:rsidP="006F5883">
      <w:pPr>
        <w:rPr>
          <w:i/>
          <w:iCs/>
        </w:rPr>
      </w:pPr>
      <w:r w:rsidRPr="006F5883">
        <w:rPr>
          <w:i/>
          <w:iCs/>
        </w:rPr>
        <w:t>(ii) Credit Risk</w:t>
      </w:r>
    </w:p>
    <w:p w14:paraId="64ADF806" w14:textId="77777777" w:rsidR="006F5883" w:rsidRPr="006F5883" w:rsidRDefault="006F5883" w:rsidP="006F5883">
      <w:pPr>
        <w:rPr>
          <w:color w:val="000000"/>
        </w:rPr>
      </w:pPr>
      <w:r w:rsidRPr="006F5883">
        <w:rPr>
          <w:color w:val="000000"/>
        </w:rPr>
        <w:t>Credit risk is the risk of financial loss to the Group if a customer or counterparty to a financial instrument fails to meet its contractual obligations.</w:t>
      </w:r>
    </w:p>
    <w:p w14:paraId="0110ED3A" w14:textId="77777777" w:rsidR="006F5883" w:rsidRPr="006F5883" w:rsidRDefault="006F5883" w:rsidP="006F5883">
      <w:pPr>
        <w:rPr>
          <w:color w:val="000000"/>
        </w:rPr>
      </w:pPr>
    </w:p>
    <w:p w14:paraId="016984E5" w14:textId="77777777" w:rsidR="006F5883" w:rsidRPr="006F5883" w:rsidRDefault="006F5883" w:rsidP="006F5883">
      <w:pPr>
        <w:rPr>
          <w:color w:val="000000"/>
        </w:rPr>
      </w:pPr>
      <w:r w:rsidRPr="006F5883">
        <w:rPr>
          <w:color w:val="000000"/>
        </w:rPr>
        <w:t>Credit risk is managed by a combination of Group Finance and business unit management and arises from derivative financial instruments and deposits with banks and financial institutions, as well as credit exposures to amounts due from outstanding receivables.</w:t>
      </w:r>
    </w:p>
    <w:p w14:paraId="481BE8DC" w14:textId="77777777" w:rsidR="006F5883" w:rsidRPr="006F5883" w:rsidRDefault="006F5883" w:rsidP="006F5883">
      <w:pPr>
        <w:rPr>
          <w:color w:val="000000"/>
        </w:rPr>
      </w:pPr>
    </w:p>
    <w:p w14:paraId="71C11094" w14:textId="77777777" w:rsidR="006F5883" w:rsidRPr="006F5883" w:rsidRDefault="006F5883" w:rsidP="006F5883">
      <w:pPr>
        <w:rPr>
          <w:color w:val="000000"/>
        </w:rPr>
      </w:pPr>
      <w:r w:rsidRPr="006F5883">
        <w:rPr>
          <w:color w:val="000000"/>
        </w:rPr>
        <w:t xml:space="preserve">The Group’s objective is to minimise credit risk to an acceptable level whilst not overly restricting the Group’s ability to generate revenue and profit. It is the Group’s policy to invest cash assets safely and profitably. To control credit risk, counterparty credit limits are set by reference to published credit ratings. </w:t>
      </w:r>
    </w:p>
    <w:p w14:paraId="16A5E864" w14:textId="77777777" w:rsidR="006F5883" w:rsidRPr="006F5883" w:rsidRDefault="006F5883" w:rsidP="006F5883">
      <w:pPr>
        <w:rPr>
          <w:color w:val="000000"/>
        </w:rPr>
      </w:pPr>
    </w:p>
    <w:p w14:paraId="75D10A15" w14:textId="77777777" w:rsidR="006F5883" w:rsidRPr="006F5883" w:rsidRDefault="006F5883" w:rsidP="006F5883">
      <w:pPr>
        <w:rPr>
          <w:color w:val="000000"/>
        </w:rPr>
      </w:pPr>
      <w:r w:rsidRPr="006F5883">
        <w:rPr>
          <w:color w:val="000000"/>
        </w:rPr>
        <w:t>Trade receivables consist largely of government grants and receivables, for which credit risk is considered limited. The Group’s largest credit exposures are to the Education Authority, the Department of Education and the Department for Infrastructure, all of which the Group considers unlikely to default on their respective liabilities to the Group.</w:t>
      </w:r>
    </w:p>
    <w:p w14:paraId="6F7CCBF3" w14:textId="77777777" w:rsidR="006F5883" w:rsidRPr="006F5883" w:rsidRDefault="006F5883" w:rsidP="006F5883">
      <w:pPr>
        <w:rPr>
          <w:color w:val="000000"/>
        </w:rPr>
      </w:pPr>
    </w:p>
    <w:p w14:paraId="21A920F1" w14:textId="77777777" w:rsidR="006F5883" w:rsidRPr="006F5883" w:rsidRDefault="006F5883" w:rsidP="006F5883">
      <w:pPr>
        <w:rPr>
          <w:color w:val="000000"/>
        </w:rPr>
      </w:pPr>
      <w:r w:rsidRPr="006F5883">
        <w:rPr>
          <w:color w:val="000000"/>
        </w:rPr>
        <w:t xml:space="preserve">The credit risk on liquid funds and derivative financial instruments is limited because the counterparties are banks with high credit ratings assigned by international credit rating agencies. The Group defines an Approved Counterparty as any counterparty currently satisfying the counterparty credit risk policy criteria which has been named and received specific approval from the Board. </w:t>
      </w:r>
    </w:p>
    <w:p w14:paraId="7061742C" w14:textId="77777777" w:rsidR="006F5883" w:rsidRPr="006F5883" w:rsidRDefault="006F5883" w:rsidP="006F5883">
      <w:pPr>
        <w:rPr>
          <w:color w:val="000000"/>
        </w:rPr>
      </w:pPr>
    </w:p>
    <w:p w14:paraId="148F75B2" w14:textId="77777777" w:rsidR="007430D9" w:rsidRDefault="007430D9">
      <w:pPr>
        <w:spacing w:line="240" w:lineRule="auto"/>
        <w:rPr>
          <w:color w:val="000000"/>
        </w:rPr>
      </w:pPr>
      <w:r>
        <w:rPr>
          <w:color w:val="000000"/>
        </w:rPr>
        <w:br w:type="page"/>
      </w:r>
    </w:p>
    <w:p w14:paraId="65B2A5C8" w14:textId="7BD0CE83" w:rsidR="006F5883" w:rsidRPr="006F5883" w:rsidRDefault="006F5883" w:rsidP="006F5883">
      <w:pPr>
        <w:rPr>
          <w:color w:val="000000"/>
        </w:rPr>
      </w:pPr>
      <w:r w:rsidRPr="006F5883">
        <w:rPr>
          <w:color w:val="000000"/>
        </w:rPr>
        <w:lastRenderedPageBreak/>
        <w:t>In determining whether a financial asset is impaired, the Group takes account of:</w:t>
      </w:r>
    </w:p>
    <w:p w14:paraId="118ED5C8" w14:textId="77777777" w:rsidR="006F5883" w:rsidRPr="006F5883" w:rsidRDefault="006F5883" w:rsidP="006F5883">
      <w:pPr>
        <w:rPr>
          <w:color w:val="000000"/>
        </w:rPr>
      </w:pPr>
    </w:p>
    <w:p w14:paraId="2FAC1141" w14:textId="2B9C5BF2" w:rsidR="006F5883" w:rsidRPr="006F5883" w:rsidRDefault="006F5883" w:rsidP="006F5883">
      <w:pPr>
        <w:pStyle w:val="ListParagraph"/>
        <w:numPr>
          <w:ilvl w:val="0"/>
          <w:numId w:val="86"/>
        </w:numPr>
        <w:rPr>
          <w:color w:val="000000"/>
        </w:rPr>
      </w:pPr>
      <w:r w:rsidRPr="006F5883">
        <w:rPr>
          <w:color w:val="000000"/>
        </w:rPr>
        <w:t>The fair value of the asset at the balance sheet date and where applicable, the historic fair value of the asset.</w:t>
      </w:r>
    </w:p>
    <w:p w14:paraId="771EBBE8" w14:textId="45FAE7B4" w:rsidR="006F5883" w:rsidRPr="006F5883" w:rsidRDefault="006F5883" w:rsidP="006F5883">
      <w:pPr>
        <w:pStyle w:val="ListParagraph"/>
        <w:numPr>
          <w:ilvl w:val="0"/>
          <w:numId w:val="86"/>
        </w:numPr>
        <w:rPr>
          <w:color w:val="000000"/>
        </w:rPr>
      </w:pPr>
      <w:r w:rsidRPr="006F5883">
        <w:rPr>
          <w:color w:val="000000"/>
        </w:rPr>
        <w:t>In the case of receivables, the counterparty’s typical payment patterns.</w:t>
      </w:r>
    </w:p>
    <w:p w14:paraId="711BB68E" w14:textId="5150E6B8" w:rsidR="006F5883" w:rsidRPr="006F5883" w:rsidRDefault="006F5883" w:rsidP="006F5883">
      <w:pPr>
        <w:pStyle w:val="ListParagraph"/>
        <w:numPr>
          <w:ilvl w:val="0"/>
          <w:numId w:val="86"/>
        </w:numPr>
        <w:rPr>
          <w:color w:val="000000"/>
        </w:rPr>
      </w:pPr>
      <w:r w:rsidRPr="006F5883">
        <w:rPr>
          <w:color w:val="000000"/>
        </w:rPr>
        <w:t>In the case of receivables, the latest information on the counterparty’s creditworthiness such as available financial statements and credit ratings.</w:t>
      </w:r>
    </w:p>
    <w:p w14:paraId="4F37486A" w14:textId="77777777" w:rsidR="006F5883" w:rsidRPr="006F5883" w:rsidRDefault="006F5883" w:rsidP="006F5883">
      <w:pPr>
        <w:rPr>
          <w:color w:val="000000"/>
        </w:rPr>
      </w:pPr>
    </w:p>
    <w:p w14:paraId="16E1FAD4" w14:textId="77777777" w:rsidR="006F5883" w:rsidRPr="006F5883" w:rsidRDefault="006F5883" w:rsidP="006F5883">
      <w:pPr>
        <w:rPr>
          <w:color w:val="000000"/>
        </w:rPr>
      </w:pPr>
      <w:r w:rsidRPr="006F5883">
        <w:rPr>
          <w:color w:val="000000"/>
        </w:rPr>
        <w:t>The carrying amount of financial assets recorded in the financial statements, which is net of impairment losses, represents the Group’s maximum exposure to credit risk as no collateral or other credit enhancements are held.</w:t>
      </w:r>
    </w:p>
    <w:p w14:paraId="76605534" w14:textId="77777777" w:rsidR="006F5883" w:rsidRPr="006F5883" w:rsidRDefault="006F5883" w:rsidP="006F5883">
      <w:pPr>
        <w:rPr>
          <w:i/>
          <w:iCs/>
        </w:rPr>
      </w:pPr>
    </w:p>
    <w:p w14:paraId="68B1A2F3" w14:textId="77777777" w:rsidR="006F5883" w:rsidRPr="006F5883" w:rsidRDefault="006F5883" w:rsidP="006F5883">
      <w:pPr>
        <w:rPr>
          <w:i/>
          <w:iCs/>
        </w:rPr>
      </w:pPr>
      <w:r w:rsidRPr="006F5883">
        <w:rPr>
          <w:i/>
          <w:iCs/>
        </w:rPr>
        <w:t>(iii) Liquidity Risk</w:t>
      </w:r>
    </w:p>
    <w:p w14:paraId="01C5363F" w14:textId="77777777" w:rsidR="006F5883" w:rsidRPr="006F5883" w:rsidRDefault="006F5883" w:rsidP="006F5883">
      <w:pPr>
        <w:rPr>
          <w:color w:val="000000"/>
        </w:rPr>
      </w:pPr>
      <w:r w:rsidRPr="006F5883">
        <w:rPr>
          <w:color w:val="000000"/>
        </w:rPr>
        <w:t>Liquidity risk is the risk that the Group will encounter difficulty in meeting its financial obligations as they fall due. The Group’s objective in managing liquidity is to ensure, as far as possible, that it will always have sufficient liquidity to meet its liabilities when due, under both normal and stressed conditions, without incurring unacceptable losses or risking damage to the</w:t>
      </w:r>
    </w:p>
    <w:p w14:paraId="05BECCEE" w14:textId="77777777" w:rsidR="006F5883" w:rsidRPr="006F5883" w:rsidRDefault="006F5883" w:rsidP="006F5883">
      <w:pPr>
        <w:rPr>
          <w:color w:val="000000"/>
        </w:rPr>
      </w:pPr>
      <w:r w:rsidRPr="006F5883">
        <w:rPr>
          <w:color w:val="000000"/>
        </w:rPr>
        <w:t>Group’s reputation.</w:t>
      </w:r>
    </w:p>
    <w:p w14:paraId="03C8893A" w14:textId="77777777" w:rsidR="006F5883" w:rsidRPr="006F5883" w:rsidRDefault="006F5883" w:rsidP="006F5883">
      <w:pPr>
        <w:rPr>
          <w:color w:val="000000"/>
        </w:rPr>
      </w:pPr>
    </w:p>
    <w:p w14:paraId="3F453A7A" w14:textId="77777777" w:rsidR="006F5883" w:rsidRPr="006F5883" w:rsidRDefault="006F5883" w:rsidP="006F5883">
      <w:pPr>
        <w:rPr>
          <w:color w:val="000000"/>
        </w:rPr>
      </w:pPr>
      <w:r w:rsidRPr="006F5883">
        <w:rPr>
          <w:color w:val="000000"/>
        </w:rPr>
        <w:t>The funding policy is to finance the Group through a mixture of cash generated by the business and funding provided by its sponsor the Department for Infrastructure.</w:t>
      </w:r>
    </w:p>
    <w:p w14:paraId="5DE1264F" w14:textId="77777777" w:rsidR="006F5883" w:rsidRPr="006F5883" w:rsidRDefault="006F5883" w:rsidP="006F5883">
      <w:pPr>
        <w:rPr>
          <w:color w:val="000000"/>
        </w:rPr>
      </w:pPr>
    </w:p>
    <w:p w14:paraId="21879C70" w14:textId="77777777" w:rsidR="006F5883" w:rsidRPr="006F5883" w:rsidRDefault="006F5883" w:rsidP="006F5883">
      <w:pPr>
        <w:rPr>
          <w:color w:val="000000"/>
        </w:rPr>
      </w:pPr>
      <w:r w:rsidRPr="006F5883">
        <w:rPr>
          <w:color w:val="000000"/>
        </w:rPr>
        <w:t xml:space="preserve">As </w:t>
      </w:r>
      <w:proofErr w:type="gramStart"/>
      <w:r w:rsidRPr="006F5883">
        <w:rPr>
          <w:color w:val="000000"/>
        </w:rPr>
        <w:t>at</w:t>
      </w:r>
      <w:proofErr w:type="gramEnd"/>
      <w:r w:rsidRPr="006F5883">
        <w:rPr>
          <w:color w:val="000000"/>
        </w:rPr>
        <w:t xml:space="preserve"> 30 March 2025, the Group’s credit facilities were £10,000,000 (2024: £10,000,000) including utilisation for the issuance of bank guarantees, bonds etc. This facility is guaranteed by the Department for Infrastructure until further notice. Although there is an element of seasonality in the Group’s bus and rail operations, the overall impact of seasonality on working capital and liquidity is not considered significant. The Board expects the Group to be able to meet current and future funding requirements through free cash flow and continued funding from its sponsor Department which has been frontloaded to assist with cashflow.</w:t>
      </w:r>
    </w:p>
    <w:p w14:paraId="6A893234" w14:textId="77777777" w:rsidR="006F5883" w:rsidRPr="006F5883" w:rsidRDefault="006F5883" w:rsidP="006F5883">
      <w:pPr>
        <w:rPr>
          <w:color w:val="000000"/>
        </w:rPr>
      </w:pPr>
    </w:p>
    <w:p w14:paraId="30D7D7B8" w14:textId="2C57D39A" w:rsidR="006F5883" w:rsidRPr="006F5883" w:rsidRDefault="006F5883" w:rsidP="006F5883">
      <w:r w:rsidRPr="006F5883">
        <w:rPr>
          <w:color w:val="000000"/>
        </w:rPr>
        <w:t xml:space="preserve">The following tables detail the Group’s remaining contractual maturity for its non-derivative financial liabilities with agreed repayment periods. The tables have been drawn up based on the undiscounted cash flows of financial liabilities based on the earliest date on which the Group can be required to pay. The tables include both interest and principal cash flows. To the extent that interest flows are floating rate, the undiscounted amount is derived from interest rate curves at the </w:t>
      </w:r>
      <w:r w:rsidRPr="006F5883">
        <w:rPr>
          <w:color w:val="000000"/>
        </w:rPr>
        <w:lastRenderedPageBreak/>
        <w:t>balance sheet date. The contractual maturity is based on the earliest date on which the Group may be required to pay.</w:t>
      </w:r>
    </w:p>
    <w:p w14:paraId="257F2876" w14:textId="77777777" w:rsidR="006A7B22" w:rsidRPr="006A7B22" w:rsidRDefault="006A7B22" w:rsidP="006A7B22">
      <w:pPr>
        <w:rPr>
          <w:rFonts w:cs="Arial"/>
          <w:color w:val="000000"/>
        </w:rPr>
      </w:pPr>
    </w:p>
    <w:tbl>
      <w:tblPr>
        <w:tblStyle w:val="TableGrid"/>
        <w:tblW w:w="0" w:type="auto"/>
        <w:tblLayout w:type="fixed"/>
        <w:tblLook w:val="0000" w:firstRow="0" w:lastRow="0" w:firstColumn="0" w:lastColumn="0" w:noHBand="0" w:noVBand="0"/>
      </w:tblPr>
      <w:tblGrid>
        <w:gridCol w:w="3504"/>
        <w:gridCol w:w="1059"/>
        <w:gridCol w:w="1059"/>
        <w:gridCol w:w="1059"/>
        <w:gridCol w:w="1058"/>
        <w:gridCol w:w="1059"/>
        <w:gridCol w:w="1059"/>
      </w:tblGrid>
      <w:tr w:rsidR="006F5883" w:rsidRPr="006F5883" w14:paraId="289E781A" w14:textId="77777777" w:rsidTr="006F5883">
        <w:trPr>
          <w:trHeight w:hRule="exact" w:val="1003"/>
        </w:trPr>
        <w:tc>
          <w:tcPr>
            <w:tcW w:w="3504" w:type="dxa"/>
          </w:tcPr>
          <w:p w14:paraId="620082CC" w14:textId="77777777" w:rsidR="006F5883" w:rsidRPr="006F5883" w:rsidRDefault="006F5883" w:rsidP="006F5883">
            <w:pPr>
              <w:spacing w:line="240" w:lineRule="auto"/>
              <w:rPr>
                <w:rFonts w:cs="Arial"/>
                <w:color w:val="000000" w:themeColor="text1"/>
                <w:sz w:val="20"/>
                <w:szCs w:val="20"/>
              </w:rPr>
            </w:pPr>
          </w:p>
        </w:tc>
        <w:tc>
          <w:tcPr>
            <w:tcW w:w="1059" w:type="dxa"/>
          </w:tcPr>
          <w:p w14:paraId="48A6C1C9"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 xml:space="preserve">Less than </w:t>
            </w:r>
            <w:r w:rsidRPr="006F5883">
              <w:rPr>
                <w:rFonts w:cs="Arial"/>
                <w:b/>
                <w:bCs/>
                <w:color w:val="000000" w:themeColor="text1"/>
                <w:sz w:val="20"/>
                <w:szCs w:val="20"/>
              </w:rPr>
              <w:br/>
              <w:t xml:space="preserve">1 month </w:t>
            </w:r>
          </w:p>
          <w:p w14:paraId="40650CF1"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£’000</w:t>
            </w:r>
          </w:p>
        </w:tc>
        <w:tc>
          <w:tcPr>
            <w:tcW w:w="1059" w:type="dxa"/>
          </w:tcPr>
          <w:p w14:paraId="7FAE59FB" w14:textId="77777777" w:rsidR="006F5883" w:rsidRPr="006F5883" w:rsidRDefault="006F5883" w:rsidP="006F5883">
            <w:pPr>
              <w:spacing w:line="240" w:lineRule="auto"/>
              <w:rPr>
                <w:rFonts w:cs="Arial"/>
                <w:b/>
                <w:bCs/>
                <w:color w:val="000000" w:themeColor="text1"/>
                <w:sz w:val="20"/>
                <w:szCs w:val="20"/>
              </w:rPr>
            </w:pPr>
          </w:p>
          <w:p w14:paraId="5EBEE99E"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 xml:space="preserve">1-3 months </w:t>
            </w:r>
          </w:p>
          <w:p w14:paraId="5D1540C4"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 xml:space="preserve">£’000 </w:t>
            </w:r>
          </w:p>
          <w:p w14:paraId="13628E66" w14:textId="77777777" w:rsidR="006F5883" w:rsidRPr="006F5883" w:rsidRDefault="006F5883" w:rsidP="006F5883">
            <w:pPr>
              <w:spacing w:line="240" w:lineRule="auto"/>
              <w:rPr>
                <w:rFonts w:cs="Arial"/>
                <w:b/>
                <w:bCs/>
                <w:color w:val="000000" w:themeColor="text1"/>
                <w:sz w:val="20"/>
                <w:szCs w:val="20"/>
              </w:rPr>
            </w:pPr>
          </w:p>
        </w:tc>
        <w:tc>
          <w:tcPr>
            <w:tcW w:w="1059" w:type="dxa"/>
          </w:tcPr>
          <w:p w14:paraId="46FDA7CF"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3 months</w:t>
            </w:r>
          </w:p>
          <w:p w14:paraId="0C1B985A"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to 1 year</w:t>
            </w:r>
          </w:p>
          <w:p w14:paraId="19B07A9B"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£’000</w:t>
            </w:r>
          </w:p>
        </w:tc>
        <w:tc>
          <w:tcPr>
            <w:tcW w:w="1058" w:type="dxa"/>
          </w:tcPr>
          <w:p w14:paraId="225C51D8"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1-5 years</w:t>
            </w:r>
          </w:p>
          <w:p w14:paraId="4ABC9486"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£’000</w:t>
            </w:r>
          </w:p>
        </w:tc>
        <w:tc>
          <w:tcPr>
            <w:tcW w:w="1059" w:type="dxa"/>
          </w:tcPr>
          <w:p w14:paraId="3F9AB657"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5+ years</w:t>
            </w:r>
          </w:p>
          <w:p w14:paraId="2D520365"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£’000</w:t>
            </w:r>
          </w:p>
        </w:tc>
        <w:tc>
          <w:tcPr>
            <w:tcW w:w="1059" w:type="dxa"/>
          </w:tcPr>
          <w:p w14:paraId="3E5900B9"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Total</w:t>
            </w:r>
          </w:p>
          <w:p w14:paraId="777D9A89" w14:textId="77777777" w:rsidR="006F5883" w:rsidRPr="006F5883" w:rsidRDefault="006F5883" w:rsidP="006F5883">
            <w:pPr>
              <w:spacing w:line="240" w:lineRule="auto"/>
              <w:rPr>
                <w:rFonts w:cs="Arial"/>
                <w:b/>
                <w:bCs/>
                <w:color w:val="000000" w:themeColor="text1"/>
                <w:sz w:val="20"/>
                <w:szCs w:val="20"/>
              </w:rPr>
            </w:pPr>
            <w:r w:rsidRPr="006F5883">
              <w:rPr>
                <w:rFonts w:cs="Arial"/>
                <w:b/>
                <w:bCs/>
                <w:color w:val="000000" w:themeColor="text1"/>
                <w:sz w:val="20"/>
                <w:szCs w:val="20"/>
              </w:rPr>
              <w:t>£’000</w:t>
            </w:r>
          </w:p>
        </w:tc>
      </w:tr>
      <w:tr w:rsidR="006F5883" w:rsidRPr="006F5883" w14:paraId="4C648AF7" w14:textId="77777777" w:rsidTr="006F5883">
        <w:trPr>
          <w:trHeight w:val="283"/>
        </w:trPr>
        <w:tc>
          <w:tcPr>
            <w:tcW w:w="3504" w:type="dxa"/>
            <w:vAlign w:val="center"/>
          </w:tcPr>
          <w:p w14:paraId="62723A5C"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2025</w:t>
            </w:r>
          </w:p>
        </w:tc>
        <w:tc>
          <w:tcPr>
            <w:tcW w:w="1059" w:type="dxa"/>
            <w:vAlign w:val="center"/>
          </w:tcPr>
          <w:p w14:paraId="5335CF1C"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52575065"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7AB409C1" w14:textId="77777777" w:rsidR="006F5883" w:rsidRPr="006F5883" w:rsidRDefault="006F5883" w:rsidP="006F5883">
            <w:pPr>
              <w:spacing w:line="240" w:lineRule="auto"/>
              <w:rPr>
                <w:rFonts w:cs="Arial"/>
                <w:color w:val="000000" w:themeColor="text1"/>
                <w:sz w:val="20"/>
                <w:szCs w:val="20"/>
              </w:rPr>
            </w:pPr>
          </w:p>
        </w:tc>
        <w:tc>
          <w:tcPr>
            <w:tcW w:w="1058" w:type="dxa"/>
            <w:vAlign w:val="center"/>
          </w:tcPr>
          <w:p w14:paraId="67E733DC"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2BBD7DC7"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1F8F02A1" w14:textId="77777777" w:rsidR="006F5883" w:rsidRPr="006F5883" w:rsidRDefault="006F5883" w:rsidP="006F5883">
            <w:pPr>
              <w:spacing w:line="240" w:lineRule="auto"/>
              <w:rPr>
                <w:rFonts w:cs="Arial"/>
                <w:color w:val="000000" w:themeColor="text1"/>
                <w:sz w:val="20"/>
                <w:szCs w:val="20"/>
              </w:rPr>
            </w:pPr>
          </w:p>
        </w:tc>
      </w:tr>
      <w:tr w:rsidR="006F5883" w:rsidRPr="006F5883" w14:paraId="49B7DD0E" w14:textId="77777777" w:rsidTr="006F5883">
        <w:trPr>
          <w:trHeight w:val="283"/>
        </w:trPr>
        <w:tc>
          <w:tcPr>
            <w:tcW w:w="3504" w:type="dxa"/>
            <w:vAlign w:val="center"/>
          </w:tcPr>
          <w:p w14:paraId="4834139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Non-interest bearing</w:t>
            </w:r>
          </w:p>
        </w:tc>
        <w:tc>
          <w:tcPr>
            <w:tcW w:w="1059" w:type="dxa"/>
            <w:vAlign w:val="center"/>
          </w:tcPr>
          <w:p w14:paraId="10DFD32F"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86,358</w:t>
            </w:r>
          </w:p>
        </w:tc>
        <w:tc>
          <w:tcPr>
            <w:tcW w:w="1059" w:type="dxa"/>
            <w:vAlign w:val="center"/>
          </w:tcPr>
          <w:p w14:paraId="75B5715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8,838</w:t>
            </w:r>
          </w:p>
        </w:tc>
        <w:tc>
          <w:tcPr>
            <w:tcW w:w="1059" w:type="dxa"/>
            <w:vAlign w:val="center"/>
          </w:tcPr>
          <w:p w14:paraId="4CC8EF97"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18,439</w:t>
            </w:r>
          </w:p>
        </w:tc>
        <w:tc>
          <w:tcPr>
            <w:tcW w:w="1058" w:type="dxa"/>
            <w:vAlign w:val="center"/>
          </w:tcPr>
          <w:p w14:paraId="539C527D"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2F156F0F"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645270A2"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113,635</w:t>
            </w:r>
          </w:p>
        </w:tc>
      </w:tr>
      <w:tr w:rsidR="006F5883" w:rsidRPr="006F5883" w14:paraId="13237863" w14:textId="77777777" w:rsidTr="006F5883">
        <w:trPr>
          <w:trHeight w:val="283"/>
        </w:trPr>
        <w:tc>
          <w:tcPr>
            <w:tcW w:w="3504" w:type="dxa"/>
            <w:vAlign w:val="center"/>
          </w:tcPr>
          <w:p w14:paraId="2DA832A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Variable interest rate instruments</w:t>
            </w:r>
          </w:p>
        </w:tc>
        <w:tc>
          <w:tcPr>
            <w:tcW w:w="1059" w:type="dxa"/>
            <w:vAlign w:val="center"/>
          </w:tcPr>
          <w:p w14:paraId="28AB54CF"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FE1488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10A7B617"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8" w:type="dxa"/>
            <w:vAlign w:val="center"/>
          </w:tcPr>
          <w:p w14:paraId="0D01446F"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04AB1305"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32055F3D"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r>
      <w:tr w:rsidR="006F5883" w:rsidRPr="006F5883" w14:paraId="537BAAAC" w14:textId="77777777" w:rsidTr="006F5883">
        <w:trPr>
          <w:trHeight w:val="283"/>
        </w:trPr>
        <w:tc>
          <w:tcPr>
            <w:tcW w:w="3504" w:type="dxa"/>
            <w:vAlign w:val="center"/>
          </w:tcPr>
          <w:p w14:paraId="52CE1D8B"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Fixed interest rate assumptions</w:t>
            </w:r>
          </w:p>
        </w:tc>
        <w:tc>
          <w:tcPr>
            <w:tcW w:w="1059" w:type="dxa"/>
            <w:vAlign w:val="center"/>
          </w:tcPr>
          <w:p w14:paraId="4850447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A5EB948"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2EF6E044"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8" w:type="dxa"/>
            <w:vAlign w:val="center"/>
          </w:tcPr>
          <w:p w14:paraId="500653C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1DC84F7C"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289E144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r>
      <w:tr w:rsidR="006F5883" w:rsidRPr="006F5883" w14:paraId="533149FD" w14:textId="77777777" w:rsidTr="006F5883">
        <w:trPr>
          <w:trHeight w:val="283"/>
        </w:trPr>
        <w:tc>
          <w:tcPr>
            <w:tcW w:w="3504" w:type="dxa"/>
            <w:vAlign w:val="center"/>
          </w:tcPr>
          <w:p w14:paraId="4A4F7701"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65953821"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86,358</w:t>
            </w:r>
          </w:p>
        </w:tc>
        <w:tc>
          <w:tcPr>
            <w:tcW w:w="1059" w:type="dxa"/>
            <w:vAlign w:val="center"/>
          </w:tcPr>
          <w:p w14:paraId="289730DE"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8,838</w:t>
            </w:r>
          </w:p>
        </w:tc>
        <w:tc>
          <w:tcPr>
            <w:tcW w:w="1059" w:type="dxa"/>
            <w:vAlign w:val="center"/>
          </w:tcPr>
          <w:p w14:paraId="4B3A772F"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18,439</w:t>
            </w:r>
          </w:p>
        </w:tc>
        <w:tc>
          <w:tcPr>
            <w:tcW w:w="1058" w:type="dxa"/>
            <w:vAlign w:val="center"/>
          </w:tcPr>
          <w:p w14:paraId="1CFB2B4E"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w:t>
            </w:r>
          </w:p>
        </w:tc>
        <w:tc>
          <w:tcPr>
            <w:tcW w:w="1059" w:type="dxa"/>
            <w:vAlign w:val="center"/>
          </w:tcPr>
          <w:p w14:paraId="6AB91205"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w:t>
            </w:r>
          </w:p>
        </w:tc>
        <w:tc>
          <w:tcPr>
            <w:tcW w:w="1059" w:type="dxa"/>
            <w:vAlign w:val="center"/>
          </w:tcPr>
          <w:p w14:paraId="58F53CFB"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113,635</w:t>
            </w:r>
          </w:p>
        </w:tc>
      </w:tr>
      <w:tr w:rsidR="006F5883" w:rsidRPr="006F5883" w14:paraId="31687666" w14:textId="77777777" w:rsidTr="006F5883">
        <w:trPr>
          <w:trHeight w:val="283"/>
        </w:trPr>
        <w:tc>
          <w:tcPr>
            <w:tcW w:w="3504" w:type="dxa"/>
            <w:vAlign w:val="center"/>
          </w:tcPr>
          <w:p w14:paraId="24F062D4"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2024</w:t>
            </w:r>
          </w:p>
        </w:tc>
        <w:tc>
          <w:tcPr>
            <w:tcW w:w="1059" w:type="dxa"/>
            <w:vAlign w:val="center"/>
          </w:tcPr>
          <w:p w14:paraId="350C126B"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2B2B5D94"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39B1ADEA" w14:textId="77777777" w:rsidR="006F5883" w:rsidRPr="006F5883" w:rsidRDefault="006F5883" w:rsidP="006F5883">
            <w:pPr>
              <w:spacing w:line="240" w:lineRule="auto"/>
              <w:rPr>
                <w:rFonts w:cs="Arial"/>
                <w:color w:val="000000" w:themeColor="text1"/>
                <w:sz w:val="20"/>
                <w:szCs w:val="20"/>
              </w:rPr>
            </w:pPr>
          </w:p>
        </w:tc>
        <w:tc>
          <w:tcPr>
            <w:tcW w:w="1058" w:type="dxa"/>
            <w:vAlign w:val="center"/>
          </w:tcPr>
          <w:p w14:paraId="7069B7DB"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22BF4233"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1E5B58C0" w14:textId="77777777" w:rsidR="006F5883" w:rsidRPr="006F5883" w:rsidRDefault="006F5883" w:rsidP="006F5883">
            <w:pPr>
              <w:spacing w:line="240" w:lineRule="auto"/>
              <w:rPr>
                <w:rFonts w:cs="Arial"/>
                <w:color w:val="000000" w:themeColor="text1"/>
                <w:sz w:val="20"/>
                <w:szCs w:val="20"/>
              </w:rPr>
            </w:pPr>
          </w:p>
        </w:tc>
      </w:tr>
      <w:tr w:rsidR="006F5883" w:rsidRPr="006F5883" w14:paraId="02BD4F59" w14:textId="77777777" w:rsidTr="006F5883">
        <w:trPr>
          <w:trHeight w:val="283"/>
        </w:trPr>
        <w:tc>
          <w:tcPr>
            <w:tcW w:w="3504" w:type="dxa"/>
            <w:vAlign w:val="center"/>
          </w:tcPr>
          <w:p w14:paraId="0F92E6D2"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Non-interest bearing</w:t>
            </w:r>
          </w:p>
        </w:tc>
        <w:tc>
          <w:tcPr>
            <w:tcW w:w="1059" w:type="dxa"/>
            <w:vAlign w:val="center"/>
          </w:tcPr>
          <w:p w14:paraId="11ADCFDF"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112,609</w:t>
            </w:r>
          </w:p>
        </w:tc>
        <w:tc>
          <w:tcPr>
            <w:tcW w:w="1059" w:type="dxa"/>
            <w:vAlign w:val="center"/>
          </w:tcPr>
          <w:p w14:paraId="540C5FB9"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9,399</w:t>
            </w:r>
          </w:p>
        </w:tc>
        <w:tc>
          <w:tcPr>
            <w:tcW w:w="1059" w:type="dxa"/>
            <w:vAlign w:val="center"/>
          </w:tcPr>
          <w:p w14:paraId="79C12182"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13,949</w:t>
            </w:r>
          </w:p>
        </w:tc>
        <w:tc>
          <w:tcPr>
            <w:tcW w:w="1058" w:type="dxa"/>
            <w:vAlign w:val="center"/>
          </w:tcPr>
          <w:p w14:paraId="012F684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12BF01A5"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4AED8BB"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135,957</w:t>
            </w:r>
          </w:p>
        </w:tc>
      </w:tr>
      <w:tr w:rsidR="006F5883" w:rsidRPr="006F5883" w14:paraId="6A5B1E6E" w14:textId="77777777" w:rsidTr="006F5883">
        <w:trPr>
          <w:trHeight w:val="283"/>
        </w:trPr>
        <w:tc>
          <w:tcPr>
            <w:tcW w:w="3504" w:type="dxa"/>
            <w:vAlign w:val="center"/>
          </w:tcPr>
          <w:p w14:paraId="3399B73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Variable interest rate instruments</w:t>
            </w:r>
          </w:p>
        </w:tc>
        <w:tc>
          <w:tcPr>
            <w:tcW w:w="1059" w:type="dxa"/>
            <w:vAlign w:val="center"/>
          </w:tcPr>
          <w:p w14:paraId="2B158C9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74BEAF9A"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52639CBB"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8" w:type="dxa"/>
            <w:vAlign w:val="center"/>
          </w:tcPr>
          <w:p w14:paraId="5280A074"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2B9858E9"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0E97A329"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r>
      <w:tr w:rsidR="006F5883" w:rsidRPr="006F5883" w14:paraId="26DFDBE8" w14:textId="77777777" w:rsidTr="006F5883">
        <w:trPr>
          <w:trHeight w:val="283"/>
        </w:trPr>
        <w:tc>
          <w:tcPr>
            <w:tcW w:w="3504" w:type="dxa"/>
            <w:vAlign w:val="center"/>
          </w:tcPr>
          <w:p w14:paraId="44AB473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Fixed interest rate instruments</w:t>
            </w:r>
          </w:p>
        </w:tc>
        <w:tc>
          <w:tcPr>
            <w:tcW w:w="1059" w:type="dxa"/>
            <w:vAlign w:val="center"/>
          </w:tcPr>
          <w:p w14:paraId="79D6E57C"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42EB936"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F842D80"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8" w:type="dxa"/>
            <w:vAlign w:val="center"/>
          </w:tcPr>
          <w:p w14:paraId="1CD25C06"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4D210175"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c>
          <w:tcPr>
            <w:tcW w:w="1059" w:type="dxa"/>
            <w:vAlign w:val="center"/>
          </w:tcPr>
          <w:p w14:paraId="0641D6F3" w14:textId="77777777" w:rsidR="006F5883" w:rsidRPr="006F5883" w:rsidRDefault="006F5883" w:rsidP="006F5883">
            <w:pPr>
              <w:spacing w:line="240" w:lineRule="auto"/>
              <w:rPr>
                <w:rFonts w:cs="Arial"/>
                <w:color w:val="000000" w:themeColor="text1"/>
                <w:sz w:val="20"/>
                <w:szCs w:val="20"/>
              </w:rPr>
            </w:pPr>
            <w:r w:rsidRPr="006F5883">
              <w:rPr>
                <w:rFonts w:cs="Arial"/>
                <w:color w:val="000000" w:themeColor="text1"/>
                <w:sz w:val="20"/>
                <w:szCs w:val="20"/>
              </w:rPr>
              <w:t>-</w:t>
            </w:r>
          </w:p>
        </w:tc>
      </w:tr>
      <w:tr w:rsidR="006F5883" w:rsidRPr="006F5883" w14:paraId="6EBE4932" w14:textId="77777777" w:rsidTr="006F5883">
        <w:trPr>
          <w:trHeight w:val="283"/>
        </w:trPr>
        <w:tc>
          <w:tcPr>
            <w:tcW w:w="3504" w:type="dxa"/>
            <w:vAlign w:val="center"/>
          </w:tcPr>
          <w:p w14:paraId="75040C86" w14:textId="77777777" w:rsidR="006F5883" w:rsidRPr="006F5883" w:rsidRDefault="006F5883" w:rsidP="006F5883">
            <w:pPr>
              <w:spacing w:line="240" w:lineRule="auto"/>
              <w:rPr>
                <w:rFonts w:cs="Arial"/>
                <w:color w:val="000000" w:themeColor="text1"/>
                <w:sz w:val="20"/>
                <w:szCs w:val="20"/>
              </w:rPr>
            </w:pPr>
          </w:p>
        </w:tc>
        <w:tc>
          <w:tcPr>
            <w:tcW w:w="1059" w:type="dxa"/>
            <w:vAlign w:val="center"/>
          </w:tcPr>
          <w:p w14:paraId="37616831"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112,609</w:t>
            </w:r>
          </w:p>
        </w:tc>
        <w:tc>
          <w:tcPr>
            <w:tcW w:w="1059" w:type="dxa"/>
            <w:vAlign w:val="center"/>
          </w:tcPr>
          <w:p w14:paraId="2EE6EEDA"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9,399</w:t>
            </w:r>
          </w:p>
        </w:tc>
        <w:tc>
          <w:tcPr>
            <w:tcW w:w="1059" w:type="dxa"/>
            <w:vAlign w:val="center"/>
          </w:tcPr>
          <w:p w14:paraId="6C65ECDF"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13,949</w:t>
            </w:r>
          </w:p>
        </w:tc>
        <w:tc>
          <w:tcPr>
            <w:tcW w:w="1058" w:type="dxa"/>
            <w:vAlign w:val="center"/>
          </w:tcPr>
          <w:p w14:paraId="1D3D1263"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w:t>
            </w:r>
          </w:p>
        </w:tc>
        <w:tc>
          <w:tcPr>
            <w:tcW w:w="1059" w:type="dxa"/>
            <w:vAlign w:val="center"/>
          </w:tcPr>
          <w:p w14:paraId="4AF71EAE"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w:t>
            </w:r>
          </w:p>
        </w:tc>
        <w:tc>
          <w:tcPr>
            <w:tcW w:w="1059" w:type="dxa"/>
            <w:vAlign w:val="center"/>
          </w:tcPr>
          <w:p w14:paraId="0560D454" w14:textId="77777777" w:rsidR="006F5883" w:rsidRPr="006F5883" w:rsidRDefault="006F5883" w:rsidP="006F5883">
            <w:pPr>
              <w:spacing w:line="240" w:lineRule="auto"/>
              <w:rPr>
                <w:rFonts w:cs="Arial"/>
                <w:color w:val="000000" w:themeColor="text1"/>
                <w:sz w:val="20"/>
                <w:szCs w:val="20"/>
              </w:rPr>
            </w:pPr>
            <w:r w:rsidRPr="006F5883">
              <w:rPr>
                <w:rFonts w:cs="Arial"/>
                <w:b/>
                <w:bCs/>
                <w:color w:val="000000" w:themeColor="text1"/>
                <w:sz w:val="20"/>
                <w:szCs w:val="20"/>
              </w:rPr>
              <w:t>135,957</w:t>
            </w:r>
          </w:p>
        </w:tc>
      </w:tr>
    </w:tbl>
    <w:p w14:paraId="18CB5916" w14:textId="77777777" w:rsidR="006F5883" w:rsidRDefault="006F5883" w:rsidP="006F5883">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line="240" w:lineRule="atLeast"/>
        <w:textAlignment w:val="center"/>
        <w:rPr>
          <w:rFonts w:ascii="Axiforma" w:hAnsi="Axiforma" w:cs="Axiforma"/>
          <w:color w:val="000000"/>
          <w:sz w:val="16"/>
          <w:szCs w:val="16"/>
        </w:rPr>
      </w:pPr>
    </w:p>
    <w:p w14:paraId="462EBA92" w14:textId="1A221958" w:rsidR="006F5883" w:rsidRDefault="006F5883" w:rsidP="006F5883">
      <w:r w:rsidRPr="006F5883">
        <w:t>The following table details the Group’s expected maturity for its non-derivative financial assets. The tables below have been drawn up based on the undiscounted contractual maturities of the financial assets including interest that will be earned on those assets. The inclusion of information on non-derivative financial assets is necessary to understand the Group’s liquidity risk management as the liquidity is managed on a net asset and liability basis.</w:t>
      </w:r>
    </w:p>
    <w:p w14:paraId="2207B378" w14:textId="77777777" w:rsidR="006262F8" w:rsidRPr="006F5883" w:rsidRDefault="006262F8" w:rsidP="006F5883"/>
    <w:tbl>
      <w:tblPr>
        <w:tblStyle w:val="TableGrid"/>
        <w:tblW w:w="10485" w:type="dxa"/>
        <w:tblLayout w:type="fixed"/>
        <w:tblLook w:val="0000" w:firstRow="0" w:lastRow="0" w:firstColumn="0" w:lastColumn="0" w:noHBand="0" w:noVBand="0"/>
      </w:tblPr>
      <w:tblGrid>
        <w:gridCol w:w="2122"/>
        <w:gridCol w:w="1275"/>
        <w:gridCol w:w="1276"/>
        <w:gridCol w:w="1276"/>
        <w:gridCol w:w="1134"/>
        <w:gridCol w:w="1134"/>
        <w:gridCol w:w="1134"/>
        <w:gridCol w:w="1134"/>
      </w:tblGrid>
      <w:tr w:rsidR="006262F8" w:rsidRPr="006F5883" w14:paraId="3C93F631" w14:textId="77777777" w:rsidTr="006262F8">
        <w:trPr>
          <w:trHeight w:val="897"/>
        </w:trPr>
        <w:tc>
          <w:tcPr>
            <w:tcW w:w="2122" w:type="dxa"/>
          </w:tcPr>
          <w:p w14:paraId="07E931D5"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5" w:type="dxa"/>
          </w:tcPr>
          <w:p w14:paraId="18297EE4" w14:textId="77777777" w:rsidR="006F5883" w:rsidRPr="006F5883" w:rsidRDefault="006F5883" w:rsidP="006262F8">
            <w:pPr>
              <w:suppressAutoHyphens/>
              <w:autoSpaceDE w:val="0"/>
              <w:autoSpaceDN w:val="0"/>
              <w:adjustRightInd w:val="0"/>
              <w:spacing w:line="240" w:lineRule="auto"/>
              <w:jc w:val="right"/>
              <w:textAlignment w:val="center"/>
              <w:rPr>
                <w:rFonts w:cs="Arial"/>
                <w:b/>
                <w:bCs/>
                <w:color w:val="000000" w:themeColor="text1"/>
                <w:sz w:val="20"/>
                <w:szCs w:val="20"/>
              </w:rPr>
            </w:pPr>
            <w:r w:rsidRPr="006F5883">
              <w:rPr>
                <w:rFonts w:cs="Arial"/>
                <w:b/>
                <w:bCs/>
                <w:color w:val="000000" w:themeColor="text1"/>
                <w:sz w:val="20"/>
                <w:szCs w:val="20"/>
              </w:rPr>
              <w:t xml:space="preserve">Weighted average </w:t>
            </w:r>
          </w:p>
          <w:p w14:paraId="0AF5A163" w14:textId="77777777" w:rsidR="006F5883" w:rsidRPr="006F5883" w:rsidRDefault="006F5883" w:rsidP="006262F8">
            <w:pPr>
              <w:suppressAutoHyphens/>
              <w:autoSpaceDE w:val="0"/>
              <w:autoSpaceDN w:val="0"/>
              <w:adjustRightInd w:val="0"/>
              <w:spacing w:line="240" w:lineRule="auto"/>
              <w:jc w:val="right"/>
              <w:textAlignment w:val="center"/>
              <w:rPr>
                <w:rFonts w:cs="Arial"/>
                <w:b/>
                <w:bCs/>
                <w:color w:val="000000" w:themeColor="text1"/>
                <w:sz w:val="20"/>
                <w:szCs w:val="20"/>
              </w:rPr>
            </w:pPr>
            <w:r w:rsidRPr="006F5883">
              <w:rPr>
                <w:rFonts w:cs="Arial"/>
                <w:b/>
                <w:bCs/>
                <w:color w:val="000000" w:themeColor="text1"/>
                <w:sz w:val="20"/>
                <w:szCs w:val="20"/>
              </w:rPr>
              <w:t>effective</w:t>
            </w:r>
          </w:p>
          <w:p w14:paraId="0C3CFB0E" w14:textId="77777777" w:rsidR="006F5883" w:rsidRPr="006F5883" w:rsidRDefault="006F5883" w:rsidP="006262F8">
            <w:pPr>
              <w:suppressAutoHyphens/>
              <w:autoSpaceDE w:val="0"/>
              <w:autoSpaceDN w:val="0"/>
              <w:adjustRightInd w:val="0"/>
              <w:spacing w:line="240" w:lineRule="auto"/>
              <w:jc w:val="right"/>
              <w:textAlignment w:val="center"/>
              <w:rPr>
                <w:rFonts w:cs="Arial"/>
                <w:b/>
                <w:bCs/>
                <w:color w:val="000000" w:themeColor="text1"/>
                <w:sz w:val="20"/>
                <w:szCs w:val="20"/>
              </w:rPr>
            </w:pPr>
            <w:r w:rsidRPr="006F5883">
              <w:rPr>
                <w:rFonts w:cs="Arial"/>
                <w:b/>
                <w:bCs/>
                <w:color w:val="000000" w:themeColor="text1"/>
                <w:sz w:val="20"/>
                <w:szCs w:val="20"/>
              </w:rPr>
              <w:t xml:space="preserve"> interest rate</w:t>
            </w:r>
          </w:p>
          <w:p w14:paraId="1A780262" w14:textId="77777777" w:rsidR="006F5883" w:rsidRPr="006F5883" w:rsidRDefault="006F5883" w:rsidP="006262F8">
            <w:pPr>
              <w:suppressAutoHyphens/>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w:t>
            </w:r>
          </w:p>
        </w:tc>
        <w:tc>
          <w:tcPr>
            <w:tcW w:w="1276" w:type="dxa"/>
          </w:tcPr>
          <w:p w14:paraId="09002938" w14:textId="77777777" w:rsidR="006F5883" w:rsidRPr="006F5883" w:rsidRDefault="006F5883" w:rsidP="006262F8">
            <w:pPr>
              <w:suppressAutoHyphens/>
              <w:autoSpaceDE w:val="0"/>
              <w:autoSpaceDN w:val="0"/>
              <w:adjustRightInd w:val="0"/>
              <w:spacing w:line="240" w:lineRule="auto"/>
              <w:ind w:left="256"/>
              <w:jc w:val="right"/>
              <w:textAlignment w:val="center"/>
              <w:rPr>
                <w:rFonts w:cs="Arial"/>
                <w:b/>
                <w:bCs/>
                <w:color w:val="000000" w:themeColor="text1"/>
                <w:sz w:val="20"/>
                <w:szCs w:val="20"/>
              </w:rPr>
            </w:pPr>
            <w:r w:rsidRPr="006F5883">
              <w:rPr>
                <w:rFonts w:cs="Arial"/>
                <w:b/>
                <w:bCs/>
                <w:color w:val="000000" w:themeColor="text1"/>
                <w:sz w:val="20"/>
                <w:szCs w:val="20"/>
              </w:rPr>
              <w:t xml:space="preserve">Less than 1 month </w:t>
            </w:r>
          </w:p>
          <w:p w14:paraId="663A04FC" w14:textId="77777777" w:rsidR="006F5883" w:rsidRPr="006F5883" w:rsidRDefault="006F5883" w:rsidP="006262F8">
            <w:pPr>
              <w:suppressAutoHyphens/>
              <w:autoSpaceDE w:val="0"/>
              <w:autoSpaceDN w:val="0"/>
              <w:adjustRightInd w:val="0"/>
              <w:spacing w:line="240" w:lineRule="auto"/>
              <w:ind w:left="256"/>
              <w:jc w:val="right"/>
              <w:textAlignment w:val="center"/>
              <w:rPr>
                <w:rFonts w:cs="Arial"/>
                <w:color w:val="000000" w:themeColor="text1"/>
                <w:sz w:val="20"/>
                <w:szCs w:val="20"/>
              </w:rPr>
            </w:pPr>
            <w:r w:rsidRPr="006F5883">
              <w:rPr>
                <w:rFonts w:cs="Arial"/>
                <w:b/>
                <w:bCs/>
                <w:color w:val="000000" w:themeColor="text1"/>
                <w:sz w:val="20"/>
                <w:szCs w:val="20"/>
              </w:rPr>
              <w:t>£’000</w:t>
            </w:r>
          </w:p>
        </w:tc>
        <w:tc>
          <w:tcPr>
            <w:tcW w:w="1276" w:type="dxa"/>
          </w:tcPr>
          <w:p w14:paraId="5ADE27DD"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b/>
                <w:bCs/>
                <w:color w:val="000000" w:themeColor="text1"/>
                <w:sz w:val="20"/>
                <w:szCs w:val="20"/>
              </w:rPr>
            </w:pPr>
            <w:r w:rsidRPr="006F5883">
              <w:rPr>
                <w:rFonts w:cs="Arial"/>
                <w:b/>
                <w:bCs/>
                <w:color w:val="000000" w:themeColor="text1"/>
                <w:sz w:val="20"/>
                <w:szCs w:val="20"/>
              </w:rPr>
              <w:t xml:space="preserve">1-3 months </w:t>
            </w:r>
          </w:p>
          <w:p w14:paraId="17AC2DD7"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£’000</w:t>
            </w:r>
          </w:p>
        </w:tc>
        <w:tc>
          <w:tcPr>
            <w:tcW w:w="1134" w:type="dxa"/>
          </w:tcPr>
          <w:p w14:paraId="436761CE"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b/>
                <w:bCs/>
                <w:color w:val="000000" w:themeColor="text1"/>
                <w:sz w:val="20"/>
                <w:szCs w:val="20"/>
              </w:rPr>
            </w:pPr>
            <w:r w:rsidRPr="006F5883">
              <w:rPr>
                <w:rFonts w:cs="Arial"/>
                <w:b/>
                <w:bCs/>
                <w:color w:val="000000" w:themeColor="text1"/>
                <w:sz w:val="20"/>
                <w:szCs w:val="20"/>
              </w:rPr>
              <w:t xml:space="preserve">3 months to 1 year </w:t>
            </w:r>
          </w:p>
          <w:p w14:paraId="701FE75C"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£’000</w:t>
            </w:r>
          </w:p>
        </w:tc>
        <w:tc>
          <w:tcPr>
            <w:tcW w:w="1134" w:type="dxa"/>
          </w:tcPr>
          <w:p w14:paraId="12FBB839"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b/>
                <w:bCs/>
                <w:color w:val="000000" w:themeColor="text1"/>
                <w:sz w:val="20"/>
                <w:szCs w:val="20"/>
              </w:rPr>
            </w:pPr>
            <w:r w:rsidRPr="006F5883">
              <w:rPr>
                <w:rFonts w:cs="Arial"/>
                <w:b/>
                <w:bCs/>
                <w:color w:val="000000" w:themeColor="text1"/>
                <w:sz w:val="20"/>
                <w:szCs w:val="20"/>
              </w:rPr>
              <w:t xml:space="preserve">1-5 years </w:t>
            </w:r>
          </w:p>
          <w:p w14:paraId="5DD729AA" w14:textId="77777777" w:rsidR="006F5883" w:rsidRPr="006F5883" w:rsidRDefault="006F5883" w:rsidP="006262F8">
            <w:pPr>
              <w:suppressAutoHyphens/>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£’000</w:t>
            </w:r>
          </w:p>
        </w:tc>
        <w:tc>
          <w:tcPr>
            <w:tcW w:w="1134" w:type="dxa"/>
          </w:tcPr>
          <w:p w14:paraId="22663920" w14:textId="77777777" w:rsidR="006F5883" w:rsidRPr="006F5883" w:rsidRDefault="006F5883" w:rsidP="006262F8">
            <w:pPr>
              <w:suppressAutoHyphens/>
              <w:autoSpaceDE w:val="0"/>
              <w:autoSpaceDN w:val="0"/>
              <w:adjustRightInd w:val="0"/>
              <w:spacing w:line="240" w:lineRule="auto"/>
              <w:ind w:left="256"/>
              <w:jc w:val="right"/>
              <w:textAlignment w:val="center"/>
              <w:rPr>
                <w:rFonts w:cs="Arial"/>
                <w:b/>
                <w:bCs/>
                <w:color w:val="000000" w:themeColor="text1"/>
                <w:sz w:val="20"/>
                <w:szCs w:val="20"/>
              </w:rPr>
            </w:pPr>
            <w:r w:rsidRPr="006F5883">
              <w:rPr>
                <w:rFonts w:cs="Arial"/>
                <w:b/>
                <w:bCs/>
                <w:color w:val="000000" w:themeColor="text1"/>
                <w:sz w:val="20"/>
                <w:szCs w:val="20"/>
              </w:rPr>
              <w:t xml:space="preserve">5+ years </w:t>
            </w:r>
          </w:p>
          <w:p w14:paraId="46AA3659" w14:textId="77777777" w:rsidR="006F5883" w:rsidRPr="006F5883" w:rsidRDefault="006F5883" w:rsidP="006262F8">
            <w:pPr>
              <w:suppressAutoHyphens/>
              <w:autoSpaceDE w:val="0"/>
              <w:autoSpaceDN w:val="0"/>
              <w:adjustRightInd w:val="0"/>
              <w:spacing w:line="240" w:lineRule="auto"/>
              <w:ind w:left="256"/>
              <w:jc w:val="right"/>
              <w:textAlignment w:val="center"/>
              <w:rPr>
                <w:rFonts w:cs="Arial"/>
                <w:color w:val="000000" w:themeColor="text1"/>
                <w:sz w:val="20"/>
                <w:szCs w:val="20"/>
              </w:rPr>
            </w:pPr>
            <w:r w:rsidRPr="006F5883">
              <w:rPr>
                <w:rFonts w:cs="Arial"/>
                <w:b/>
                <w:bCs/>
                <w:color w:val="000000" w:themeColor="text1"/>
                <w:sz w:val="20"/>
                <w:szCs w:val="20"/>
              </w:rPr>
              <w:t>£’000</w:t>
            </w:r>
          </w:p>
        </w:tc>
        <w:tc>
          <w:tcPr>
            <w:tcW w:w="1134" w:type="dxa"/>
          </w:tcPr>
          <w:p w14:paraId="0AF3D73E" w14:textId="77777777" w:rsidR="006F5883" w:rsidRPr="006F5883" w:rsidRDefault="006F5883" w:rsidP="006262F8">
            <w:pPr>
              <w:suppressAutoHyphens/>
              <w:autoSpaceDE w:val="0"/>
              <w:autoSpaceDN w:val="0"/>
              <w:adjustRightInd w:val="0"/>
              <w:spacing w:line="240" w:lineRule="auto"/>
              <w:ind w:left="114" w:firstLine="28"/>
              <w:jc w:val="right"/>
              <w:textAlignment w:val="center"/>
              <w:rPr>
                <w:rFonts w:cs="Arial"/>
                <w:b/>
                <w:bCs/>
                <w:color w:val="000000" w:themeColor="text1"/>
                <w:sz w:val="20"/>
                <w:szCs w:val="20"/>
              </w:rPr>
            </w:pPr>
            <w:r w:rsidRPr="006F5883">
              <w:rPr>
                <w:rFonts w:cs="Arial"/>
                <w:b/>
                <w:bCs/>
                <w:color w:val="000000" w:themeColor="text1"/>
                <w:sz w:val="20"/>
                <w:szCs w:val="20"/>
              </w:rPr>
              <w:t xml:space="preserve">Total </w:t>
            </w:r>
          </w:p>
          <w:p w14:paraId="47951002" w14:textId="77777777" w:rsidR="006F5883" w:rsidRPr="006F5883" w:rsidRDefault="006F5883" w:rsidP="006262F8">
            <w:pPr>
              <w:suppressAutoHyphens/>
              <w:autoSpaceDE w:val="0"/>
              <w:autoSpaceDN w:val="0"/>
              <w:adjustRightInd w:val="0"/>
              <w:spacing w:line="240" w:lineRule="auto"/>
              <w:ind w:left="114" w:firstLine="28"/>
              <w:jc w:val="right"/>
              <w:textAlignment w:val="center"/>
              <w:rPr>
                <w:rFonts w:cs="Arial"/>
                <w:color w:val="000000" w:themeColor="text1"/>
                <w:sz w:val="20"/>
                <w:szCs w:val="20"/>
              </w:rPr>
            </w:pPr>
            <w:r w:rsidRPr="006F5883">
              <w:rPr>
                <w:rFonts w:cs="Arial"/>
                <w:b/>
                <w:bCs/>
                <w:color w:val="000000" w:themeColor="text1"/>
                <w:sz w:val="20"/>
                <w:szCs w:val="20"/>
              </w:rPr>
              <w:t>£’000</w:t>
            </w:r>
          </w:p>
        </w:tc>
      </w:tr>
      <w:tr w:rsidR="006262F8" w:rsidRPr="006F5883" w14:paraId="3773D31A" w14:textId="77777777" w:rsidTr="006262F8">
        <w:trPr>
          <w:trHeight w:hRule="exact" w:val="255"/>
        </w:trPr>
        <w:tc>
          <w:tcPr>
            <w:tcW w:w="2122" w:type="dxa"/>
          </w:tcPr>
          <w:p w14:paraId="13588AFF" w14:textId="77777777" w:rsidR="006F5883" w:rsidRPr="006F5883" w:rsidRDefault="006F5883" w:rsidP="006262F8">
            <w:pPr>
              <w:autoSpaceDE w:val="0"/>
              <w:autoSpaceDN w:val="0"/>
              <w:adjustRightInd w:val="0"/>
              <w:spacing w:line="240" w:lineRule="auto"/>
              <w:jc w:val="both"/>
              <w:textAlignment w:val="center"/>
              <w:rPr>
                <w:rFonts w:cs="Arial"/>
                <w:color w:val="000000" w:themeColor="text1"/>
                <w:sz w:val="20"/>
                <w:szCs w:val="20"/>
              </w:rPr>
            </w:pPr>
            <w:r w:rsidRPr="006F5883">
              <w:rPr>
                <w:rFonts w:cs="Arial"/>
                <w:b/>
                <w:bCs/>
                <w:color w:val="000000" w:themeColor="text1"/>
                <w:sz w:val="20"/>
                <w:szCs w:val="20"/>
              </w:rPr>
              <w:t>2025</w:t>
            </w:r>
          </w:p>
        </w:tc>
        <w:tc>
          <w:tcPr>
            <w:tcW w:w="1275" w:type="dxa"/>
          </w:tcPr>
          <w:p w14:paraId="46D92045"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12B7C36C"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2ED0BD3C"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18F866B7"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0C892BA3"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055BC5B0"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2CBBB0A1"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r>
      <w:tr w:rsidR="006262F8" w:rsidRPr="006F5883" w14:paraId="2860C478" w14:textId="77777777" w:rsidTr="006262F8">
        <w:trPr>
          <w:trHeight w:hRule="exact" w:val="255"/>
        </w:trPr>
        <w:tc>
          <w:tcPr>
            <w:tcW w:w="2122" w:type="dxa"/>
          </w:tcPr>
          <w:p w14:paraId="71765247" w14:textId="77777777" w:rsidR="006F5883" w:rsidRPr="006F5883" w:rsidRDefault="006F5883" w:rsidP="006262F8">
            <w:pPr>
              <w:autoSpaceDE w:val="0"/>
              <w:autoSpaceDN w:val="0"/>
              <w:adjustRightInd w:val="0"/>
              <w:spacing w:line="240" w:lineRule="auto"/>
              <w:ind w:left="567" w:hanging="567"/>
              <w:jc w:val="both"/>
              <w:textAlignment w:val="center"/>
              <w:rPr>
                <w:rFonts w:cs="Arial"/>
                <w:color w:val="000000" w:themeColor="text1"/>
                <w:sz w:val="20"/>
                <w:szCs w:val="20"/>
              </w:rPr>
            </w:pPr>
            <w:r w:rsidRPr="006F5883">
              <w:rPr>
                <w:rFonts w:cs="Arial"/>
                <w:color w:val="000000" w:themeColor="text1"/>
                <w:sz w:val="20"/>
                <w:szCs w:val="20"/>
              </w:rPr>
              <w:t>Non-interest bearing</w:t>
            </w:r>
          </w:p>
        </w:tc>
        <w:tc>
          <w:tcPr>
            <w:tcW w:w="1275" w:type="dxa"/>
          </w:tcPr>
          <w:p w14:paraId="633F52B8"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0F555076"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65,036</w:t>
            </w:r>
          </w:p>
        </w:tc>
        <w:tc>
          <w:tcPr>
            <w:tcW w:w="1276" w:type="dxa"/>
          </w:tcPr>
          <w:p w14:paraId="56FC7CC2"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26,075</w:t>
            </w:r>
          </w:p>
        </w:tc>
        <w:tc>
          <w:tcPr>
            <w:tcW w:w="1134" w:type="dxa"/>
          </w:tcPr>
          <w:p w14:paraId="2F4AF9AA"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28,486</w:t>
            </w:r>
          </w:p>
        </w:tc>
        <w:tc>
          <w:tcPr>
            <w:tcW w:w="1134" w:type="dxa"/>
          </w:tcPr>
          <w:p w14:paraId="6A58CAC4"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10,767</w:t>
            </w:r>
          </w:p>
        </w:tc>
        <w:tc>
          <w:tcPr>
            <w:tcW w:w="1134" w:type="dxa"/>
          </w:tcPr>
          <w:p w14:paraId="6B67C380"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232</w:t>
            </w:r>
          </w:p>
        </w:tc>
        <w:tc>
          <w:tcPr>
            <w:tcW w:w="1134" w:type="dxa"/>
          </w:tcPr>
          <w:p w14:paraId="06C400D6"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130,596</w:t>
            </w:r>
          </w:p>
        </w:tc>
      </w:tr>
      <w:tr w:rsidR="006262F8" w:rsidRPr="006F5883" w14:paraId="4F49E444" w14:textId="77777777" w:rsidTr="006262F8">
        <w:trPr>
          <w:trHeight w:hRule="exact" w:val="255"/>
        </w:trPr>
        <w:tc>
          <w:tcPr>
            <w:tcW w:w="2122" w:type="dxa"/>
          </w:tcPr>
          <w:p w14:paraId="235E0850" w14:textId="77777777" w:rsidR="006F5883" w:rsidRPr="006F5883" w:rsidRDefault="006F5883" w:rsidP="006262F8">
            <w:pPr>
              <w:autoSpaceDE w:val="0"/>
              <w:autoSpaceDN w:val="0"/>
              <w:adjustRightInd w:val="0"/>
              <w:spacing w:line="240" w:lineRule="auto"/>
              <w:textAlignment w:val="center"/>
              <w:rPr>
                <w:rFonts w:cs="Arial"/>
                <w:color w:val="000000" w:themeColor="text1"/>
                <w:sz w:val="20"/>
                <w:szCs w:val="20"/>
              </w:rPr>
            </w:pPr>
            <w:r w:rsidRPr="006F5883">
              <w:rPr>
                <w:rFonts w:cs="Arial"/>
                <w:color w:val="000000" w:themeColor="text1"/>
                <w:sz w:val="20"/>
                <w:szCs w:val="20"/>
              </w:rPr>
              <w:t>Variable interest rate instruments</w:t>
            </w:r>
          </w:p>
        </w:tc>
        <w:tc>
          <w:tcPr>
            <w:tcW w:w="1275" w:type="dxa"/>
          </w:tcPr>
          <w:p w14:paraId="69719AEF"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4651B3AB"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47666FBA"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3FD90CC9"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04CC492C"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2C1FE1C5"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5E2512AA"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r>
      <w:tr w:rsidR="006262F8" w:rsidRPr="006F5883" w14:paraId="017F76B3" w14:textId="77777777" w:rsidTr="006262F8">
        <w:trPr>
          <w:trHeight w:hRule="exact" w:val="543"/>
        </w:trPr>
        <w:tc>
          <w:tcPr>
            <w:tcW w:w="2122" w:type="dxa"/>
          </w:tcPr>
          <w:p w14:paraId="60C6DCBE" w14:textId="77777777" w:rsidR="006F5883" w:rsidRPr="006F5883" w:rsidRDefault="006F5883" w:rsidP="006262F8">
            <w:pPr>
              <w:autoSpaceDE w:val="0"/>
              <w:autoSpaceDN w:val="0"/>
              <w:adjustRightInd w:val="0"/>
              <w:spacing w:line="240" w:lineRule="auto"/>
              <w:textAlignment w:val="center"/>
              <w:rPr>
                <w:rFonts w:cs="Arial"/>
                <w:color w:val="000000" w:themeColor="text1"/>
                <w:sz w:val="20"/>
                <w:szCs w:val="20"/>
              </w:rPr>
            </w:pPr>
            <w:r w:rsidRPr="006F5883">
              <w:rPr>
                <w:rFonts w:cs="Arial"/>
                <w:color w:val="000000" w:themeColor="text1"/>
                <w:sz w:val="20"/>
                <w:szCs w:val="20"/>
              </w:rPr>
              <w:t>Fixed interest rate assumptions</w:t>
            </w:r>
          </w:p>
        </w:tc>
        <w:tc>
          <w:tcPr>
            <w:tcW w:w="1275" w:type="dxa"/>
          </w:tcPr>
          <w:p w14:paraId="480F4F46" w14:textId="77777777" w:rsidR="006F5883" w:rsidRPr="006F5883" w:rsidRDefault="006F5883" w:rsidP="006262F8">
            <w:pPr>
              <w:tabs>
                <w:tab w:val="left" w:pos="198"/>
              </w:tabs>
              <w:suppressAutoHyphens/>
              <w:autoSpaceDE w:val="0"/>
              <w:autoSpaceDN w:val="0"/>
              <w:adjustRightInd w:val="0"/>
              <w:spacing w:line="240" w:lineRule="auto"/>
              <w:jc w:val="right"/>
              <w:textAlignment w:val="center"/>
              <w:rPr>
                <w:rFonts w:cs="Arial"/>
                <w:b/>
                <w:bCs/>
                <w:color w:val="000000" w:themeColor="text1"/>
                <w:sz w:val="20"/>
                <w:szCs w:val="20"/>
              </w:rPr>
            </w:pPr>
            <w:r w:rsidRPr="006F5883">
              <w:rPr>
                <w:rFonts w:cs="Arial"/>
                <w:color w:val="000000" w:themeColor="text1"/>
                <w:sz w:val="20"/>
                <w:szCs w:val="20"/>
              </w:rPr>
              <w:t>0.93</w:t>
            </w:r>
          </w:p>
        </w:tc>
        <w:tc>
          <w:tcPr>
            <w:tcW w:w="1276" w:type="dxa"/>
          </w:tcPr>
          <w:p w14:paraId="0E60F9A3"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3955A773"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2605BA53"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44C9C9EF"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0C54B01E"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27F51DA8"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r>
      <w:tr w:rsidR="006262F8" w:rsidRPr="006F5883" w14:paraId="11B4AA1D" w14:textId="77777777" w:rsidTr="006262F8">
        <w:trPr>
          <w:trHeight w:hRule="exact" w:val="340"/>
        </w:trPr>
        <w:tc>
          <w:tcPr>
            <w:tcW w:w="2122" w:type="dxa"/>
          </w:tcPr>
          <w:p w14:paraId="11F95B24"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5" w:type="dxa"/>
          </w:tcPr>
          <w:p w14:paraId="262A2AB4"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3AB50A54"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65,036</w:t>
            </w:r>
          </w:p>
        </w:tc>
        <w:tc>
          <w:tcPr>
            <w:tcW w:w="1276" w:type="dxa"/>
          </w:tcPr>
          <w:p w14:paraId="4E5A0CEC"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26,075</w:t>
            </w:r>
          </w:p>
        </w:tc>
        <w:tc>
          <w:tcPr>
            <w:tcW w:w="1134" w:type="dxa"/>
          </w:tcPr>
          <w:p w14:paraId="6FAE9824"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25,765</w:t>
            </w:r>
          </w:p>
        </w:tc>
        <w:tc>
          <w:tcPr>
            <w:tcW w:w="1134" w:type="dxa"/>
          </w:tcPr>
          <w:p w14:paraId="180F9830"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10,767</w:t>
            </w:r>
          </w:p>
        </w:tc>
        <w:tc>
          <w:tcPr>
            <w:tcW w:w="1134" w:type="dxa"/>
          </w:tcPr>
          <w:p w14:paraId="294E2DB3"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232</w:t>
            </w:r>
          </w:p>
        </w:tc>
        <w:tc>
          <w:tcPr>
            <w:tcW w:w="1134" w:type="dxa"/>
          </w:tcPr>
          <w:p w14:paraId="373BF1B6"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130,596</w:t>
            </w:r>
          </w:p>
        </w:tc>
      </w:tr>
      <w:tr w:rsidR="006262F8" w:rsidRPr="006F5883" w14:paraId="68F55021" w14:textId="77777777" w:rsidTr="006262F8">
        <w:trPr>
          <w:trHeight w:hRule="exact" w:val="255"/>
        </w:trPr>
        <w:tc>
          <w:tcPr>
            <w:tcW w:w="2122" w:type="dxa"/>
          </w:tcPr>
          <w:p w14:paraId="5AEEC997" w14:textId="77777777" w:rsidR="006F5883" w:rsidRPr="006F5883" w:rsidRDefault="006F5883" w:rsidP="006262F8">
            <w:pPr>
              <w:autoSpaceDE w:val="0"/>
              <w:autoSpaceDN w:val="0"/>
              <w:adjustRightInd w:val="0"/>
              <w:spacing w:line="240" w:lineRule="auto"/>
              <w:jc w:val="both"/>
              <w:textAlignment w:val="center"/>
              <w:rPr>
                <w:rFonts w:cs="Arial"/>
                <w:color w:val="000000" w:themeColor="text1"/>
                <w:sz w:val="20"/>
                <w:szCs w:val="20"/>
              </w:rPr>
            </w:pPr>
            <w:r w:rsidRPr="006F5883">
              <w:rPr>
                <w:rFonts w:cs="Arial"/>
                <w:b/>
                <w:bCs/>
                <w:color w:val="000000" w:themeColor="text1"/>
                <w:sz w:val="20"/>
                <w:szCs w:val="20"/>
              </w:rPr>
              <w:t>2024</w:t>
            </w:r>
          </w:p>
        </w:tc>
        <w:tc>
          <w:tcPr>
            <w:tcW w:w="1275" w:type="dxa"/>
          </w:tcPr>
          <w:p w14:paraId="15B88265"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626F1CAE"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5BAC1DB2"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74FC1160"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0533764E"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224E4D81"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134" w:type="dxa"/>
          </w:tcPr>
          <w:p w14:paraId="31000610"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r>
      <w:tr w:rsidR="006262F8" w:rsidRPr="006F5883" w14:paraId="193453E9" w14:textId="77777777" w:rsidTr="006262F8">
        <w:trPr>
          <w:trHeight w:hRule="exact" w:val="255"/>
        </w:trPr>
        <w:tc>
          <w:tcPr>
            <w:tcW w:w="2122" w:type="dxa"/>
          </w:tcPr>
          <w:p w14:paraId="260FE44C" w14:textId="77777777" w:rsidR="006F5883" w:rsidRPr="006F5883" w:rsidRDefault="006F5883" w:rsidP="006262F8">
            <w:pPr>
              <w:autoSpaceDE w:val="0"/>
              <w:autoSpaceDN w:val="0"/>
              <w:adjustRightInd w:val="0"/>
              <w:spacing w:line="240" w:lineRule="auto"/>
              <w:jc w:val="both"/>
              <w:textAlignment w:val="center"/>
              <w:rPr>
                <w:rFonts w:cs="Arial"/>
                <w:color w:val="000000" w:themeColor="text1"/>
                <w:sz w:val="20"/>
                <w:szCs w:val="20"/>
              </w:rPr>
            </w:pPr>
            <w:r w:rsidRPr="006F5883">
              <w:rPr>
                <w:rFonts w:cs="Arial"/>
                <w:color w:val="000000" w:themeColor="text1"/>
                <w:sz w:val="20"/>
                <w:szCs w:val="20"/>
              </w:rPr>
              <w:t>Non-interest bearing</w:t>
            </w:r>
          </w:p>
        </w:tc>
        <w:tc>
          <w:tcPr>
            <w:tcW w:w="1275" w:type="dxa"/>
          </w:tcPr>
          <w:p w14:paraId="4AB5F713" w14:textId="77777777" w:rsidR="006F5883" w:rsidRPr="006F5883" w:rsidRDefault="006F5883" w:rsidP="006262F8">
            <w:pPr>
              <w:autoSpaceDE w:val="0"/>
              <w:autoSpaceDN w:val="0"/>
              <w:adjustRightInd w:val="0"/>
              <w:spacing w:line="240" w:lineRule="auto"/>
              <w:ind w:left="567"/>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41D467F9"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79,523</w:t>
            </w:r>
          </w:p>
        </w:tc>
        <w:tc>
          <w:tcPr>
            <w:tcW w:w="1276" w:type="dxa"/>
          </w:tcPr>
          <w:p w14:paraId="0CA58DA8"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56,397</w:t>
            </w:r>
          </w:p>
        </w:tc>
        <w:tc>
          <w:tcPr>
            <w:tcW w:w="1134" w:type="dxa"/>
          </w:tcPr>
          <w:p w14:paraId="46382379"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25,765</w:t>
            </w:r>
          </w:p>
        </w:tc>
        <w:tc>
          <w:tcPr>
            <w:tcW w:w="1134" w:type="dxa"/>
          </w:tcPr>
          <w:p w14:paraId="72B5B0B2"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2,732</w:t>
            </w:r>
          </w:p>
        </w:tc>
        <w:tc>
          <w:tcPr>
            <w:tcW w:w="1134" w:type="dxa"/>
          </w:tcPr>
          <w:p w14:paraId="3F489167"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28</w:t>
            </w:r>
          </w:p>
        </w:tc>
        <w:tc>
          <w:tcPr>
            <w:tcW w:w="1134" w:type="dxa"/>
          </w:tcPr>
          <w:p w14:paraId="5DFEF61B"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164,445</w:t>
            </w:r>
          </w:p>
        </w:tc>
      </w:tr>
      <w:tr w:rsidR="006262F8" w:rsidRPr="006F5883" w14:paraId="04C03FE6" w14:textId="77777777" w:rsidTr="006262F8">
        <w:trPr>
          <w:trHeight w:hRule="exact" w:val="255"/>
        </w:trPr>
        <w:tc>
          <w:tcPr>
            <w:tcW w:w="2122" w:type="dxa"/>
          </w:tcPr>
          <w:p w14:paraId="0783CCEB" w14:textId="77777777" w:rsidR="006F5883" w:rsidRPr="006F5883" w:rsidRDefault="006F5883" w:rsidP="006262F8">
            <w:pPr>
              <w:autoSpaceDE w:val="0"/>
              <w:autoSpaceDN w:val="0"/>
              <w:adjustRightInd w:val="0"/>
              <w:spacing w:line="240" w:lineRule="auto"/>
              <w:textAlignment w:val="center"/>
              <w:rPr>
                <w:rFonts w:cs="Arial"/>
                <w:color w:val="000000" w:themeColor="text1"/>
                <w:sz w:val="20"/>
                <w:szCs w:val="20"/>
              </w:rPr>
            </w:pPr>
            <w:r w:rsidRPr="006F5883">
              <w:rPr>
                <w:rFonts w:cs="Arial"/>
                <w:color w:val="000000" w:themeColor="text1"/>
                <w:sz w:val="20"/>
                <w:szCs w:val="20"/>
              </w:rPr>
              <w:t>Variable interest rate instruments</w:t>
            </w:r>
          </w:p>
        </w:tc>
        <w:tc>
          <w:tcPr>
            <w:tcW w:w="1275" w:type="dxa"/>
          </w:tcPr>
          <w:p w14:paraId="6658FA7B" w14:textId="77777777" w:rsidR="006F5883" w:rsidRPr="006F5883" w:rsidRDefault="006F5883" w:rsidP="006262F8">
            <w:pPr>
              <w:autoSpaceDE w:val="0"/>
              <w:autoSpaceDN w:val="0"/>
              <w:adjustRightInd w:val="0"/>
              <w:spacing w:line="240" w:lineRule="auto"/>
              <w:ind w:left="567"/>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7E8E39D7"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314DE24B"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13EF3463"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5AB964F9"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 xml:space="preserve">  -</w:t>
            </w:r>
          </w:p>
        </w:tc>
        <w:tc>
          <w:tcPr>
            <w:tcW w:w="1134" w:type="dxa"/>
          </w:tcPr>
          <w:p w14:paraId="15638857"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267229F4"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r>
      <w:tr w:rsidR="006262F8" w:rsidRPr="006F5883" w14:paraId="646F72BD" w14:textId="77777777" w:rsidTr="006262F8">
        <w:trPr>
          <w:trHeight w:hRule="exact" w:val="340"/>
        </w:trPr>
        <w:tc>
          <w:tcPr>
            <w:tcW w:w="2122" w:type="dxa"/>
          </w:tcPr>
          <w:p w14:paraId="5E600E41" w14:textId="77777777" w:rsidR="006F5883" w:rsidRPr="006F5883" w:rsidRDefault="006F5883" w:rsidP="006262F8">
            <w:pPr>
              <w:autoSpaceDE w:val="0"/>
              <w:autoSpaceDN w:val="0"/>
              <w:adjustRightInd w:val="0"/>
              <w:spacing w:line="240" w:lineRule="auto"/>
              <w:textAlignment w:val="center"/>
              <w:rPr>
                <w:rFonts w:cs="Arial"/>
                <w:color w:val="000000" w:themeColor="text1"/>
                <w:sz w:val="20"/>
                <w:szCs w:val="20"/>
              </w:rPr>
            </w:pPr>
            <w:r w:rsidRPr="006F5883">
              <w:rPr>
                <w:rFonts w:cs="Arial"/>
                <w:color w:val="000000" w:themeColor="text1"/>
                <w:sz w:val="20"/>
                <w:szCs w:val="20"/>
              </w:rPr>
              <w:t>Fixed interest rate instruments</w:t>
            </w:r>
          </w:p>
        </w:tc>
        <w:tc>
          <w:tcPr>
            <w:tcW w:w="1275" w:type="dxa"/>
          </w:tcPr>
          <w:p w14:paraId="260FBA31" w14:textId="77777777" w:rsidR="006F5883" w:rsidRPr="006F5883" w:rsidRDefault="006F5883" w:rsidP="006262F8">
            <w:pPr>
              <w:autoSpaceDE w:val="0"/>
              <w:autoSpaceDN w:val="0"/>
              <w:adjustRightInd w:val="0"/>
              <w:spacing w:line="240" w:lineRule="auto"/>
              <w:ind w:left="567"/>
              <w:jc w:val="right"/>
              <w:textAlignment w:val="center"/>
              <w:rPr>
                <w:rFonts w:cs="Arial"/>
                <w:color w:val="000000" w:themeColor="text1"/>
                <w:sz w:val="20"/>
                <w:szCs w:val="20"/>
              </w:rPr>
            </w:pPr>
            <w:r w:rsidRPr="006F5883">
              <w:rPr>
                <w:rFonts w:cs="Arial"/>
                <w:color w:val="000000" w:themeColor="text1"/>
                <w:sz w:val="20"/>
                <w:szCs w:val="20"/>
              </w:rPr>
              <w:t>0.93</w:t>
            </w:r>
          </w:p>
        </w:tc>
        <w:tc>
          <w:tcPr>
            <w:tcW w:w="1276" w:type="dxa"/>
          </w:tcPr>
          <w:p w14:paraId="4466B6D4"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276" w:type="dxa"/>
          </w:tcPr>
          <w:p w14:paraId="3380B25E"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6B478155"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31399B22"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0A012792"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color w:val="000000" w:themeColor="text1"/>
                <w:sz w:val="20"/>
                <w:szCs w:val="20"/>
              </w:rPr>
              <w:t>-</w:t>
            </w:r>
          </w:p>
        </w:tc>
        <w:tc>
          <w:tcPr>
            <w:tcW w:w="1134" w:type="dxa"/>
          </w:tcPr>
          <w:p w14:paraId="6957B2B3"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color w:val="000000" w:themeColor="text1"/>
                <w:sz w:val="20"/>
                <w:szCs w:val="20"/>
              </w:rPr>
              <w:t>-</w:t>
            </w:r>
          </w:p>
        </w:tc>
      </w:tr>
      <w:tr w:rsidR="006262F8" w:rsidRPr="006F5883" w14:paraId="3F7EAFEE" w14:textId="77777777" w:rsidTr="006262F8">
        <w:trPr>
          <w:trHeight w:hRule="exact" w:val="340"/>
        </w:trPr>
        <w:tc>
          <w:tcPr>
            <w:tcW w:w="2122" w:type="dxa"/>
          </w:tcPr>
          <w:p w14:paraId="2291A437"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5" w:type="dxa"/>
          </w:tcPr>
          <w:p w14:paraId="48558681" w14:textId="77777777" w:rsidR="006F5883" w:rsidRPr="006F5883" w:rsidRDefault="006F5883" w:rsidP="006262F8">
            <w:pPr>
              <w:autoSpaceDE w:val="0"/>
              <w:autoSpaceDN w:val="0"/>
              <w:adjustRightInd w:val="0"/>
              <w:spacing w:line="240" w:lineRule="auto"/>
              <w:rPr>
                <w:rFonts w:cs="Arial"/>
                <w:color w:val="000000" w:themeColor="text1"/>
                <w:sz w:val="20"/>
                <w:szCs w:val="20"/>
              </w:rPr>
            </w:pPr>
          </w:p>
        </w:tc>
        <w:tc>
          <w:tcPr>
            <w:tcW w:w="1276" w:type="dxa"/>
          </w:tcPr>
          <w:p w14:paraId="1415E95E"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79,523</w:t>
            </w:r>
          </w:p>
        </w:tc>
        <w:tc>
          <w:tcPr>
            <w:tcW w:w="1276" w:type="dxa"/>
          </w:tcPr>
          <w:p w14:paraId="27A68135"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56,397</w:t>
            </w:r>
          </w:p>
        </w:tc>
        <w:tc>
          <w:tcPr>
            <w:tcW w:w="1134" w:type="dxa"/>
          </w:tcPr>
          <w:p w14:paraId="39B7A1BA"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25,765</w:t>
            </w:r>
          </w:p>
        </w:tc>
        <w:tc>
          <w:tcPr>
            <w:tcW w:w="1134" w:type="dxa"/>
          </w:tcPr>
          <w:p w14:paraId="54C41D62"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2,732</w:t>
            </w:r>
          </w:p>
        </w:tc>
        <w:tc>
          <w:tcPr>
            <w:tcW w:w="1134" w:type="dxa"/>
          </w:tcPr>
          <w:p w14:paraId="02A81704" w14:textId="77777777" w:rsidR="006F5883" w:rsidRPr="006F5883" w:rsidRDefault="006F5883" w:rsidP="006262F8">
            <w:pPr>
              <w:autoSpaceDE w:val="0"/>
              <w:autoSpaceDN w:val="0"/>
              <w:adjustRightInd w:val="0"/>
              <w:spacing w:line="240" w:lineRule="auto"/>
              <w:ind w:left="114"/>
              <w:jc w:val="right"/>
              <w:textAlignment w:val="center"/>
              <w:rPr>
                <w:rFonts w:cs="Arial"/>
                <w:color w:val="000000" w:themeColor="text1"/>
                <w:sz w:val="20"/>
                <w:szCs w:val="20"/>
              </w:rPr>
            </w:pPr>
            <w:r w:rsidRPr="006F5883">
              <w:rPr>
                <w:rFonts w:cs="Arial"/>
                <w:b/>
                <w:bCs/>
                <w:color w:val="000000" w:themeColor="text1"/>
                <w:sz w:val="20"/>
                <w:szCs w:val="20"/>
              </w:rPr>
              <w:t>28</w:t>
            </w:r>
          </w:p>
        </w:tc>
        <w:tc>
          <w:tcPr>
            <w:tcW w:w="1134" w:type="dxa"/>
          </w:tcPr>
          <w:p w14:paraId="0587A2D6" w14:textId="77777777" w:rsidR="006F5883" w:rsidRPr="006F5883" w:rsidRDefault="006F5883" w:rsidP="006262F8">
            <w:pPr>
              <w:autoSpaceDE w:val="0"/>
              <w:autoSpaceDN w:val="0"/>
              <w:adjustRightInd w:val="0"/>
              <w:spacing w:line="240" w:lineRule="auto"/>
              <w:jc w:val="right"/>
              <w:textAlignment w:val="center"/>
              <w:rPr>
                <w:rFonts w:cs="Arial"/>
                <w:color w:val="000000" w:themeColor="text1"/>
                <w:sz w:val="20"/>
                <w:szCs w:val="20"/>
              </w:rPr>
            </w:pPr>
            <w:r w:rsidRPr="006F5883">
              <w:rPr>
                <w:rFonts w:cs="Arial"/>
                <w:b/>
                <w:bCs/>
                <w:color w:val="000000" w:themeColor="text1"/>
                <w:sz w:val="20"/>
                <w:szCs w:val="20"/>
              </w:rPr>
              <w:t>164,445</w:t>
            </w:r>
          </w:p>
        </w:tc>
      </w:tr>
    </w:tbl>
    <w:p w14:paraId="0287F932" w14:textId="77777777" w:rsidR="006262F8" w:rsidRDefault="006262F8" w:rsidP="006262F8"/>
    <w:p w14:paraId="13F6AC74" w14:textId="0C49B3EB" w:rsidR="006262F8" w:rsidRDefault="006262F8" w:rsidP="006262F8">
      <w:r w:rsidRPr="006262F8">
        <w:t xml:space="preserve">The following table details the Group’s liquidity analysis for its derivative financial instruments based on contractual maturities. The table has been drawn up based on the undiscounted net cash inflows and outflows on derivative instruments that settle on a net basis. When the amount </w:t>
      </w:r>
      <w:r w:rsidRPr="006262F8">
        <w:lastRenderedPageBreak/>
        <w:t>payable or receivable is not fixed, the amount disclosed has been determined by reference to the projected interest rates as illustrated by the yield curves existing at the reporting date.</w:t>
      </w:r>
    </w:p>
    <w:p w14:paraId="14FA2E8B" w14:textId="5CD847B6" w:rsidR="006262F8" w:rsidRDefault="006262F8" w:rsidP="006262F8">
      <w:r>
        <w:t xml:space="preserve"> </w:t>
      </w:r>
    </w:p>
    <w:tbl>
      <w:tblPr>
        <w:tblStyle w:val="TableGrid"/>
        <w:tblW w:w="0" w:type="auto"/>
        <w:tblLayout w:type="fixed"/>
        <w:tblLook w:val="0000" w:firstRow="0" w:lastRow="0" w:firstColumn="0" w:lastColumn="0" w:noHBand="0" w:noVBand="0"/>
      </w:tblPr>
      <w:tblGrid>
        <w:gridCol w:w="3504"/>
        <w:gridCol w:w="1059"/>
        <w:gridCol w:w="1059"/>
        <w:gridCol w:w="1059"/>
        <w:gridCol w:w="1059"/>
        <w:gridCol w:w="1059"/>
        <w:gridCol w:w="1060"/>
      </w:tblGrid>
      <w:tr w:rsidR="006262F8" w:rsidRPr="006262F8" w14:paraId="60D94F90" w14:textId="77777777" w:rsidTr="006262F8">
        <w:trPr>
          <w:trHeight w:val="593"/>
        </w:trPr>
        <w:tc>
          <w:tcPr>
            <w:tcW w:w="3504" w:type="dxa"/>
          </w:tcPr>
          <w:p w14:paraId="76F25E14" w14:textId="77777777" w:rsidR="006262F8" w:rsidRPr="006262F8" w:rsidRDefault="006262F8" w:rsidP="006262F8">
            <w:pPr>
              <w:spacing w:line="240" w:lineRule="auto"/>
              <w:rPr>
                <w:sz w:val="20"/>
                <w:szCs w:val="20"/>
              </w:rPr>
            </w:pPr>
          </w:p>
        </w:tc>
        <w:tc>
          <w:tcPr>
            <w:tcW w:w="1059" w:type="dxa"/>
          </w:tcPr>
          <w:p w14:paraId="4B101129" w14:textId="77777777" w:rsidR="006262F8" w:rsidRPr="006262F8" w:rsidRDefault="006262F8" w:rsidP="006262F8">
            <w:pPr>
              <w:spacing w:line="240" w:lineRule="auto"/>
              <w:rPr>
                <w:b/>
                <w:bCs/>
                <w:sz w:val="20"/>
                <w:szCs w:val="20"/>
              </w:rPr>
            </w:pPr>
            <w:r w:rsidRPr="006262F8">
              <w:rPr>
                <w:b/>
                <w:bCs/>
                <w:sz w:val="20"/>
                <w:szCs w:val="20"/>
              </w:rPr>
              <w:t xml:space="preserve">Less than </w:t>
            </w:r>
            <w:r w:rsidRPr="006262F8">
              <w:rPr>
                <w:b/>
                <w:bCs/>
                <w:sz w:val="20"/>
                <w:szCs w:val="20"/>
              </w:rPr>
              <w:br/>
              <w:t>1 month</w:t>
            </w:r>
          </w:p>
          <w:p w14:paraId="426F4150" w14:textId="77777777" w:rsidR="006262F8" w:rsidRPr="006262F8" w:rsidRDefault="006262F8" w:rsidP="006262F8">
            <w:pPr>
              <w:spacing w:line="240" w:lineRule="auto"/>
              <w:rPr>
                <w:b/>
                <w:bCs/>
                <w:sz w:val="20"/>
                <w:szCs w:val="20"/>
              </w:rPr>
            </w:pPr>
            <w:r w:rsidRPr="006262F8">
              <w:rPr>
                <w:b/>
                <w:bCs/>
                <w:sz w:val="20"/>
                <w:szCs w:val="20"/>
              </w:rPr>
              <w:t>£’000</w:t>
            </w:r>
          </w:p>
        </w:tc>
        <w:tc>
          <w:tcPr>
            <w:tcW w:w="1059" w:type="dxa"/>
          </w:tcPr>
          <w:p w14:paraId="412977B9" w14:textId="77777777" w:rsidR="006262F8" w:rsidRPr="006262F8" w:rsidRDefault="006262F8" w:rsidP="006262F8">
            <w:pPr>
              <w:spacing w:line="240" w:lineRule="auto"/>
              <w:rPr>
                <w:b/>
                <w:bCs/>
                <w:sz w:val="20"/>
                <w:szCs w:val="20"/>
              </w:rPr>
            </w:pPr>
            <w:r w:rsidRPr="006262F8">
              <w:rPr>
                <w:b/>
                <w:bCs/>
                <w:sz w:val="20"/>
                <w:szCs w:val="20"/>
              </w:rPr>
              <w:t xml:space="preserve">1-3 months </w:t>
            </w:r>
          </w:p>
          <w:p w14:paraId="6EE2CFFE" w14:textId="77777777" w:rsidR="006262F8" w:rsidRPr="006262F8" w:rsidRDefault="006262F8" w:rsidP="006262F8">
            <w:pPr>
              <w:spacing w:line="240" w:lineRule="auto"/>
              <w:rPr>
                <w:b/>
                <w:bCs/>
                <w:sz w:val="20"/>
                <w:szCs w:val="20"/>
              </w:rPr>
            </w:pPr>
            <w:r w:rsidRPr="006262F8">
              <w:rPr>
                <w:b/>
                <w:bCs/>
                <w:sz w:val="20"/>
                <w:szCs w:val="20"/>
              </w:rPr>
              <w:t xml:space="preserve">£’000 </w:t>
            </w:r>
          </w:p>
        </w:tc>
        <w:tc>
          <w:tcPr>
            <w:tcW w:w="1059" w:type="dxa"/>
          </w:tcPr>
          <w:p w14:paraId="0E5230AC" w14:textId="77777777" w:rsidR="006262F8" w:rsidRPr="006262F8" w:rsidRDefault="006262F8" w:rsidP="006262F8">
            <w:pPr>
              <w:spacing w:line="240" w:lineRule="auto"/>
              <w:rPr>
                <w:b/>
                <w:bCs/>
                <w:sz w:val="20"/>
                <w:szCs w:val="20"/>
              </w:rPr>
            </w:pPr>
            <w:r w:rsidRPr="006262F8">
              <w:rPr>
                <w:b/>
                <w:bCs/>
                <w:sz w:val="20"/>
                <w:szCs w:val="20"/>
              </w:rPr>
              <w:t>3 months</w:t>
            </w:r>
          </w:p>
          <w:p w14:paraId="0221F175" w14:textId="77777777" w:rsidR="006262F8" w:rsidRPr="006262F8" w:rsidRDefault="006262F8" w:rsidP="006262F8">
            <w:pPr>
              <w:spacing w:line="240" w:lineRule="auto"/>
              <w:rPr>
                <w:b/>
                <w:bCs/>
                <w:sz w:val="20"/>
                <w:szCs w:val="20"/>
              </w:rPr>
            </w:pPr>
            <w:r w:rsidRPr="006262F8">
              <w:rPr>
                <w:b/>
                <w:bCs/>
                <w:sz w:val="20"/>
                <w:szCs w:val="20"/>
              </w:rPr>
              <w:t>to 1 year</w:t>
            </w:r>
          </w:p>
          <w:p w14:paraId="6B38C71B" w14:textId="77777777" w:rsidR="006262F8" w:rsidRPr="006262F8" w:rsidRDefault="006262F8" w:rsidP="006262F8">
            <w:pPr>
              <w:spacing w:line="240" w:lineRule="auto"/>
              <w:rPr>
                <w:b/>
                <w:bCs/>
                <w:sz w:val="20"/>
                <w:szCs w:val="20"/>
              </w:rPr>
            </w:pPr>
            <w:r w:rsidRPr="006262F8">
              <w:rPr>
                <w:b/>
                <w:bCs/>
                <w:sz w:val="20"/>
                <w:szCs w:val="20"/>
              </w:rPr>
              <w:t>£’000</w:t>
            </w:r>
          </w:p>
        </w:tc>
        <w:tc>
          <w:tcPr>
            <w:tcW w:w="1059" w:type="dxa"/>
          </w:tcPr>
          <w:p w14:paraId="7C3B3A16" w14:textId="77777777" w:rsidR="006262F8" w:rsidRPr="006262F8" w:rsidRDefault="006262F8" w:rsidP="006262F8">
            <w:pPr>
              <w:spacing w:line="240" w:lineRule="auto"/>
              <w:rPr>
                <w:b/>
                <w:bCs/>
                <w:sz w:val="20"/>
                <w:szCs w:val="20"/>
              </w:rPr>
            </w:pPr>
            <w:r w:rsidRPr="006262F8">
              <w:rPr>
                <w:b/>
                <w:bCs/>
                <w:sz w:val="20"/>
                <w:szCs w:val="20"/>
              </w:rPr>
              <w:t>1-5 years</w:t>
            </w:r>
          </w:p>
          <w:p w14:paraId="073068B0" w14:textId="77777777" w:rsidR="006262F8" w:rsidRPr="006262F8" w:rsidRDefault="006262F8" w:rsidP="006262F8">
            <w:pPr>
              <w:spacing w:line="240" w:lineRule="auto"/>
              <w:rPr>
                <w:b/>
                <w:bCs/>
                <w:sz w:val="20"/>
                <w:szCs w:val="20"/>
              </w:rPr>
            </w:pPr>
            <w:r w:rsidRPr="006262F8">
              <w:rPr>
                <w:b/>
                <w:bCs/>
                <w:sz w:val="20"/>
                <w:szCs w:val="20"/>
              </w:rPr>
              <w:t>£’000</w:t>
            </w:r>
          </w:p>
        </w:tc>
        <w:tc>
          <w:tcPr>
            <w:tcW w:w="1059" w:type="dxa"/>
          </w:tcPr>
          <w:p w14:paraId="672CE3CE" w14:textId="77777777" w:rsidR="006262F8" w:rsidRPr="006262F8" w:rsidRDefault="006262F8" w:rsidP="006262F8">
            <w:pPr>
              <w:spacing w:line="240" w:lineRule="auto"/>
              <w:rPr>
                <w:b/>
                <w:bCs/>
                <w:sz w:val="20"/>
                <w:szCs w:val="20"/>
              </w:rPr>
            </w:pPr>
            <w:r w:rsidRPr="006262F8">
              <w:rPr>
                <w:b/>
                <w:bCs/>
                <w:sz w:val="20"/>
                <w:szCs w:val="20"/>
              </w:rPr>
              <w:t>5+ years</w:t>
            </w:r>
          </w:p>
          <w:p w14:paraId="402C34B2" w14:textId="77777777" w:rsidR="006262F8" w:rsidRPr="006262F8" w:rsidRDefault="006262F8" w:rsidP="006262F8">
            <w:pPr>
              <w:spacing w:line="240" w:lineRule="auto"/>
              <w:rPr>
                <w:b/>
                <w:bCs/>
                <w:sz w:val="20"/>
                <w:szCs w:val="20"/>
              </w:rPr>
            </w:pPr>
            <w:r w:rsidRPr="006262F8">
              <w:rPr>
                <w:b/>
                <w:bCs/>
                <w:sz w:val="20"/>
                <w:szCs w:val="20"/>
              </w:rPr>
              <w:t>£’000</w:t>
            </w:r>
          </w:p>
        </w:tc>
        <w:tc>
          <w:tcPr>
            <w:tcW w:w="1060" w:type="dxa"/>
          </w:tcPr>
          <w:p w14:paraId="7AEE68DA" w14:textId="77777777" w:rsidR="006262F8" w:rsidRPr="006262F8" w:rsidRDefault="006262F8" w:rsidP="006262F8">
            <w:pPr>
              <w:spacing w:line="240" w:lineRule="auto"/>
              <w:rPr>
                <w:b/>
                <w:bCs/>
                <w:sz w:val="20"/>
                <w:szCs w:val="20"/>
              </w:rPr>
            </w:pPr>
            <w:r w:rsidRPr="006262F8">
              <w:rPr>
                <w:b/>
                <w:bCs/>
                <w:sz w:val="20"/>
                <w:szCs w:val="20"/>
              </w:rPr>
              <w:t>Total</w:t>
            </w:r>
          </w:p>
          <w:p w14:paraId="27396B62" w14:textId="77777777" w:rsidR="006262F8" w:rsidRPr="006262F8" w:rsidRDefault="006262F8" w:rsidP="006262F8">
            <w:pPr>
              <w:spacing w:line="240" w:lineRule="auto"/>
              <w:rPr>
                <w:b/>
                <w:bCs/>
                <w:sz w:val="20"/>
                <w:szCs w:val="20"/>
              </w:rPr>
            </w:pPr>
            <w:r w:rsidRPr="006262F8">
              <w:rPr>
                <w:b/>
                <w:bCs/>
                <w:sz w:val="20"/>
                <w:szCs w:val="20"/>
              </w:rPr>
              <w:t>£’000</w:t>
            </w:r>
          </w:p>
        </w:tc>
      </w:tr>
      <w:tr w:rsidR="006262F8" w:rsidRPr="006262F8" w14:paraId="1E1BF2A1" w14:textId="77777777" w:rsidTr="006262F8">
        <w:trPr>
          <w:trHeight w:hRule="exact" w:val="255"/>
        </w:trPr>
        <w:tc>
          <w:tcPr>
            <w:tcW w:w="3504" w:type="dxa"/>
          </w:tcPr>
          <w:p w14:paraId="0BCE33AA" w14:textId="77777777" w:rsidR="006262F8" w:rsidRPr="006262F8" w:rsidRDefault="006262F8" w:rsidP="006262F8">
            <w:pPr>
              <w:spacing w:line="240" w:lineRule="auto"/>
              <w:rPr>
                <w:sz w:val="20"/>
                <w:szCs w:val="20"/>
              </w:rPr>
            </w:pPr>
            <w:r w:rsidRPr="006262F8">
              <w:rPr>
                <w:b/>
                <w:bCs/>
                <w:sz w:val="20"/>
                <w:szCs w:val="20"/>
              </w:rPr>
              <w:t>2025</w:t>
            </w:r>
          </w:p>
        </w:tc>
        <w:tc>
          <w:tcPr>
            <w:tcW w:w="1059" w:type="dxa"/>
          </w:tcPr>
          <w:p w14:paraId="00A0A6E7" w14:textId="77777777" w:rsidR="006262F8" w:rsidRPr="006262F8" w:rsidRDefault="006262F8" w:rsidP="006262F8">
            <w:pPr>
              <w:spacing w:line="240" w:lineRule="auto"/>
              <w:rPr>
                <w:sz w:val="20"/>
                <w:szCs w:val="20"/>
              </w:rPr>
            </w:pPr>
          </w:p>
        </w:tc>
        <w:tc>
          <w:tcPr>
            <w:tcW w:w="1059" w:type="dxa"/>
          </w:tcPr>
          <w:p w14:paraId="2E2F8A7D" w14:textId="77777777" w:rsidR="006262F8" w:rsidRPr="006262F8" w:rsidRDefault="006262F8" w:rsidP="006262F8">
            <w:pPr>
              <w:spacing w:line="240" w:lineRule="auto"/>
              <w:rPr>
                <w:sz w:val="20"/>
                <w:szCs w:val="20"/>
              </w:rPr>
            </w:pPr>
          </w:p>
        </w:tc>
        <w:tc>
          <w:tcPr>
            <w:tcW w:w="1059" w:type="dxa"/>
          </w:tcPr>
          <w:p w14:paraId="70E0BB72" w14:textId="77777777" w:rsidR="006262F8" w:rsidRPr="006262F8" w:rsidRDefault="006262F8" w:rsidP="006262F8">
            <w:pPr>
              <w:spacing w:line="240" w:lineRule="auto"/>
              <w:rPr>
                <w:sz w:val="20"/>
                <w:szCs w:val="20"/>
              </w:rPr>
            </w:pPr>
          </w:p>
        </w:tc>
        <w:tc>
          <w:tcPr>
            <w:tcW w:w="1059" w:type="dxa"/>
          </w:tcPr>
          <w:p w14:paraId="7883E82E" w14:textId="77777777" w:rsidR="006262F8" w:rsidRPr="006262F8" w:rsidRDefault="006262F8" w:rsidP="006262F8">
            <w:pPr>
              <w:spacing w:line="240" w:lineRule="auto"/>
              <w:rPr>
                <w:sz w:val="20"/>
                <w:szCs w:val="20"/>
              </w:rPr>
            </w:pPr>
          </w:p>
        </w:tc>
        <w:tc>
          <w:tcPr>
            <w:tcW w:w="1059" w:type="dxa"/>
          </w:tcPr>
          <w:p w14:paraId="776F142F" w14:textId="77777777" w:rsidR="006262F8" w:rsidRPr="006262F8" w:rsidRDefault="006262F8" w:rsidP="006262F8">
            <w:pPr>
              <w:spacing w:line="240" w:lineRule="auto"/>
              <w:rPr>
                <w:sz w:val="20"/>
                <w:szCs w:val="20"/>
              </w:rPr>
            </w:pPr>
          </w:p>
        </w:tc>
        <w:tc>
          <w:tcPr>
            <w:tcW w:w="1060" w:type="dxa"/>
          </w:tcPr>
          <w:p w14:paraId="7B66496E" w14:textId="77777777" w:rsidR="006262F8" w:rsidRPr="006262F8" w:rsidRDefault="006262F8" w:rsidP="006262F8">
            <w:pPr>
              <w:spacing w:line="240" w:lineRule="auto"/>
              <w:rPr>
                <w:sz w:val="20"/>
                <w:szCs w:val="20"/>
              </w:rPr>
            </w:pPr>
          </w:p>
        </w:tc>
      </w:tr>
      <w:tr w:rsidR="006262F8" w:rsidRPr="006262F8" w14:paraId="50E6780F" w14:textId="77777777" w:rsidTr="006262F8">
        <w:trPr>
          <w:trHeight w:hRule="exact" w:val="255"/>
        </w:trPr>
        <w:tc>
          <w:tcPr>
            <w:tcW w:w="3504" w:type="dxa"/>
          </w:tcPr>
          <w:p w14:paraId="3137D318" w14:textId="77777777" w:rsidR="006262F8" w:rsidRPr="006262F8" w:rsidRDefault="006262F8" w:rsidP="006262F8">
            <w:pPr>
              <w:spacing w:line="240" w:lineRule="auto"/>
              <w:rPr>
                <w:sz w:val="20"/>
                <w:szCs w:val="20"/>
              </w:rPr>
            </w:pPr>
            <w:r w:rsidRPr="006262F8">
              <w:rPr>
                <w:sz w:val="20"/>
                <w:szCs w:val="20"/>
              </w:rPr>
              <w:t>Gross settled:</w:t>
            </w:r>
          </w:p>
        </w:tc>
        <w:tc>
          <w:tcPr>
            <w:tcW w:w="1059" w:type="dxa"/>
          </w:tcPr>
          <w:p w14:paraId="45AA19EF" w14:textId="77777777" w:rsidR="006262F8" w:rsidRPr="006262F8" w:rsidRDefault="006262F8" w:rsidP="006262F8">
            <w:pPr>
              <w:spacing w:line="240" w:lineRule="auto"/>
              <w:rPr>
                <w:sz w:val="20"/>
                <w:szCs w:val="20"/>
              </w:rPr>
            </w:pPr>
          </w:p>
        </w:tc>
        <w:tc>
          <w:tcPr>
            <w:tcW w:w="1059" w:type="dxa"/>
          </w:tcPr>
          <w:p w14:paraId="29B1B3FA" w14:textId="77777777" w:rsidR="006262F8" w:rsidRPr="006262F8" w:rsidRDefault="006262F8" w:rsidP="006262F8">
            <w:pPr>
              <w:spacing w:line="240" w:lineRule="auto"/>
              <w:rPr>
                <w:sz w:val="20"/>
                <w:szCs w:val="20"/>
              </w:rPr>
            </w:pPr>
          </w:p>
        </w:tc>
        <w:tc>
          <w:tcPr>
            <w:tcW w:w="1059" w:type="dxa"/>
          </w:tcPr>
          <w:p w14:paraId="2152429B" w14:textId="77777777" w:rsidR="006262F8" w:rsidRPr="006262F8" w:rsidRDefault="006262F8" w:rsidP="006262F8">
            <w:pPr>
              <w:spacing w:line="240" w:lineRule="auto"/>
              <w:rPr>
                <w:sz w:val="20"/>
                <w:szCs w:val="20"/>
              </w:rPr>
            </w:pPr>
          </w:p>
        </w:tc>
        <w:tc>
          <w:tcPr>
            <w:tcW w:w="1059" w:type="dxa"/>
          </w:tcPr>
          <w:p w14:paraId="6BD20468" w14:textId="77777777" w:rsidR="006262F8" w:rsidRPr="006262F8" w:rsidRDefault="006262F8" w:rsidP="006262F8">
            <w:pPr>
              <w:spacing w:line="240" w:lineRule="auto"/>
              <w:rPr>
                <w:sz w:val="20"/>
                <w:szCs w:val="20"/>
              </w:rPr>
            </w:pPr>
          </w:p>
        </w:tc>
        <w:tc>
          <w:tcPr>
            <w:tcW w:w="1059" w:type="dxa"/>
          </w:tcPr>
          <w:p w14:paraId="72FFEA49" w14:textId="77777777" w:rsidR="006262F8" w:rsidRPr="006262F8" w:rsidRDefault="006262F8" w:rsidP="006262F8">
            <w:pPr>
              <w:spacing w:line="240" w:lineRule="auto"/>
              <w:rPr>
                <w:sz w:val="20"/>
                <w:szCs w:val="20"/>
              </w:rPr>
            </w:pPr>
          </w:p>
        </w:tc>
        <w:tc>
          <w:tcPr>
            <w:tcW w:w="1060" w:type="dxa"/>
          </w:tcPr>
          <w:p w14:paraId="5ECBF0EC" w14:textId="77777777" w:rsidR="006262F8" w:rsidRPr="006262F8" w:rsidRDefault="006262F8" w:rsidP="006262F8">
            <w:pPr>
              <w:spacing w:line="240" w:lineRule="auto"/>
              <w:rPr>
                <w:sz w:val="20"/>
                <w:szCs w:val="20"/>
              </w:rPr>
            </w:pPr>
          </w:p>
        </w:tc>
      </w:tr>
      <w:tr w:rsidR="006262F8" w:rsidRPr="006262F8" w14:paraId="75466B65" w14:textId="77777777" w:rsidTr="006262F8">
        <w:trPr>
          <w:trHeight w:hRule="exact" w:val="340"/>
        </w:trPr>
        <w:tc>
          <w:tcPr>
            <w:tcW w:w="3504" w:type="dxa"/>
          </w:tcPr>
          <w:p w14:paraId="3498A7A0" w14:textId="77777777" w:rsidR="006262F8" w:rsidRPr="006262F8" w:rsidRDefault="006262F8" w:rsidP="006262F8">
            <w:pPr>
              <w:spacing w:line="240" w:lineRule="auto"/>
              <w:rPr>
                <w:sz w:val="20"/>
                <w:szCs w:val="20"/>
              </w:rPr>
            </w:pPr>
            <w:r w:rsidRPr="006262F8">
              <w:rPr>
                <w:sz w:val="20"/>
                <w:szCs w:val="20"/>
              </w:rPr>
              <w:t>Fuel forward contracts</w:t>
            </w:r>
          </w:p>
        </w:tc>
        <w:tc>
          <w:tcPr>
            <w:tcW w:w="1059" w:type="dxa"/>
          </w:tcPr>
          <w:p w14:paraId="5F63663C" w14:textId="77777777" w:rsidR="006262F8" w:rsidRPr="006262F8" w:rsidRDefault="006262F8" w:rsidP="006262F8">
            <w:pPr>
              <w:spacing w:line="240" w:lineRule="auto"/>
              <w:rPr>
                <w:sz w:val="20"/>
                <w:szCs w:val="20"/>
              </w:rPr>
            </w:pPr>
            <w:r w:rsidRPr="006262F8">
              <w:rPr>
                <w:sz w:val="20"/>
                <w:szCs w:val="20"/>
              </w:rPr>
              <w:t>(149)</w:t>
            </w:r>
          </w:p>
        </w:tc>
        <w:tc>
          <w:tcPr>
            <w:tcW w:w="1059" w:type="dxa"/>
          </w:tcPr>
          <w:p w14:paraId="03560615" w14:textId="77777777" w:rsidR="006262F8" w:rsidRPr="006262F8" w:rsidRDefault="006262F8" w:rsidP="006262F8">
            <w:pPr>
              <w:spacing w:line="240" w:lineRule="auto"/>
              <w:rPr>
                <w:sz w:val="20"/>
                <w:szCs w:val="20"/>
              </w:rPr>
            </w:pPr>
            <w:r w:rsidRPr="006262F8">
              <w:rPr>
                <w:sz w:val="20"/>
                <w:szCs w:val="20"/>
              </w:rPr>
              <w:t>(356)</w:t>
            </w:r>
          </w:p>
        </w:tc>
        <w:tc>
          <w:tcPr>
            <w:tcW w:w="1059" w:type="dxa"/>
          </w:tcPr>
          <w:p w14:paraId="163417E4" w14:textId="77777777" w:rsidR="006262F8" w:rsidRPr="006262F8" w:rsidRDefault="006262F8" w:rsidP="006262F8">
            <w:pPr>
              <w:spacing w:line="240" w:lineRule="auto"/>
              <w:rPr>
                <w:sz w:val="20"/>
                <w:szCs w:val="20"/>
              </w:rPr>
            </w:pPr>
            <w:r w:rsidRPr="006262F8">
              <w:rPr>
                <w:sz w:val="20"/>
                <w:szCs w:val="20"/>
              </w:rPr>
              <w:t>(1,601)</w:t>
            </w:r>
          </w:p>
        </w:tc>
        <w:tc>
          <w:tcPr>
            <w:tcW w:w="1059" w:type="dxa"/>
          </w:tcPr>
          <w:p w14:paraId="67854B82" w14:textId="77777777" w:rsidR="006262F8" w:rsidRPr="006262F8" w:rsidRDefault="006262F8" w:rsidP="006262F8">
            <w:pPr>
              <w:spacing w:line="240" w:lineRule="auto"/>
              <w:rPr>
                <w:sz w:val="20"/>
                <w:szCs w:val="20"/>
              </w:rPr>
            </w:pPr>
            <w:r w:rsidRPr="006262F8">
              <w:rPr>
                <w:sz w:val="20"/>
                <w:szCs w:val="20"/>
              </w:rPr>
              <w:t>(1,234)</w:t>
            </w:r>
          </w:p>
        </w:tc>
        <w:tc>
          <w:tcPr>
            <w:tcW w:w="1059" w:type="dxa"/>
          </w:tcPr>
          <w:p w14:paraId="7FAEB794" w14:textId="77777777" w:rsidR="006262F8" w:rsidRPr="006262F8" w:rsidRDefault="006262F8" w:rsidP="006262F8">
            <w:pPr>
              <w:spacing w:line="240" w:lineRule="auto"/>
              <w:rPr>
                <w:sz w:val="20"/>
                <w:szCs w:val="20"/>
              </w:rPr>
            </w:pPr>
            <w:r w:rsidRPr="006262F8">
              <w:rPr>
                <w:sz w:val="20"/>
                <w:szCs w:val="20"/>
              </w:rPr>
              <w:t>-</w:t>
            </w:r>
          </w:p>
        </w:tc>
        <w:tc>
          <w:tcPr>
            <w:tcW w:w="1060" w:type="dxa"/>
          </w:tcPr>
          <w:p w14:paraId="6CC5A48B" w14:textId="77777777" w:rsidR="006262F8" w:rsidRPr="006262F8" w:rsidRDefault="006262F8" w:rsidP="006262F8">
            <w:pPr>
              <w:spacing w:line="240" w:lineRule="auto"/>
              <w:rPr>
                <w:sz w:val="20"/>
                <w:szCs w:val="20"/>
              </w:rPr>
            </w:pPr>
            <w:r w:rsidRPr="006262F8">
              <w:rPr>
                <w:sz w:val="20"/>
                <w:szCs w:val="20"/>
              </w:rPr>
              <w:t>(3,340)</w:t>
            </w:r>
          </w:p>
        </w:tc>
      </w:tr>
      <w:tr w:rsidR="006262F8" w:rsidRPr="006262F8" w14:paraId="5E1C42BE" w14:textId="77777777" w:rsidTr="006262F8">
        <w:trPr>
          <w:trHeight w:hRule="exact" w:val="340"/>
        </w:trPr>
        <w:tc>
          <w:tcPr>
            <w:tcW w:w="3504" w:type="dxa"/>
          </w:tcPr>
          <w:p w14:paraId="2992E81F" w14:textId="77777777" w:rsidR="006262F8" w:rsidRPr="006262F8" w:rsidRDefault="006262F8" w:rsidP="006262F8">
            <w:pPr>
              <w:spacing w:line="240" w:lineRule="auto"/>
              <w:rPr>
                <w:sz w:val="20"/>
                <w:szCs w:val="20"/>
              </w:rPr>
            </w:pPr>
          </w:p>
        </w:tc>
        <w:tc>
          <w:tcPr>
            <w:tcW w:w="1059" w:type="dxa"/>
          </w:tcPr>
          <w:p w14:paraId="03DFAC6E" w14:textId="77777777" w:rsidR="006262F8" w:rsidRPr="006262F8" w:rsidRDefault="006262F8" w:rsidP="006262F8">
            <w:pPr>
              <w:spacing w:line="240" w:lineRule="auto"/>
              <w:rPr>
                <w:sz w:val="20"/>
                <w:szCs w:val="20"/>
              </w:rPr>
            </w:pPr>
            <w:r w:rsidRPr="006262F8">
              <w:rPr>
                <w:b/>
                <w:bCs/>
                <w:sz w:val="20"/>
                <w:szCs w:val="20"/>
              </w:rPr>
              <w:t>(149)</w:t>
            </w:r>
          </w:p>
        </w:tc>
        <w:tc>
          <w:tcPr>
            <w:tcW w:w="1059" w:type="dxa"/>
          </w:tcPr>
          <w:p w14:paraId="36E6B028" w14:textId="77777777" w:rsidR="006262F8" w:rsidRPr="006262F8" w:rsidRDefault="006262F8" w:rsidP="006262F8">
            <w:pPr>
              <w:spacing w:line="240" w:lineRule="auto"/>
              <w:rPr>
                <w:sz w:val="20"/>
                <w:szCs w:val="20"/>
              </w:rPr>
            </w:pPr>
            <w:r w:rsidRPr="006262F8">
              <w:rPr>
                <w:b/>
                <w:bCs/>
                <w:sz w:val="20"/>
                <w:szCs w:val="20"/>
              </w:rPr>
              <w:t>(356)</w:t>
            </w:r>
          </w:p>
        </w:tc>
        <w:tc>
          <w:tcPr>
            <w:tcW w:w="1059" w:type="dxa"/>
          </w:tcPr>
          <w:p w14:paraId="4B00D136" w14:textId="77777777" w:rsidR="006262F8" w:rsidRPr="006262F8" w:rsidRDefault="006262F8" w:rsidP="006262F8">
            <w:pPr>
              <w:spacing w:line="240" w:lineRule="auto"/>
              <w:rPr>
                <w:sz w:val="20"/>
                <w:szCs w:val="20"/>
              </w:rPr>
            </w:pPr>
            <w:r w:rsidRPr="006262F8">
              <w:rPr>
                <w:b/>
                <w:bCs/>
                <w:sz w:val="20"/>
                <w:szCs w:val="20"/>
              </w:rPr>
              <w:t>(1,601)</w:t>
            </w:r>
          </w:p>
        </w:tc>
        <w:tc>
          <w:tcPr>
            <w:tcW w:w="1059" w:type="dxa"/>
          </w:tcPr>
          <w:p w14:paraId="7966E6EC" w14:textId="77777777" w:rsidR="006262F8" w:rsidRPr="006262F8" w:rsidRDefault="006262F8" w:rsidP="006262F8">
            <w:pPr>
              <w:spacing w:line="240" w:lineRule="auto"/>
              <w:rPr>
                <w:sz w:val="20"/>
                <w:szCs w:val="20"/>
              </w:rPr>
            </w:pPr>
            <w:r w:rsidRPr="006262F8">
              <w:rPr>
                <w:b/>
                <w:bCs/>
                <w:sz w:val="20"/>
                <w:szCs w:val="20"/>
              </w:rPr>
              <w:t>(1,234)</w:t>
            </w:r>
          </w:p>
        </w:tc>
        <w:tc>
          <w:tcPr>
            <w:tcW w:w="1059" w:type="dxa"/>
          </w:tcPr>
          <w:p w14:paraId="7BB5D18F" w14:textId="77777777" w:rsidR="006262F8" w:rsidRPr="006262F8" w:rsidRDefault="006262F8" w:rsidP="006262F8">
            <w:pPr>
              <w:spacing w:line="240" w:lineRule="auto"/>
              <w:rPr>
                <w:sz w:val="20"/>
                <w:szCs w:val="20"/>
              </w:rPr>
            </w:pPr>
            <w:r w:rsidRPr="006262F8">
              <w:rPr>
                <w:b/>
                <w:bCs/>
                <w:sz w:val="20"/>
                <w:szCs w:val="20"/>
              </w:rPr>
              <w:t>-</w:t>
            </w:r>
          </w:p>
        </w:tc>
        <w:tc>
          <w:tcPr>
            <w:tcW w:w="1060" w:type="dxa"/>
          </w:tcPr>
          <w:p w14:paraId="09355576" w14:textId="77777777" w:rsidR="006262F8" w:rsidRPr="006262F8" w:rsidRDefault="006262F8" w:rsidP="006262F8">
            <w:pPr>
              <w:spacing w:line="240" w:lineRule="auto"/>
              <w:rPr>
                <w:sz w:val="20"/>
                <w:szCs w:val="20"/>
              </w:rPr>
            </w:pPr>
            <w:r w:rsidRPr="006262F8">
              <w:rPr>
                <w:b/>
                <w:bCs/>
                <w:sz w:val="20"/>
                <w:szCs w:val="20"/>
              </w:rPr>
              <w:t>(3,340)</w:t>
            </w:r>
          </w:p>
        </w:tc>
      </w:tr>
      <w:tr w:rsidR="006262F8" w:rsidRPr="006262F8" w14:paraId="7C00DD2E" w14:textId="77777777" w:rsidTr="006262F8">
        <w:trPr>
          <w:trHeight w:hRule="exact" w:val="255"/>
        </w:trPr>
        <w:tc>
          <w:tcPr>
            <w:tcW w:w="3504" w:type="dxa"/>
          </w:tcPr>
          <w:p w14:paraId="7D3959AC" w14:textId="77777777" w:rsidR="006262F8" w:rsidRPr="006262F8" w:rsidRDefault="006262F8" w:rsidP="006262F8">
            <w:pPr>
              <w:spacing w:line="240" w:lineRule="auto"/>
              <w:rPr>
                <w:sz w:val="20"/>
                <w:szCs w:val="20"/>
              </w:rPr>
            </w:pPr>
            <w:r w:rsidRPr="006262F8">
              <w:rPr>
                <w:b/>
                <w:bCs/>
                <w:sz w:val="20"/>
                <w:szCs w:val="20"/>
              </w:rPr>
              <w:t>2024</w:t>
            </w:r>
          </w:p>
        </w:tc>
        <w:tc>
          <w:tcPr>
            <w:tcW w:w="1059" w:type="dxa"/>
          </w:tcPr>
          <w:p w14:paraId="1C3215D8" w14:textId="77777777" w:rsidR="006262F8" w:rsidRPr="006262F8" w:rsidRDefault="006262F8" w:rsidP="006262F8">
            <w:pPr>
              <w:spacing w:line="240" w:lineRule="auto"/>
              <w:rPr>
                <w:sz w:val="20"/>
                <w:szCs w:val="20"/>
              </w:rPr>
            </w:pPr>
          </w:p>
        </w:tc>
        <w:tc>
          <w:tcPr>
            <w:tcW w:w="1059" w:type="dxa"/>
          </w:tcPr>
          <w:p w14:paraId="487CCAC6" w14:textId="77777777" w:rsidR="006262F8" w:rsidRPr="006262F8" w:rsidRDefault="006262F8" w:rsidP="006262F8">
            <w:pPr>
              <w:spacing w:line="240" w:lineRule="auto"/>
              <w:rPr>
                <w:sz w:val="20"/>
                <w:szCs w:val="20"/>
              </w:rPr>
            </w:pPr>
          </w:p>
        </w:tc>
        <w:tc>
          <w:tcPr>
            <w:tcW w:w="1059" w:type="dxa"/>
          </w:tcPr>
          <w:p w14:paraId="767BD675" w14:textId="77777777" w:rsidR="006262F8" w:rsidRPr="006262F8" w:rsidRDefault="006262F8" w:rsidP="006262F8">
            <w:pPr>
              <w:spacing w:line="240" w:lineRule="auto"/>
              <w:rPr>
                <w:sz w:val="20"/>
                <w:szCs w:val="20"/>
              </w:rPr>
            </w:pPr>
          </w:p>
        </w:tc>
        <w:tc>
          <w:tcPr>
            <w:tcW w:w="1059" w:type="dxa"/>
          </w:tcPr>
          <w:p w14:paraId="07DF401E" w14:textId="77777777" w:rsidR="006262F8" w:rsidRPr="006262F8" w:rsidRDefault="006262F8" w:rsidP="006262F8">
            <w:pPr>
              <w:spacing w:line="240" w:lineRule="auto"/>
              <w:rPr>
                <w:sz w:val="20"/>
                <w:szCs w:val="20"/>
              </w:rPr>
            </w:pPr>
          </w:p>
        </w:tc>
        <w:tc>
          <w:tcPr>
            <w:tcW w:w="1059" w:type="dxa"/>
          </w:tcPr>
          <w:p w14:paraId="1AAB6AE2" w14:textId="77777777" w:rsidR="006262F8" w:rsidRPr="006262F8" w:rsidRDefault="006262F8" w:rsidP="006262F8">
            <w:pPr>
              <w:spacing w:line="240" w:lineRule="auto"/>
              <w:rPr>
                <w:sz w:val="20"/>
                <w:szCs w:val="20"/>
              </w:rPr>
            </w:pPr>
          </w:p>
        </w:tc>
        <w:tc>
          <w:tcPr>
            <w:tcW w:w="1060" w:type="dxa"/>
          </w:tcPr>
          <w:p w14:paraId="3D302B7B" w14:textId="77777777" w:rsidR="006262F8" w:rsidRPr="006262F8" w:rsidRDefault="006262F8" w:rsidP="006262F8">
            <w:pPr>
              <w:spacing w:line="240" w:lineRule="auto"/>
              <w:rPr>
                <w:sz w:val="20"/>
                <w:szCs w:val="20"/>
              </w:rPr>
            </w:pPr>
          </w:p>
        </w:tc>
      </w:tr>
      <w:tr w:rsidR="006262F8" w:rsidRPr="006262F8" w14:paraId="43778F99" w14:textId="77777777" w:rsidTr="006262F8">
        <w:trPr>
          <w:trHeight w:hRule="exact" w:val="255"/>
        </w:trPr>
        <w:tc>
          <w:tcPr>
            <w:tcW w:w="3504" w:type="dxa"/>
          </w:tcPr>
          <w:p w14:paraId="48322333" w14:textId="77777777" w:rsidR="006262F8" w:rsidRPr="006262F8" w:rsidRDefault="006262F8" w:rsidP="006262F8">
            <w:pPr>
              <w:spacing w:line="240" w:lineRule="auto"/>
              <w:rPr>
                <w:sz w:val="20"/>
                <w:szCs w:val="20"/>
              </w:rPr>
            </w:pPr>
            <w:r w:rsidRPr="006262F8">
              <w:rPr>
                <w:sz w:val="20"/>
                <w:szCs w:val="20"/>
              </w:rPr>
              <w:t>Gross settled:</w:t>
            </w:r>
          </w:p>
        </w:tc>
        <w:tc>
          <w:tcPr>
            <w:tcW w:w="1059" w:type="dxa"/>
          </w:tcPr>
          <w:p w14:paraId="467D2E2C" w14:textId="77777777" w:rsidR="006262F8" w:rsidRPr="006262F8" w:rsidRDefault="006262F8" w:rsidP="006262F8">
            <w:pPr>
              <w:spacing w:line="240" w:lineRule="auto"/>
              <w:rPr>
                <w:sz w:val="20"/>
                <w:szCs w:val="20"/>
              </w:rPr>
            </w:pPr>
          </w:p>
        </w:tc>
        <w:tc>
          <w:tcPr>
            <w:tcW w:w="1059" w:type="dxa"/>
          </w:tcPr>
          <w:p w14:paraId="4B61353C" w14:textId="77777777" w:rsidR="006262F8" w:rsidRPr="006262F8" w:rsidRDefault="006262F8" w:rsidP="006262F8">
            <w:pPr>
              <w:spacing w:line="240" w:lineRule="auto"/>
              <w:rPr>
                <w:sz w:val="20"/>
                <w:szCs w:val="20"/>
              </w:rPr>
            </w:pPr>
          </w:p>
        </w:tc>
        <w:tc>
          <w:tcPr>
            <w:tcW w:w="1059" w:type="dxa"/>
          </w:tcPr>
          <w:p w14:paraId="6B44242C" w14:textId="77777777" w:rsidR="006262F8" w:rsidRPr="006262F8" w:rsidRDefault="006262F8" w:rsidP="006262F8">
            <w:pPr>
              <w:spacing w:line="240" w:lineRule="auto"/>
              <w:rPr>
                <w:sz w:val="20"/>
                <w:szCs w:val="20"/>
              </w:rPr>
            </w:pPr>
          </w:p>
        </w:tc>
        <w:tc>
          <w:tcPr>
            <w:tcW w:w="1059" w:type="dxa"/>
          </w:tcPr>
          <w:p w14:paraId="302CA2F9" w14:textId="77777777" w:rsidR="006262F8" w:rsidRPr="006262F8" w:rsidRDefault="006262F8" w:rsidP="006262F8">
            <w:pPr>
              <w:spacing w:line="240" w:lineRule="auto"/>
              <w:rPr>
                <w:sz w:val="20"/>
                <w:szCs w:val="20"/>
              </w:rPr>
            </w:pPr>
          </w:p>
        </w:tc>
        <w:tc>
          <w:tcPr>
            <w:tcW w:w="1059" w:type="dxa"/>
          </w:tcPr>
          <w:p w14:paraId="3B74EF04" w14:textId="77777777" w:rsidR="006262F8" w:rsidRPr="006262F8" w:rsidRDefault="006262F8" w:rsidP="006262F8">
            <w:pPr>
              <w:spacing w:line="240" w:lineRule="auto"/>
              <w:rPr>
                <w:sz w:val="20"/>
                <w:szCs w:val="20"/>
              </w:rPr>
            </w:pPr>
          </w:p>
        </w:tc>
        <w:tc>
          <w:tcPr>
            <w:tcW w:w="1060" w:type="dxa"/>
          </w:tcPr>
          <w:p w14:paraId="10024E03" w14:textId="77777777" w:rsidR="006262F8" w:rsidRPr="006262F8" w:rsidRDefault="006262F8" w:rsidP="006262F8">
            <w:pPr>
              <w:spacing w:line="240" w:lineRule="auto"/>
              <w:rPr>
                <w:sz w:val="20"/>
                <w:szCs w:val="20"/>
              </w:rPr>
            </w:pPr>
          </w:p>
        </w:tc>
      </w:tr>
      <w:tr w:rsidR="006262F8" w:rsidRPr="006262F8" w14:paraId="36DF7444" w14:textId="77777777" w:rsidTr="006262F8">
        <w:trPr>
          <w:trHeight w:hRule="exact" w:val="340"/>
        </w:trPr>
        <w:tc>
          <w:tcPr>
            <w:tcW w:w="3504" w:type="dxa"/>
          </w:tcPr>
          <w:p w14:paraId="5CCCB77F" w14:textId="77777777" w:rsidR="006262F8" w:rsidRPr="006262F8" w:rsidRDefault="006262F8" w:rsidP="006262F8">
            <w:pPr>
              <w:spacing w:line="240" w:lineRule="auto"/>
              <w:rPr>
                <w:sz w:val="20"/>
                <w:szCs w:val="20"/>
              </w:rPr>
            </w:pPr>
            <w:r w:rsidRPr="006262F8">
              <w:rPr>
                <w:sz w:val="20"/>
                <w:szCs w:val="20"/>
              </w:rPr>
              <w:t>Fuel forward contracts</w:t>
            </w:r>
          </w:p>
        </w:tc>
        <w:tc>
          <w:tcPr>
            <w:tcW w:w="1059" w:type="dxa"/>
          </w:tcPr>
          <w:p w14:paraId="34A877F3" w14:textId="77777777" w:rsidR="006262F8" w:rsidRPr="006262F8" w:rsidRDefault="006262F8" w:rsidP="006262F8">
            <w:pPr>
              <w:spacing w:line="240" w:lineRule="auto"/>
              <w:rPr>
                <w:sz w:val="20"/>
                <w:szCs w:val="20"/>
              </w:rPr>
            </w:pPr>
            <w:r w:rsidRPr="006262F8">
              <w:rPr>
                <w:sz w:val="20"/>
                <w:szCs w:val="20"/>
              </w:rPr>
              <w:t>-</w:t>
            </w:r>
          </w:p>
        </w:tc>
        <w:tc>
          <w:tcPr>
            <w:tcW w:w="1059" w:type="dxa"/>
          </w:tcPr>
          <w:p w14:paraId="3E0E85EF" w14:textId="77777777" w:rsidR="006262F8" w:rsidRPr="006262F8" w:rsidRDefault="006262F8" w:rsidP="006262F8">
            <w:pPr>
              <w:spacing w:line="240" w:lineRule="auto"/>
              <w:rPr>
                <w:sz w:val="20"/>
                <w:szCs w:val="20"/>
              </w:rPr>
            </w:pPr>
            <w:r w:rsidRPr="006262F8">
              <w:rPr>
                <w:sz w:val="20"/>
                <w:szCs w:val="20"/>
              </w:rPr>
              <w:t>252</w:t>
            </w:r>
          </w:p>
        </w:tc>
        <w:tc>
          <w:tcPr>
            <w:tcW w:w="1059" w:type="dxa"/>
          </w:tcPr>
          <w:p w14:paraId="4E3507CD" w14:textId="77777777" w:rsidR="006262F8" w:rsidRPr="006262F8" w:rsidRDefault="006262F8" w:rsidP="006262F8">
            <w:pPr>
              <w:spacing w:line="240" w:lineRule="auto"/>
              <w:rPr>
                <w:sz w:val="20"/>
                <w:szCs w:val="20"/>
              </w:rPr>
            </w:pPr>
            <w:r w:rsidRPr="006262F8">
              <w:rPr>
                <w:sz w:val="20"/>
                <w:szCs w:val="20"/>
              </w:rPr>
              <w:t>1,135</w:t>
            </w:r>
          </w:p>
        </w:tc>
        <w:tc>
          <w:tcPr>
            <w:tcW w:w="1059" w:type="dxa"/>
          </w:tcPr>
          <w:p w14:paraId="6379257A" w14:textId="77777777" w:rsidR="006262F8" w:rsidRPr="006262F8" w:rsidRDefault="006262F8" w:rsidP="006262F8">
            <w:pPr>
              <w:spacing w:line="240" w:lineRule="auto"/>
              <w:rPr>
                <w:sz w:val="20"/>
                <w:szCs w:val="20"/>
              </w:rPr>
            </w:pPr>
            <w:r w:rsidRPr="006262F8">
              <w:rPr>
                <w:sz w:val="20"/>
                <w:szCs w:val="20"/>
              </w:rPr>
              <w:t>(260)</w:t>
            </w:r>
          </w:p>
        </w:tc>
        <w:tc>
          <w:tcPr>
            <w:tcW w:w="1059" w:type="dxa"/>
          </w:tcPr>
          <w:p w14:paraId="399FA9A3" w14:textId="77777777" w:rsidR="006262F8" w:rsidRPr="006262F8" w:rsidRDefault="006262F8" w:rsidP="006262F8">
            <w:pPr>
              <w:spacing w:line="240" w:lineRule="auto"/>
              <w:rPr>
                <w:sz w:val="20"/>
                <w:szCs w:val="20"/>
              </w:rPr>
            </w:pPr>
            <w:r w:rsidRPr="006262F8">
              <w:rPr>
                <w:sz w:val="20"/>
                <w:szCs w:val="20"/>
              </w:rPr>
              <w:t>-</w:t>
            </w:r>
          </w:p>
        </w:tc>
        <w:tc>
          <w:tcPr>
            <w:tcW w:w="1060" w:type="dxa"/>
          </w:tcPr>
          <w:p w14:paraId="3D3BB6C5" w14:textId="77777777" w:rsidR="006262F8" w:rsidRPr="006262F8" w:rsidRDefault="006262F8" w:rsidP="006262F8">
            <w:pPr>
              <w:spacing w:line="240" w:lineRule="auto"/>
              <w:rPr>
                <w:sz w:val="20"/>
                <w:szCs w:val="20"/>
              </w:rPr>
            </w:pPr>
            <w:r w:rsidRPr="006262F8">
              <w:rPr>
                <w:sz w:val="20"/>
                <w:szCs w:val="20"/>
              </w:rPr>
              <w:t>1,127</w:t>
            </w:r>
          </w:p>
        </w:tc>
      </w:tr>
      <w:tr w:rsidR="006262F8" w:rsidRPr="006262F8" w14:paraId="174DBF72" w14:textId="77777777" w:rsidTr="006262F8">
        <w:trPr>
          <w:trHeight w:hRule="exact" w:val="340"/>
        </w:trPr>
        <w:tc>
          <w:tcPr>
            <w:tcW w:w="3504" w:type="dxa"/>
          </w:tcPr>
          <w:p w14:paraId="357C203B" w14:textId="77777777" w:rsidR="006262F8" w:rsidRPr="006262F8" w:rsidRDefault="006262F8" w:rsidP="006262F8">
            <w:pPr>
              <w:spacing w:line="240" w:lineRule="auto"/>
              <w:rPr>
                <w:sz w:val="20"/>
                <w:szCs w:val="20"/>
              </w:rPr>
            </w:pPr>
          </w:p>
        </w:tc>
        <w:tc>
          <w:tcPr>
            <w:tcW w:w="1059" w:type="dxa"/>
          </w:tcPr>
          <w:p w14:paraId="75ED54DE" w14:textId="77777777" w:rsidR="006262F8" w:rsidRPr="006262F8" w:rsidRDefault="006262F8" w:rsidP="006262F8">
            <w:pPr>
              <w:spacing w:line="240" w:lineRule="auto"/>
              <w:rPr>
                <w:sz w:val="20"/>
                <w:szCs w:val="20"/>
              </w:rPr>
            </w:pPr>
            <w:r w:rsidRPr="006262F8">
              <w:rPr>
                <w:b/>
                <w:bCs/>
                <w:sz w:val="20"/>
                <w:szCs w:val="20"/>
              </w:rPr>
              <w:t>-</w:t>
            </w:r>
          </w:p>
        </w:tc>
        <w:tc>
          <w:tcPr>
            <w:tcW w:w="1059" w:type="dxa"/>
          </w:tcPr>
          <w:p w14:paraId="2CDDB5E5" w14:textId="77777777" w:rsidR="006262F8" w:rsidRPr="006262F8" w:rsidRDefault="006262F8" w:rsidP="006262F8">
            <w:pPr>
              <w:spacing w:line="240" w:lineRule="auto"/>
              <w:rPr>
                <w:sz w:val="20"/>
                <w:szCs w:val="20"/>
              </w:rPr>
            </w:pPr>
            <w:r w:rsidRPr="006262F8">
              <w:rPr>
                <w:b/>
                <w:bCs/>
                <w:sz w:val="20"/>
                <w:szCs w:val="20"/>
              </w:rPr>
              <w:t>252</w:t>
            </w:r>
          </w:p>
        </w:tc>
        <w:tc>
          <w:tcPr>
            <w:tcW w:w="1059" w:type="dxa"/>
          </w:tcPr>
          <w:p w14:paraId="5097E596" w14:textId="77777777" w:rsidR="006262F8" w:rsidRPr="006262F8" w:rsidRDefault="006262F8" w:rsidP="006262F8">
            <w:pPr>
              <w:spacing w:line="240" w:lineRule="auto"/>
              <w:rPr>
                <w:sz w:val="20"/>
                <w:szCs w:val="20"/>
              </w:rPr>
            </w:pPr>
            <w:r w:rsidRPr="006262F8">
              <w:rPr>
                <w:b/>
                <w:bCs/>
                <w:sz w:val="20"/>
                <w:szCs w:val="20"/>
              </w:rPr>
              <w:t>1,135</w:t>
            </w:r>
          </w:p>
        </w:tc>
        <w:tc>
          <w:tcPr>
            <w:tcW w:w="1059" w:type="dxa"/>
          </w:tcPr>
          <w:p w14:paraId="6E4F8BB3" w14:textId="77777777" w:rsidR="006262F8" w:rsidRPr="006262F8" w:rsidRDefault="006262F8" w:rsidP="006262F8">
            <w:pPr>
              <w:spacing w:line="240" w:lineRule="auto"/>
              <w:rPr>
                <w:sz w:val="20"/>
                <w:szCs w:val="20"/>
              </w:rPr>
            </w:pPr>
            <w:r w:rsidRPr="006262F8">
              <w:rPr>
                <w:b/>
                <w:bCs/>
                <w:sz w:val="20"/>
                <w:szCs w:val="20"/>
              </w:rPr>
              <w:t>(260)</w:t>
            </w:r>
          </w:p>
        </w:tc>
        <w:tc>
          <w:tcPr>
            <w:tcW w:w="1059" w:type="dxa"/>
          </w:tcPr>
          <w:p w14:paraId="7CAF348E" w14:textId="77777777" w:rsidR="006262F8" w:rsidRPr="006262F8" w:rsidRDefault="006262F8" w:rsidP="006262F8">
            <w:pPr>
              <w:spacing w:line="240" w:lineRule="auto"/>
              <w:rPr>
                <w:sz w:val="20"/>
                <w:szCs w:val="20"/>
              </w:rPr>
            </w:pPr>
            <w:r w:rsidRPr="006262F8">
              <w:rPr>
                <w:b/>
                <w:bCs/>
                <w:sz w:val="20"/>
                <w:szCs w:val="20"/>
              </w:rPr>
              <w:t>-</w:t>
            </w:r>
          </w:p>
        </w:tc>
        <w:tc>
          <w:tcPr>
            <w:tcW w:w="1060" w:type="dxa"/>
          </w:tcPr>
          <w:p w14:paraId="68802664" w14:textId="77777777" w:rsidR="006262F8" w:rsidRPr="006262F8" w:rsidRDefault="006262F8" w:rsidP="006262F8">
            <w:pPr>
              <w:spacing w:line="240" w:lineRule="auto"/>
              <w:rPr>
                <w:sz w:val="20"/>
                <w:szCs w:val="20"/>
              </w:rPr>
            </w:pPr>
            <w:r w:rsidRPr="006262F8">
              <w:rPr>
                <w:b/>
                <w:bCs/>
                <w:sz w:val="20"/>
                <w:szCs w:val="20"/>
              </w:rPr>
              <w:t>1,127</w:t>
            </w:r>
          </w:p>
        </w:tc>
      </w:tr>
    </w:tbl>
    <w:p w14:paraId="7AE6D029" w14:textId="77777777" w:rsidR="006262F8" w:rsidRDefault="006262F8" w:rsidP="006262F8"/>
    <w:p w14:paraId="20E7C419" w14:textId="77777777" w:rsidR="006262F8" w:rsidRPr="006262F8" w:rsidRDefault="006262F8" w:rsidP="007430D9">
      <w:pPr>
        <w:pStyle w:val="Heading2"/>
      </w:pPr>
      <w:bookmarkStart w:id="315" w:name="_Toc213058747"/>
      <w:r w:rsidRPr="006262F8">
        <w:t>23. Related Party Transactions</w:t>
      </w:r>
      <w:bookmarkEnd w:id="315"/>
    </w:p>
    <w:p w14:paraId="765AB325" w14:textId="77777777" w:rsidR="006262F8" w:rsidRDefault="006262F8" w:rsidP="006262F8">
      <w:pPr>
        <w:rPr>
          <w:color w:val="000000"/>
        </w:rPr>
      </w:pPr>
      <w:r w:rsidRPr="006262F8">
        <w:rPr>
          <w:color w:val="000000"/>
        </w:rPr>
        <w:t>The Company is a Public Corporation sponsored by the Department for Infrastructure, its controlling party. The Department is regarded as a related party.  During the period, the Company and its subsidiaries have had various material transactions with the Department including:</w:t>
      </w:r>
    </w:p>
    <w:p w14:paraId="0A4E210D" w14:textId="77777777" w:rsidR="00007C8C" w:rsidRPr="006262F8" w:rsidRDefault="00007C8C" w:rsidP="006262F8">
      <w:pPr>
        <w:rPr>
          <w:color w:val="000000"/>
        </w:rPr>
      </w:pPr>
    </w:p>
    <w:tbl>
      <w:tblPr>
        <w:tblStyle w:val="TableGrid"/>
        <w:tblW w:w="0" w:type="auto"/>
        <w:tblLayout w:type="fixed"/>
        <w:tblLook w:val="0000" w:firstRow="0" w:lastRow="0" w:firstColumn="0" w:lastColumn="0" w:noHBand="0" w:noVBand="0"/>
      </w:tblPr>
      <w:tblGrid>
        <w:gridCol w:w="5524"/>
        <w:gridCol w:w="1417"/>
        <w:gridCol w:w="1276"/>
      </w:tblGrid>
      <w:tr w:rsidR="006262F8" w:rsidRPr="006262F8" w14:paraId="4CC7023C" w14:textId="77777777" w:rsidTr="00007C8C">
        <w:trPr>
          <w:trHeight w:val="624"/>
        </w:trPr>
        <w:tc>
          <w:tcPr>
            <w:tcW w:w="5524" w:type="dxa"/>
            <w:vAlign w:val="center"/>
          </w:tcPr>
          <w:p w14:paraId="48974A66" w14:textId="77777777" w:rsidR="006262F8" w:rsidRPr="006262F8" w:rsidRDefault="006262F8" w:rsidP="006262F8">
            <w:pPr>
              <w:autoSpaceDE w:val="0"/>
              <w:autoSpaceDN w:val="0"/>
              <w:adjustRightInd w:val="0"/>
              <w:spacing w:line="240" w:lineRule="auto"/>
              <w:jc w:val="right"/>
              <w:rPr>
                <w:rFonts w:cs="Arial"/>
                <w:color w:val="000000" w:themeColor="text1"/>
                <w:sz w:val="20"/>
                <w:szCs w:val="20"/>
              </w:rPr>
            </w:pPr>
          </w:p>
        </w:tc>
        <w:tc>
          <w:tcPr>
            <w:tcW w:w="1417" w:type="dxa"/>
            <w:vAlign w:val="center"/>
          </w:tcPr>
          <w:p w14:paraId="6F0DF767" w14:textId="77777777" w:rsidR="006262F8" w:rsidRPr="006262F8" w:rsidRDefault="006262F8" w:rsidP="006262F8">
            <w:pPr>
              <w:tabs>
                <w:tab w:val="decimal" w:pos="911"/>
              </w:tabs>
              <w:autoSpaceDE w:val="0"/>
              <w:autoSpaceDN w:val="0"/>
              <w:adjustRightInd w:val="0"/>
              <w:spacing w:line="240" w:lineRule="auto"/>
              <w:jc w:val="right"/>
              <w:textAlignment w:val="center"/>
              <w:rPr>
                <w:rFonts w:cs="Arial"/>
                <w:b/>
                <w:bCs/>
                <w:color w:val="000000" w:themeColor="text1"/>
                <w:sz w:val="20"/>
                <w:szCs w:val="20"/>
              </w:rPr>
            </w:pPr>
            <w:r w:rsidRPr="006262F8">
              <w:rPr>
                <w:rFonts w:cs="Arial"/>
                <w:b/>
                <w:bCs/>
                <w:color w:val="000000" w:themeColor="text1"/>
                <w:sz w:val="20"/>
                <w:szCs w:val="20"/>
              </w:rPr>
              <w:t>2025</w:t>
            </w:r>
          </w:p>
          <w:p w14:paraId="05D92E25"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b/>
                <w:bCs/>
                <w:color w:val="000000" w:themeColor="text1"/>
                <w:sz w:val="20"/>
                <w:szCs w:val="20"/>
                <w:rtl/>
                <w:lang w:bidi="ar-YE"/>
              </w:rPr>
              <w:t>£</w:t>
            </w:r>
            <w:r w:rsidRPr="006262F8">
              <w:rPr>
                <w:rFonts w:cs="Arial"/>
                <w:b/>
                <w:bCs/>
                <w:color w:val="000000" w:themeColor="text1"/>
                <w:sz w:val="20"/>
                <w:szCs w:val="20"/>
                <w:lang w:bidi="ar-YE"/>
              </w:rPr>
              <w:t>m</w:t>
            </w:r>
          </w:p>
        </w:tc>
        <w:tc>
          <w:tcPr>
            <w:tcW w:w="1276" w:type="dxa"/>
            <w:vAlign w:val="center"/>
          </w:tcPr>
          <w:p w14:paraId="77CC015A" w14:textId="77777777" w:rsidR="006262F8" w:rsidRPr="006262F8" w:rsidRDefault="006262F8" w:rsidP="006262F8">
            <w:pPr>
              <w:tabs>
                <w:tab w:val="decimal" w:pos="911"/>
              </w:tabs>
              <w:autoSpaceDE w:val="0"/>
              <w:autoSpaceDN w:val="0"/>
              <w:adjustRightInd w:val="0"/>
              <w:spacing w:line="240" w:lineRule="auto"/>
              <w:jc w:val="right"/>
              <w:textAlignment w:val="center"/>
              <w:rPr>
                <w:rFonts w:cs="Arial"/>
                <w:b/>
                <w:bCs/>
                <w:color w:val="000000" w:themeColor="text1"/>
                <w:sz w:val="20"/>
                <w:szCs w:val="20"/>
              </w:rPr>
            </w:pPr>
            <w:r w:rsidRPr="006262F8">
              <w:rPr>
                <w:rFonts w:cs="Arial"/>
                <w:b/>
                <w:bCs/>
                <w:color w:val="000000" w:themeColor="text1"/>
                <w:sz w:val="20"/>
                <w:szCs w:val="20"/>
              </w:rPr>
              <w:t>2024</w:t>
            </w:r>
          </w:p>
          <w:p w14:paraId="685CD793"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b/>
                <w:bCs/>
                <w:color w:val="000000" w:themeColor="text1"/>
                <w:sz w:val="20"/>
                <w:szCs w:val="20"/>
                <w:rtl/>
                <w:lang w:bidi="ar-YE"/>
              </w:rPr>
              <w:t>£</w:t>
            </w:r>
            <w:r w:rsidRPr="006262F8">
              <w:rPr>
                <w:rFonts w:cs="Arial"/>
                <w:b/>
                <w:bCs/>
                <w:color w:val="000000" w:themeColor="text1"/>
                <w:sz w:val="20"/>
                <w:szCs w:val="20"/>
                <w:lang w:bidi="ar-YE"/>
              </w:rPr>
              <w:t>m</w:t>
            </w:r>
          </w:p>
        </w:tc>
      </w:tr>
      <w:tr w:rsidR="006262F8" w:rsidRPr="006262F8" w14:paraId="67487CD5" w14:textId="77777777" w:rsidTr="00007C8C">
        <w:trPr>
          <w:trHeight w:hRule="exact" w:val="340"/>
        </w:trPr>
        <w:tc>
          <w:tcPr>
            <w:tcW w:w="5524" w:type="dxa"/>
          </w:tcPr>
          <w:p w14:paraId="09AD9DDA" w14:textId="77777777" w:rsidR="006262F8" w:rsidRPr="006262F8" w:rsidRDefault="006262F8" w:rsidP="006262F8">
            <w:pPr>
              <w:autoSpaceDE w:val="0"/>
              <w:autoSpaceDN w:val="0"/>
              <w:adjustRightInd w:val="0"/>
              <w:spacing w:after="100" w:line="240" w:lineRule="auto"/>
              <w:textAlignment w:val="center"/>
              <w:rPr>
                <w:rFonts w:cs="Arial"/>
                <w:color w:val="000000" w:themeColor="text1"/>
                <w:sz w:val="20"/>
                <w:szCs w:val="20"/>
              </w:rPr>
            </w:pPr>
            <w:r w:rsidRPr="006262F8">
              <w:rPr>
                <w:rFonts w:cs="Arial"/>
                <w:color w:val="000000" w:themeColor="text1"/>
                <w:sz w:val="20"/>
                <w:szCs w:val="20"/>
              </w:rPr>
              <w:t>Capital grants</w:t>
            </w:r>
          </w:p>
        </w:tc>
        <w:tc>
          <w:tcPr>
            <w:tcW w:w="1417" w:type="dxa"/>
            <w:vAlign w:val="center"/>
          </w:tcPr>
          <w:p w14:paraId="648D76CE"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250.3</w:t>
            </w:r>
          </w:p>
        </w:tc>
        <w:tc>
          <w:tcPr>
            <w:tcW w:w="1276" w:type="dxa"/>
            <w:vAlign w:val="center"/>
          </w:tcPr>
          <w:p w14:paraId="2213A909"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275.5</w:t>
            </w:r>
          </w:p>
        </w:tc>
      </w:tr>
      <w:tr w:rsidR="006262F8" w:rsidRPr="006262F8" w14:paraId="6C99873E" w14:textId="77777777" w:rsidTr="00007C8C">
        <w:trPr>
          <w:trHeight w:hRule="exact" w:val="340"/>
        </w:trPr>
        <w:tc>
          <w:tcPr>
            <w:tcW w:w="5524" w:type="dxa"/>
          </w:tcPr>
          <w:p w14:paraId="62E9EAEB" w14:textId="77777777" w:rsidR="006262F8" w:rsidRPr="006262F8" w:rsidRDefault="006262F8" w:rsidP="006262F8">
            <w:pPr>
              <w:autoSpaceDE w:val="0"/>
              <w:autoSpaceDN w:val="0"/>
              <w:adjustRightInd w:val="0"/>
              <w:spacing w:after="100" w:line="240" w:lineRule="auto"/>
              <w:textAlignment w:val="center"/>
              <w:rPr>
                <w:rFonts w:cs="Arial"/>
                <w:color w:val="000000" w:themeColor="text1"/>
                <w:sz w:val="20"/>
                <w:szCs w:val="20"/>
              </w:rPr>
            </w:pPr>
            <w:r w:rsidRPr="006262F8">
              <w:rPr>
                <w:rFonts w:cs="Arial"/>
                <w:color w:val="000000" w:themeColor="text1"/>
                <w:sz w:val="20"/>
                <w:szCs w:val="20"/>
              </w:rPr>
              <w:t>Public Service Obligation compensation</w:t>
            </w:r>
          </w:p>
        </w:tc>
        <w:tc>
          <w:tcPr>
            <w:tcW w:w="1417" w:type="dxa"/>
            <w:vAlign w:val="center"/>
          </w:tcPr>
          <w:p w14:paraId="42E616A8"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61.8</w:t>
            </w:r>
          </w:p>
        </w:tc>
        <w:tc>
          <w:tcPr>
            <w:tcW w:w="1276" w:type="dxa"/>
            <w:vAlign w:val="center"/>
          </w:tcPr>
          <w:p w14:paraId="10000A58"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55.5</w:t>
            </w:r>
          </w:p>
        </w:tc>
      </w:tr>
      <w:tr w:rsidR="006262F8" w:rsidRPr="006262F8" w14:paraId="44AF4FA0" w14:textId="77777777" w:rsidTr="00007C8C">
        <w:trPr>
          <w:trHeight w:hRule="exact" w:val="340"/>
        </w:trPr>
        <w:tc>
          <w:tcPr>
            <w:tcW w:w="5524" w:type="dxa"/>
          </w:tcPr>
          <w:p w14:paraId="58E634FB" w14:textId="77777777" w:rsidR="006262F8" w:rsidRPr="006262F8" w:rsidRDefault="006262F8" w:rsidP="006262F8">
            <w:pPr>
              <w:autoSpaceDE w:val="0"/>
              <w:autoSpaceDN w:val="0"/>
              <w:adjustRightInd w:val="0"/>
              <w:spacing w:after="100" w:line="240" w:lineRule="auto"/>
              <w:textAlignment w:val="center"/>
              <w:rPr>
                <w:rFonts w:cs="Arial"/>
                <w:color w:val="000000" w:themeColor="text1"/>
                <w:sz w:val="20"/>
                <w:szCs w:val="20"/>
              </w:rPr>
            </w:pPr>
            <w:r w:rsidRPr="006262F8">
              <w:rPr>
                <w:rFonts w:cs="Arial"/>
                <w:color w:val="000000" w:themeColor="text1"/>
                <w:sz w:val="20"/>
                <w:szCs w:val="20"/>
              </w:rPr>
              <w:t>Concessionary fare compensation for a range of groups</w:t>
            </w:r>
          </w:p>
        </w:tc>
        <w:tc>
          <w:tcPr>
            <w:tcW w:w="1417" w:type="dxa"/>
            <w:vAlign w:val="center"/>
          </w:tcPr>
          <w:p w14:paraId="128B6AC3"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49.9</w:t>
            </w:r>
          </w:p>
        </w:tc>
        <w:tc>
          <w:tcPr>
            <w:tcW w:w="1276" w:type="dxa"/>
            <w:vAlign w:val="center"/>
          </w:tcPr>
          <w:p w14:paraId="098B6BB2"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43.7</w:t>
            </w:r>
          </w:p>
        </w:tc>
      </w:tr>
      <w:tr w:rsidR="006262F8" w:rsidRPr="006262F8" w14:paraId="3E876C45" w14:textId="77777777" w:rsidTr="00007C8C">
        <w:trPr>
          <w:trHeight w:hRule="exact" w:val="340"/>
        </w:trPr>
        <w:tc>
          <w:tcPr>
            <w:tcW w:w="5524" w:type="dxa"/>
          </w:tcPr>
          <w:p w14:paraId="148E7D4D" w14:textId="77777777" w:rsidR="006262F8" w:rsidRPr="006262F8" w:rsidRDefault="006262F8" w:rsidP="006262F8">
            <w:pPr>
              <w:autoSpaceDE w:val="0"/>
              <w:autoSpaceDN w:val="0"/>
              <w:adjustRightInd w:val="0"/>
              <w:spacing w:after="100" w:line="240" w:lineRule="auto"/>
              <w:textAlignment w:val="center"/>
              <w:rPr>
                <w:rFonts w:cs="Arial"/>
                <w:color w:val="000000" w:themeColor="text1"/>
                <w:sz w:val="20"/>
                <w:szCs w:val="20"/>
              </w:rPr>
            </w:pPr>
            <w:r w:rsidRPr="006262F8">
              <w:rPr>
                <w:rFonts w:cs="Arial"/>
                <w:color w:val="000000" w:themeColor="text1"/>
                <w:sz w:val="20"/>
                <w:szCs w:val="20"/>
              </w:rPr>
              <w:t>Other revenue funding</w:t>
            </w:r>
          </w:p>
        </w:tc>
        <w:tc>
          <w:tcPr>
            <w:tcW w:w="1417" w:type="dxa"/>
            <w:vAlign w:val="center"/>
          </w:tcPr>
          <w:p w14:paraId="3969B416"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53.2</w:t>
            </w:r>
          </w:p>
        </w:tc>
        <w:tc>
          <w:tcPr>
            <w:tcW w:w="1276" w:type="dxa"/>
            <w:vAlign w:val="center"/>
          </w:tcPr>
          <w:p w14:paraId="272E83EA" w14:textId="77777777" w:rsidR="006262F8" w:rsidRPr="006262F8" w:rsidRDefault="006262F8" w:rsidP="006262F8">
            <w:pPr>
              <w:tabs>
                <w:tab w:val="decimal" w:pos="911"/>
              </w:tabs>
              <w:autoSpaceDE w:val="0"/>
              <w:autoSpaceDN w:val="0"/>
              <w:adjustRightInd w:val="0"/>
              <w:spacing w:after="100" w:line="240" w:lineRule="auto"/>
              <w:ind w:left="420"/>
              <w:jc w:val="right"/>
              <w:textAlignment w:val="center"/>
              <w:rPr>
                <w:rFonts w:cs="Arial"/>
                <w:color w:val="000000" w:themeColor="text1"/>
                <w:sz w:val="20"/>
                <w:szCs w:val="20"/>
              </w:rPr>
            </w:pPr>
            <w:r w:rsidRPr="006262F8">
              <w:rPr>
                <w:rFonts w:cs="Arial"/>
                <w:color w:val="000000" w:themeColor="text1"/>
                <w:sz w:val="20"/>
                <w:szCs w:val="20"/>
              </w:rPr>
              <w:t>67.8</w:t>
            </w:r>
          </w:p>
        </w:tc>
      </w:tr>
    </w:tbl>
    <w:p w14:paraId="37037FBD" w14:textId="77777777" w:rsidR="006262F8" w:rsidRPr="006262F8" w:rsidRDefault="006262F8" w:rsidP="006262F8"/>
    <w:p w14:paraId="1DF29914" w14:textId="77777777" w:rsidR="00007C8C" w:rsidRPr="00007C8C" w:rsidRDefault="00007C8C" w:rsidP="00007C8C">
      <w:r w:rsidRPr="00007C8C">
        <w:t>The balance owed to the Group by the Department at the period-end was £5.2m (2024: £24.5m) in respect of revenue funding and £78.5m (2024: £99.8m) in respect of capital funding.</w:t>
      </w:r>
    </w:p>
    <w:p w14:paraId="7EE751B4" w14:textId="77777777" w:rsidR="00007C8C" w:rsidRPr="00007C8C" w:rsidRDefault="00007C8C" w:rsidP="00007C8C"/>
    <w:p w14:paraId="0B366480" w14:textId="77777777" w:rsidR="00007C8C" w:rsidRPr="00007C8C" w:rsidRDefault="00007C8C" w:rsidP="00007C8C">
      <w:r w:rsidRPr="00007C8C">
        <w:t xml:space="preserve">Balances and transactions between the Company and its subsidiaries, which are related parties, have been eliminated on consolidation and are not disclosed in this note. </w:t>
      </w:r>
    </w:p>
    <w:p w14:paraId="40BA2A96" w14:textId="77777777" w:rsidR="00007C8C" w:rsidRPr="00007C8C" w:rsidRDefault="00007C8C" w:rsidP="00007C8C"/>
    <w:p w14:paraId="41009D26" w14:textId="77777777" w:rsidR="00007C8C" w:rsidRPr="00007C8C" w:rsidRDefault="00007C8C" w:rsidP="00007C8C">
      <w:r w:rsidRPr="00007C8C">
        <w:t xml:space="preserve">In addition, as detailed in note 2 (“Inherited Pension and Compensation Payments”) to the financial statements, due to a statutory obligation the Company administers on behalf of the Department various pension schemes for which the Department funds any deficits. </w:t>
      </w:r>
    </w:p>
    <w:p w14:paraId="4F99A0C8" w14:textId="77777777" w:rsidR="00007C8C" w:rsidRPr="00007C8C" w:rsidRDefault="00007C8C" w:rsidP="00007C8C"/>
    <w:p w14:paraId="53B9FAA9" w14:textId="77777777" w:rsidR="00007C8C" w:rsidRDefault="00007C8C" w:rsidP="00007C8C">
      <w:r w:rsidRPr="00007C8C">
        <w:lastRenderedPageBreak/>
        <w:t>The remuneration of the Executive and Non-Executive Directors, who are the key management personnel of the Group, is set out below in aggregate for each of the categories specified in IAS 24 ‘Related Party Disclosures’.</w:t>
      </w:r>
    </w:p>
    <w:p w14:paraId="0235D0FE" w14:textId="1DF5CAFE" w:rsidR="00007C8C" w:rsidRDefault="00007C8C">
      <w:pPr>
        <w:spacing w:line="240" w:lineRule="auto"/>
      </w:pPr>
    </w:p>
    <w:tbl>
      <w:tblPr>
        <w:tblStyle w:val="TableGrid"/>
        <w:tblW w:w="0" w:type="auto"/>
        <w:tblLayout w:type="fixed"/>
        <w:tblLook w:val="0000" w:firstRow="0" w:lastRow="0" w:firstColumn="0" w:lastColumn="0" w:noHBand="0" w:noVBand="0"/>
      </w:tblPr>
      <w:tblGrid>
        <w:gridCol w:w="3823"/>
        <w:gridCol w:w="1559"/>
        <w:gridCol w:w="1417"/>
      </w:tblGrid>
      <w:tr w:rsidR="00007C8C" w:rsidRPr="00007C8C" w14:paraId="05915464" w14:textId="77777777" w:rsidTr="000525D5">
        <w:trPr>
          <w:trHeight w:val="624"/>
        </w:trPr>
        <w:tc>
          <w:tcPr>
            <w:tcW w:w="3823" w:type="dxa"/>
            <w:vAlign w:val="center"/>
          </w:tcPr>
          <w:p w14:paraId="03E40173" w14:textId="77777777" w:rsidR="00007C8C" w:rsidRPr="00007C8C" w:rsidRDefault="00007C8C" w:rsidP="00007C8C">
            <w:pPr>
              <w:spacing w:line="240" w:lineRule="auto"/>
              <w:rPr>
                <w:rFonts w:cs="Arial"/>
                <w:color w:val="000000" w:themeColor="text1"/>
                <w:sz w:val="20"/>
                <w:szCs w:val="20"/>
              </w:rPr>
            </w:pPr>
          </w:p>
        </w:tc>
        <w:tc>
          <w:tcPr>
            <w:tcW w:w="1559" w:type="dxa"/>
            <w:vAlign w:val="center"/>
          </w:tcPr>
          <w:p w14:paraId="5D183A7E" w14:textId="77777777" w:rsidR="00007C8C" w:rsidRPr="00007C8C" w:rsidRDefault="00007C8C" w:rsidP="00007C8C">
            <w:pPr>
              <w:spacing w:line="240" w:lineRule="auto"/>
              <w:rPr>
                <w:rFonts w:cs="Arial"/>
                <w:b/>
                <w:bCs/>
                <w:color w:val="000000" w:themeColor="text1"/>
                <w:sz w:val="20"/>
                <w:szCs w:val="20"/>
              </w:rPr>
            </w:pPr>
            <w:r w:rsidRPr="00007C8C">
              <w:rPr>
                <w:rFonts w:cs="Arial"/>
                <w:b/>
                <w:bCs/>
                <w:color w:val="000000" w:themeColor="text1"/>
                <w:sz w:val="20"/>
                <w:szCs w:val="20"/>
              </w:rPr>
              <w:t>2025</w:t>
            </w:r>
          </w:p>
          <w:p w14:paraId="0588E9F0" w14:textId="77777777" w:rsidR="00007C8C" w:rsidRPr="00007C8C" w:rsidRDefault="00007C8C" w:rsidP="00007C8C">
            <w:pPr>
              <w:spacing w:line="240" w:lineRule="auto"/>
              <w:rPr>
                <w:rFonts w:cs="Arial"/>
                <w:color w:val="000000" w:themeColor="text1"/>
                <w:sz w:val="20"/>
                <w:szCs w:val="20"/>
              </w:rPr>
            </w:pPr>
            <w:r w:rsidRPr="00007C8C">
              <w:rPr>
                <w:rFonts w:cs="Arial"/>
                <w:b/>
                <w:bCs/>
                <w:color w:val="000000" w:themeColor="text1"/>
                <w:sz w:val="20"/>
                <w:szCs w:val="20"/>
                <w:rtl/>
                <w:lang w:bidi="ar-YE"/>
              </w:rPr>
              <w:t>£’000</w:t>
            </w:r>
          </w:p>
        </w:tc>
        <w:tc>
          <w:tcPr>
            <w:tcW w:w="1417" w:type="dxa"/>
            <w:vAlign w:val="center"/>
          </w:tcPr>
          <w:p w14:paraId="708360D2" w14:textId="77777777" w:rsidR="00007C8C" w:rsidRPr="00007C8C" w:rsidRDefault="00007C8C" w:rsidP="00007C8C">
            <w:pPr>
              <w:spacing w:line="240" w:lineRule="auto"/>
              <w:rPr>
                <w:rFonts w:cs="Arial"/>
                <w:b/>
                <w:bCs/>
                <w:color w:val="000000" w:themeColor="text1"/>
                <w:sz w:val="20"/>
                <w:szCs w:val="20"/>
              </w:rPr>
            </w:pPr>
            <w:r w:rsidRPr="00007C8C">
              <w:rPr>
                <w:rFonts w:cs="Arial"/>
                <w:b/>
                <w:bCs/>
                <w:color w:val="000000" w:themeColor="text1"/>
                <w:sz w:val="20"/>
                <w:szCs w:val="20"/>
              </w:rPr>
              <w:t>2024</w:t>
            </w:r>
          </w:p>
          <w:p w14:paraId="7B2640D0" w14:textId="77777777" w:rsidR="00007C8C" w:rsidRPr="00007C8C" w:rsidRDefault="00007C8C" w:rsidP="00007C8C">
            <w:pPr>
              <w:spacing w:line="240" w:lineRule="auto"/>
              <w:rPr>
                <w:rFonts w:cs="Arial"/>
                <w:color w:val="000000" w:themeColor="text1"/>
                <w:sz w:val="20"/>
                <w:szCs w:val="20"/>
              </w:rPr>
            </w:pPr>
            <w:r w:rsidRPr="00007C8C">
              <w:rPr>
                <w:rFonts w:cs="Arial"/>
                <w:b/>
                <w:bCs/>
                <w:color w:val="000000" w:themeColor="text1"/>
                <w:sz w:val="20"/>
                <w:szCs w:val="20"/>
                <w:rtl/>
                <w:lang w:bidi="ar-YE"/>
              </w:rPr>
              <w:t>£’000</w:t>
            </w:r>
          </w:p>
        </w:tc>
      </w:tr>
      <w:tr w:rsidR="00007C8C" w:rsidRPr="00007C8C" w14:paraId="582EFACA" w14:textId="77777777" w:rsidTr="000525D5">
        <w:trPr>
          <w:trHeight w:val="340"/>
        </w:trPr>
        <w:tc>
          <w:tcPr>
            <w:tcW w:w="3823" w:type="dxa"/>
            <w:vAlign w:val="center"/>
          </w:tcPr>
          <w:p w14:paraId="335F384D"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Short-term employee benefits</w:t>
            </w:r>
          </w:p>
        </w:tc>
        <w:tc>
          <w:tcPr>
            <w:tcW w:w="1559" w:type="dxa"/>
            <w:vAlign w:val="center"/>
          </w:tcPr>
          <w:p w14:paraId="66FFAFBF"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191</w:t>
            </w:r>
          </w:p>
        </w:tc>
        <w:tc>
          <w:tcPr>
            <w:tcW w:w="1417" w:type="dxa"/>
            <w:vAlign w:val="center"/>
          </w:tcPr>
          <w:p w14:paraId="7A06210D"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499</w:t>
            </w:r>
          </w:p>
        </w:tc>
      </w:tr>
      <w:tr w:rsidR="00007C8C" w:rsidRPr="00007C8C" w14:paraId="6E6886B0" w14:textId="77777777" w:rsidTr="000525D5">
        <w:trPr>
          <w:trHeight w:val="340"/>
        </w:trPr>
        <w:tc>
          <w:tcPr>
            <w:tcW w:w="3823" w:type="dxa"/>
            <w:vAlign w:val="center"/>
          </w:tcPr>
          <w:p w14:paraId="1D57F605"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Post- employment benefits</w:t>
            </w:r>
          </w:p>
        </w:tc>
        <w:tc>
          <w:tcPr>
            <w:tcW w:w="1559" w:type="dxa"/>
            <w:vAlign w:val="center"/>
          </w:tcPr>
          <w:p w14:paraId="5285E11A"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36</w:t>
            </w:r>
          </w:p>
        </w:tc>
        <w:tc>
          <w:tcPr>
            <w:tcW w:w="1417" w:type="dxa"/>
            <w:vAlign w:val="center"/>
          </w:tcPr>
          <w:p w14:paraId="751980A1" w14:textId="77777777" w:rsidR="00007C8C" w:rsidRPr="00007C8C" w:rsidRDefault="00007C8C" w:rsidP="00007C8C">
            <w:pPr>
              <w:spacing w:line="240" w:lineRule="auto"/>
              <w:rPr>
                <w:rFonts w:cs="Arial"/>
                <w:color w:val="000000" w:themeColor="text1"/>
                <w:sz w:val="20"/>
                <w:szCs w:val="20"/>
              </w:rPr>
            </w:pPr>
            <w:r w:rsidRPr="00007C8C">
              <w:rPr>
                <w:rFonts w:cs="Arial"/>
                <w:color w:val="000000" w:themeColor="text1"/>
                <w:sz w:val="20"/>
                <w:szCs w:val="20"/>
              </w:rPr>
              <w:t>69</w:t>
            </w:r>
          </w:p>
        </w:tc>
      </w:tr>
    </w:tbl>
    <w:p w14:paraId="2A883382" w14:textId="77777777" w:rsidR="00007C8C" w:rsidRPr="00007C8C" w:rsidRDefault="00007C8C" w:rsidP="00007C8C">
      <w:pPr>
        <w:rPr>
          <w:rFonts w:ascii="Axiforma Light" w:hAnsi="Axiforma Light" w:cs="Axiforma Light"/>
        </w:rPr>
      </w:pPr>
    </w:p>
    <w:p w14:paraId="2BD4EF8E" w14:textId="77777777" w:rsidR="00007C8C" w:rsidRPr="00007C8C" w:rsidRDefault="00007C8C" w:rsidP="007430D9">
      <w:pPr>
        <w:pStyle w:val="Heading2"/>
      </w:pPr>
      <w:bookmarkStart w:id="316" w:name="_Toc213058748"/>
      <w:r w:rsidRPr="00007C8C">
        <w:t>24. Contingent Liabilities</w:t>
      </w:r>
      <w:bookmarkEnd w:id="316"/>
    </w:p>
    <w:p w14:paraId="22F6DEFF" w14:textId="77777777" w:rsidR="00007C8C" w:rsidRPr="00007C8C" w:rsidRDefault="00007C8C" w:rsidP="00007C8C">
      <w:pPr>
        <w:rPr>
          <w:rFonts w:ascii="Axiforma Light" w:hAnsi="Axiforma Light" w:cs="Axiforma Light"/>
          <w:color w:val="000000"/>
        </w:rPr>
      </w:pPr>
      <w:r w:rsidRPr="00007C8C">
        <w:rPr>
          <w:color w:val="000000"/>
        </w:rPr>
        <w:t>As a result of the Bear Scotland case ruling, legal claims were lodged against the Group in respect of holiday pay. The directors are of the view that no material losses will arise in respect of these claims as at the date of these financial statements.</w:t>
      </w:r>
    </w:p>
    <w:p w14:paraId="73D5B041" w14:textId="77777777" w:rsidR="00007C8C" w:rsidRPr="00007C8C" w:rsidRDefault="00007C8C" w:rsidP="00007C8C">
      <w:pPr>
        <w:rPr>
          <w:color w:val="000000"/>
        </w:rPr>
      </w:pPr>
    </w:p>
    <w:p w14:paraId="67D7A2B9" w14:textId="77777777" w:rsidR="00007C8C" w:rsidRPr="00007C8C" w:rsidRDefault="00007C8C" w:rsidP="007430D9">
      <w:pPr>
        <w:pStyle w:val="Heading2"/>
      </w:pPr>
      <w:bookmarkStart w:id="317" w:name="_Toc213058749"/>
      <w:r w:rsidRPr="00007C8C">
        <w:t>25. Post Balance Sheet Events</w:t>
      </w:r>
      <w:bookmarkEnd w:id="317"/>
    </w:p>
    <w:p w14:paraId="568A8FD0" w14:textId="77777777" w:rsidR="00007C8C" w:rsidRPr="00007C8C" w:rsidRDefault="00007C8C" w:rsidP="00007C8C">
      <w:pPr>
        <w:rPr>
          <w:color w:val="000000"/>
        </w:rPr>
      </w:pPr>
      <w:r w:rsidRPr="00007C8C">
        <w:rPr>
          <w:color w:val="000000"/>
        </w:rPr>
        <w:t>No matters have arisen since the period end, to the date of this report, that require adjustment to, or disclosure in, the financial statements.</w:t>
      </w:r>
    </w:p>
    <w:p w14:paraId="1CBBFB07" w14:textId="77777777" w:rsidR="00007C8C" w:rsidRPr="00007C8C" w:rsidRDefault="00007C8C" w:rsidP="00007C8C">
      <w:pPr>
        <w:rPr>
          <w:color w:val="000000"/>
        </w:rPr>
      </w:pPr>
    </w:p>
    <w:p w14:paraId="7299F490" w14:textId="77777777" w:rsidR="00007C8C" w:rsidRPr="00007C8C" w:rsidRDefault="00007C8C" w:rsidP="007430D9">
      <w:pPr>
        <w:pStyle w:val="Heading2"/>
      </w:pPr>
      <w:bookmarkStart w:id="318" w:name="_Toc213058750"/>
      <w:r w:rsidRPr="00007C8C">
        <w:t>26. Comparative Information</w:t>
      </w:r>
      <w:bookmarkEnd w:id="318"/>
    </w:p>
    <w:p w14:paraId="17481AEC" w14:textId="0675D6AF" w:rsidR="00007C8C" w:rsidRDefault="00007C8C" w:rsidP="00007C8C">
      <w:pPr>
        <w:rPr>
          <w:color w:val="000000"/>
        </w:rPr>
      </w:pPr>
      <w:r w:rsidRPr="00007C8C">
        <w:rPr>
          <w:color w:val="000000"/>
        </w:rPr>
        <w:t xml:space="preserve">Comparative information has been reclassified where necessary to conform to the current financial period. There was no impact on reported profit for the period ended 31 March 2024, or on retained earnings as </w:t>
      </w:r>
      <w:proofErr w:type="gramStart"/>
      <w:r w:rsidRPr="00007C8C">
        <w:rPr>
          <w:color w:val="000000"/>
        </w:rPr>
        <w:t>at</w:t>
      </w:r>
      <w:proofErr w:type="gramEnd"/>
      <w:r w:rsidRPr="00007C8C">
        <w:rPr>
          <w:color w:val="000000"/>
        </w:rPr>
        <w:t xml:space="preserve"> 1 April 2024, or on net assets as </w:t>
      </w:r>
      <w:proofErr w:type="gramStart"/>
      <w:r w:rsidRPr="00007C8C">
        <w:rPr>
          <w:color w:val="000000"/>
        </w:rPr>
        <w:t>at</w:t>
      </w:r>
      <w:proofErr w:type="gramEnd"/>
      <w:r w:rsidRPr="00007C8C">
        <w:rPr>
          <w:color w:val="000000"/>
        </w:rPr>
        <w:t xml:space="preserve"> 30 March 2025.</w:t>
      </w:r>
    </w:p>
    <w:p w14:paraId="71B9AF8B" w14:textId="77777777" w:rsidR="00007C8C" w:rsidRDefault="00007C8C">
      <w:pPr>
        <w:spacing w:line="240" w:lineRule="auto"/>
        <w:rPr>
          <w:color w:val="000000"/>
        </w:rPr>
      </w:pPr>
      <w:r>
        <w:rPr>
          <w:color w:val="000000"/>
        </w:rPr>
        <w:br w:type="page"/>
      </w:r>
    </w:p>
    <w:p w14:paraId="7B905BA2" w14:textId="77777777" w:rsidR="00007C8C" w:rsidRDefault="00007C8C" w:rsidP="00007C8C">
      <w:pPr>
        <w:rPr>
          <w:rFonts w:cs="Arial"/>
        </w:rPr>
      </w:pPr>
      <w:r w:rsidRPr="00E65E99">
        <w:rPr>
          <w:noProof/>
        </w:rPr>
        <w:lastRenderedPageBreak/>
        <w:drawing>
          <wp:inline distT="0" distB="0" distL="0" distR="0" wp14:anchorId="2622EFC0" wp14:editId="25545153">
            <wp:extent cx="3733170" cy="979485"/>
            <wp:effectExtent l="0" t="0" r="635" b="0"/>
            <wp:docPr id="113" name="Picture 113" descr="Trans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Translink logo"/>
                    <pic:cNvPicPr/>
                  </pic:nvPicPr>
                  <pic:blipFill>
                    <a:blip r:embed="rId8" cstate="screen">
                      <a:extLst>
                        <a:ext uri="{28A0092B-C50C-407E-A947-70E740481C1C}">
                          <a14:useLocalDpi xmlns:a14="http://schemas.microsoft.com/office/drawing/2010/main"/>
                        </a:ext>
                      </a:extLst>
                    </a:blip>
                    <a:stretch>
                      <a:fillRect/>
                    </a:stretch>
                  </pic:blipFill>
                  <pic:spPr>
                    <a:xfrm>
                      <a:off x="0" y="0"/>
                      <a:ext cx="3783424" cy="992670"/>
                    </a:xfrm>
                    <a:prstGeom prst="rect">
                      <a:avLst/>
                    </a:prstGeom>
                  </pic:spPr>
                </pic:pic>
              </a:graphicData>
            </a:graphic>
          </wp:inline>
        </w:drawing>
      </w:r>
    </w:p>
    <w:p w14:paraId="6C184485" w14:textId="77777777" w:rsidR="00007C8C" w:rsidRDefault="00007C8C" w:rsidP="00007C8C"/>
    <w:p w14:paraId="7A098717" w14:textId="77777777" w:rsidR="00007C8C" w:rsidRPr="00C60420" w:rsidRDefault="00007C8C" w:rsidP="00007C8C">
      <w:r w:rsidRPr="00C60420">
        <w:t>This publication is available in a range of alternative formats, for example large print, braille or audio tape. Please call Translink Contact Centre 028 9066 6630.</w:t>
      </w:r>
    </w:p>
    <w:p w14:paraId="5A908965" w14:textId="77777777" w:rsidR="00007C8C" w:rsidRPr="00C60420" w:rsidRDefault="00007C8C" w:rsidP="00007C8C"/>
    <w:p w14:paraId="75F3D442" w14:textId="77777777" w:rsidR="00007C8C" w:rsidRPr="00C60420" w:rsidRDefault="00007C8C" w:rsidP="00007C8C">
      <w:pPr>
        <w:rPr>
          <w:rFonts w:cs="Arial"/>
          <w:color w:val="000000" w:themeColor="text1"/>
        </w:rPr>
      </w:pPr>
      <w:hyperlink r:id="rId11" w:history="1">
        <w:r w:rsidRPr="00C60420">
          <w:rPr>
            <w:rStyle w:val="Hyperlink"/>
            <w:rFonts w:cs="Arial"/>
            <w:color w:val="000000" w:themeColor="text1"/>
          </w:rPr>
          <w:t>translink.co.uk</w:t>
        </w:r>
      </w:hyperlink>
    </w:p>
    <w:p w14:paraId="6F3CB197" w14:textId="77777777" w:rsidR="00007C8C" w:rsidRPr="00007C8C" w:rsidRDefault="00007C8C" w:rsidP="00007C8C">
      <w:pPr>
        <w:rPr>
          <w:color w:val="000000"/>
        </w:rPr>
      </w:pPr>
    </w:p>
    <w:p w14:paraId="4D89E7EF" w14:textId="77777777" w:rsidR="001353C2" w:rsidRPr="001353C2" w:rsidRDefault="001353C2" w:rsidP="001353C2">
      <w:pPr>
        <w:tabs>
          <w:tab w:val="left" w:pos="170"/>
          <w:tab w:val="left" w:pos="198"/>
          <w:tab w:val="left" w:pos="380"/>
          <w:tab w:val="left" w:pos="560"/>
          <w:tab w:val="left" w:pos="620"/>
          <w:tab w:val="left" w:pos="840"/>
          <w:tab w:val="left" w:pos="900"/>
          <w:tab w:val="right" w:pos="3960"/>
          <w:tab w:val="right" w:pos="4740"/>
          <w:tab w:val="right" w:pos="4940"/>
          <w:tab w:val="right" w:pos="6060"/>
          <w:tab w:val="right" w:pos="7500"/>
          <w:tab w:val="right" w:pos="8940"/>
        </w:tabs>
        <w:suppressAutoHyphens/>
        <w:autoSpaceDE w:val="0"/>
        <w:autoSpaceDN w:val="0"/>
        <w:adjustRightInd w:val="0"/>
        <w:spacing w:before="85" w:after="85" w:line="300" w:lineRule="atLeast"/>
        <w:textAlignment w:val="center"/>
        <w:rPr>
          <w:rFonts w:cs="Arial"/>
          <w:i/>
          <w:iCs/>
          <w:color w:val="000000" w:themeColor="text1"/>
        </w:rPr>
      </w:pPr>
    </w:p>
    <w:p w14:paraId="697E7F91" w14:textId="77777777" w:rsidR="001353C2" w:rsidRPr="006675EF" w:rsidRDefault="001353C2" w:rsidP="006675EF">
      <w:pPr>
        <w:rPr>
          <w:rFonts w:cs="Arial"/>
          <w:color w:val="000000" w:themeColor="text1"/>
        </w:rPr>
      </w:pPr>
    </w:p>
    <w:sectPr w:rsidR="001353C2" w:rsidRPr="006675EF" w:rsidSect="00E253EE">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F7F0" w14:textId="77777777" w:rsidR="009E5D58" w:rsidRDefault="009E5D58" w:rsidP="00506AC2">
      <w:r>
        <w:separator/>
      </w:r>
    </w:p>
    <w:p w14:paraId="17EE5974" w14:textId="77777777" w:rsidR="009E5D58" w:rsidRDefault="009E5D58" w:rsidP="00506AC2"/>
  </w:endnote>
  <w:endnote w:type="continuationSeparator" w:id="0">
    <w:p w14:paraId="1611752D" w14:textId="77777777" w:rsidR="009E5D58" w:rsidRDefault="009E5D58" w:rsidP="00506AC2">
      <w:r>
        <w:continuationSeparator/>
      </w:r>
    </w:p>
    <w:p w14:paraId="36C8F6DF" w14:textId="77777777" w:rsidR="009E5D58" w:rsidRDefault="009E5D58" w:rsidP="00506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ffra">
    <w:altName w:val="Calibri"/>
    <w:panose1 w:val="020B0603020203020204"/>
    <w:charset w:val="00"/>
    <w:family w:val="swiss"/>
    <w:pitch w:val="variable"/>
    <w:sig w:usb0="A00022EF" w:usb1="D000A05B" w:usb2="00000008" w:usb3="00000000" w:csb0="000000DF" w:csb1="00000000"/>
  </w:font>
  <w:font w:name="Minion Pro">
    <w:altName w:val="Cambria"/>
    <w:panose1 w:val="02040503050306020203"/>
    <w:charset w:val="00"/>
    <w:family w:val="roman"/>
    <w:pitch w:val="variable"/>
    <w:sig w:usb0="60000287" w:usb1="00000001" w:usb2="00000000" w:usb3="00000000" w:csb0="0000019F" w:csb1="00000000"/>
  </w:font>
  <w:font w:name="Axiforma Book">
    <w:altName w:val="Calibri"/>
    <w:panose1 w:val="00000400000000000000"/>
    <w:charset w:val="4D"/>
    <w:family w:val="auto"/>
    <w:notTrueType/>
    <w:pitch w:val="variable"/>
    <w:sig w:usb0="A000002F" w:usb1="0000201B" w:usb2="00000000" w:usb3="00000000" w:csb0="00000097" w:csb1="00000000"/>
  </w:font>
  <w:font w:name="Axiforma Medium">
    <w:altName w:val="Calibri"/>
    <w:panose1 w:val="00000600000000000000"/>
    <w:charset w:val="4D"/>
    <w:family w:val="auto"/>
    <w:notTrueType/>
    <w:pitch w:val="variable"/>
    <w:sig w:usb0="A000002F" w:usb1="0000201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xiforma">
    <w:altName w:val="Calibri"/>
    <w:panose1 w:val="00000500000000000000"/>
    <w:charset w:val="4D"/>
    <w:family w:val="auto"/>
    <w:notTrueType/>
    <w:pitch w:val="variable"/>
    <w:sig w:usb0="A000002F" w:usb1="0000201B" w:usb2="00000000" w:usb3="00000000" w:csb0="00000097" w:csb1="00000000"/>
  </w:font>
  <w:font w:name="Axiforma Book Italic">
    <w:altName w:val="Calibri"/>
    <w:panose1 w:val="00000400000000000000"/>
    <w:charset w:val="4D"/>
    <w:family w:val="auto"/>
    <w:pitch w:val="variable"/>
    <w:sig w:usb0="A000002F" w:usb1="0000201B" w:usb2="00000000" w:usb3="00000000" w:csb0="00000097" w:csb1="00000000"/>
  </w:font>
  <w:font w:name="Axiforma SemiBold">
    <w:altName w:val="Calibri"/>
    <w:panose1 w:val="00000700000000000000"/>
    <w:charset w:val="4D"/>
    <w:family w:val="auto"/>
    <w:notTrueType/>
    <w:pitch w:val="variable"/>
    <w:sig w:usb0="A000002F" w:usb1="0000201B" w:usb2="00000000" w:usb3="00000000" w:csb0="00000097" w:csb1="00000000"/>
  </w:font>
  <w:font w:name="Axiforma Medium Italic">
    <w:altName w:val="Calibri"/>
    <w:panose1 w:val="00000600000000000000"/>
    <w:charset w:val="4D"/>
    <w:family w:val="auto"/>
    <w:pitch w:val="variable"/>
    <w:sig w:usb0="A000002F" w:usb1="0000201B" w:usb2="00000000" w:usb3="00000000" w:csb0="00000097" w:csb1="00000000"/>
  </w:font>
  <w:font w:name="Axiforma Light">
    <w:panose1 w:val="00000400000000000000"/>
    <w:charset w:val="4D"/>
    <w:family w:val="auto"/>
    <w:notTrueType/>
    <w:pitch w:val="variable"/>
    <w:sig w:usb0="A000002F" w:usb1="0000201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244428"/>
      <w:docPartObj>
        <w:docPartGallery w:val="Page Numbers (Bottom of Page)"/>
        <w:docPartUnique/>
      </w:docPartObj>
    </w:sdtPr>
    <w:sdtContent>
      <w:p w14:paraId="513DC9EE" w14:textId="0BD0D0D0" w:rsidR="00C87C2D" w:rsidRDefault="00C87C2D" w:rsidP="00506AC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19213" w14:textId="77777777" w:rsidR="00C87C2D" w:rsidRDefault="00C87C2D" w:rsidP="00506AC2">
    <w:pPr>
      <w:pStyle w:val="Footer"/>
    </w:pPr>
  </w:p>
  <w:p w14:paraId="20B2E2AB" w14:textId="77777777" w:rsidR="00E8093F" w:rsidRDefault="00E8093F" w:rsidP="00506A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98739"/>
      <w:docPartObj>
        <w:docPartGallery w:val="Page Numbers (Bottom of Page)"/>
        <w:docPartUnique/>
      </w:docPartObj>
    </w:sdtPr>
    <w:sdtContent>
      <w:p w14:paraId="4C2E0130" w14:textId="4EB59B6C" w:rsidR="00C87C2D" w:rsidRDefault="00C87C2D" w:rsidP="00506AC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A9BF5B4" w14:textId="77777777" w:rsidR="00C87C2D" w:rsidRDefault="00C87C2D" w:rsidP="00506AC2">
    <w:pPr>
      <w:pStyle w:val="Footer"/>
    </w:pPr>
  </w:p>
  <w:p w14:paraId="2AA63306" w14:textId="77777777" w:rsidR="00E8093F" w:rsidRDefault="00E8093F" w:rsidP="00506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9200" w14:textId="77777777" w:rsidR="009E5D58" w:rsidRDefault="009E5D58" w:rsidP="00506AC2">
      <w:r>
        <w:separator/>
      </w:r>
    </w:p>
    <w:p w14:paraId="30B6F3F3" w14:textId="77777777" w:rsidR="009E5D58" w:rsidRDefault="009E5D58" w:rsidP="00506AC2"/>
  </w:footnote>
  <w:footnote w:type="continuationSeparator" w:id="0">
    <w:p w14:paraId="692F1A2C" w14:textId="77777777" w:rsidR="009E5D58" w:rsidRDefault="009E5D58" w:rsidP="00506AC2">
      <w:r>
        <w:continuationSeparator/>
      </w:r>
    </w:p>
    <w:p w14:paraId="4F0C0265" w14:textId="77777777" w:rsidR="009E5D58" w:rsidRDefault="009E5D58" w:rsidP="00506A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D4D"/>
    <w:multiLevelType w:val="hybridMultilevel"/>
    <w:tmpl w:val="13424998"/>
    <w:lvl w:ilvl="0" w:tplc="AAB201EC">
      <w:start w:val="1"/>
      <w:numFmt w:val="decimal"/>
      <w:lvlText w:val="%1."/>
      <w:lvlJc w:val="left"/>
      <w:pPr>
        <w:ind w:left="794" w:hanging="4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374E8"/>
    <w:multiLevelType w:val="hybridMultilevel"/>
    <w:tmpl w:val="8D2C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629C0"/>
    <w:multiLevelType w:val="hybridMultilevel"/>
    <w:tmpl w:val="E8DA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C5158"/>
    <w:multiLevelType w:val="hybridMultilevel"/>
    <w:tmpl w:val="CAE6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35D84"/>
    <w:multiLevelType w:val="hybridMultilevel"/>
    <w:tmpl w:val="D26E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57C6D"/>
    <w:multiLevelType w:val="hybridMultilevel"/>
    <w:tmpl w:val="4D8E9DA4"/>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6" w15:restartNumberingAfterBreak="0">
    <w:nsid w:val="075A3100"/>
    <w:multiLevelType w:val="hybridMultilevel"/>
    <w:tmpl w:val="1FE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B5EDA"/>
    <w:multiLevelType w:val="hybridMultilevel"/>
    <w:tmpl w:val="276E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3011B"/>
    <w:multiLevelType w:val="hybridMultilevel"/>
    <w:tmpl w:val="3AC06982"/>
    <w:lvl w:ilvl="0" w:tplc="04090001">
      <w:start w:val="1"/>
      <w:numFmt w:val="bullet"/>
      <w:lvlText w:val=""/>
      <w:lvlJc w:val="left"/>
      <w:pPr>
        <w:ind w:left="720" w:hanging="360"/>
      </w:pPr>
      <w:rPr>
        <w:rFonts w:ascii="Symbol" w:hAnsi="Symbol" w:hint="default"/>
      </w:rPr>
    </w:lvl>
    <w:lvl w:ilvl="1" w:tplc="3F5C38AE">
      <w:start w:val="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13E74"/>
    <w:multiLevelType w:val="hybridMultilevel"/>
    <w:tmpl w:val="FE76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55C75"/>
    <w:multiLevelType w:val="hybridMultilevel"/>
    <w:tmpl w:val="6C6A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E6962"/>
    <w:multiLevelType w:val="hybridMultilevel"/>
    <w:tmpl w:val="1F3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731ACC"/>
    <w:multiLevelType w:val="hybridMultilevel"/>
    <w:tmpl w:val="89BC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97A62"/>
    <w:multiLevelType w:val="hybridMultilevel"/>
    <w:tmpl w:val="CC76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740FA"/>
    <w:multiLevelType w:val="hybridMultilevel"/>
    <w:tmpl w:val="04D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503DB"/>
    <w:multiLevelType w:val="hybridMultilevel"/>
    <w:tmpl w:val="2E2C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63FAF"/>
    <w:multiLevelType w:val="hybridMultilevel"/>
    <w:tmpl w:val="C2F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E0524"/>
    <w:multiLevelType w:val="hybridMultilevel"/>
    <w:tmpl w:val="E572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66E6D"/>
    <w:multiLevelType w:val="hybridMultilevel"/>
    <w:tmpl w:val="4D10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F23C80"/>
    <w:multiLevelType w:val="hybridMultilevel"/>
    <w:tmpl w:val="858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F238FE"/>
    <w:multiLevelType w:val="hybridMultilevel"/>
    <w:tmpl w:val="6DCE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A5E90"/>
    <w:multiLevelType w:val="hybridMultilevel"/>
    <w:tmpl w:val="3B00F33C"/>
    <w:lvl w:ilvl="0" w:tplc="12661148">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F2D487D"/>
    <w:multiLevelType w:val="hybridMultilevel"/>
    <w:tmpl w:val="6AD4E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1B14D2D"/>
    <w:multiLevelType w:val="hybridMultilevel"/>
    <w:tmpl w:val="1896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E15BFC"/>
    <w:multiLevelType w:val="hybridMultilevel"/>
    <w:tmpl w:val="2588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BB2A6A"/>
    <w:multiLevelType w:val="hybridMultilevel"/>
    <w:tmpl w:val="D194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D45B78"/>
    <w:multiLevelType w:val="hybridMultilevel"/>
    <w:tmpl w:val="CAA2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E24705"/>
    <w:multiLevelType w:val="hybridMultilevel"/>
    <w:tmpl w:val="883A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4B16FB"/>
    <w:multiLevelType w:val="hybridMultilevel"/>
    <w:tmpl w:val="2C4CA5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F938F5"/>
    <w:multiLevelType w:val="hybridMultilevel"/>
    <w:tmpl w:val="9220775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A16623"/>
    <w:multiLevelType w:val="hybridMultilevel"/>
    <w:tmpl w:val="1766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BA29FD"/>
    <w:multiLevelType w:val="hybridMultilevel"/>
    <w:tmpl w:val="339EA6D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2D351A"/>
    <w:multiLevelType w:val="hybridMultilevel"/>
    <w:tmpl w:val="AF4C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6627D3"/>
    <w:multiLevelType w:val="hybridMultilevel"/>
    <w:tmpl w:val="E15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2252DC"/>
    <w:multiLevelType w:val="hybridMultilevel"/>
    <w:tmpl w:val="28DC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FA1152"/>
    <w:multiLevelType w:val="hybridMultilevel"/>
    <w:tmpl w:val="3E9C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423C70"/>
    <w:multiLevelType w:val="hybridMultilevel"/>
    <w:tmpl w:val="9F7C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655A82"/>
    <w:multiLevelType w:val="hybridMultilevel"/>
    <w:tmpl w:val="00D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607CF1"/>
    <w:multiLevelType w:val="hybridMultilevel"/>
    <w:tmpl w:val="D728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D02F37"/>
    <w:multiLevelType w:val="hybridMultilevel"/>
    <w:tmpl w:val="25B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FE2D2F"/>
    <w:multiLevelType w:val="hybridMultilevel"/>
    <w:tmpl w:val="3E1C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E75BE"/>
    <w:multiLevelType w:val="hybridMultilevel"/>
    <w:tmpl w:val="9CE8D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7733"/>
    <w:multiLevelType w:val="hybridMultilevel"/>
    <w:tmpl w:val="B71A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BE3317"/>
    <w:multiLevelType w:val="hybridMultilevel"/>
    <w:tmpl w:val="6FF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4F0062"/>
    <w:multiLevelType w:val="hybridMultilevel"/>
    <w:tmpl w:val="A978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CD5D89"/>
    <w:multiLevelType w:val="hybridMultilevel"/>
    <w:tmpl w:val="2B6E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036A5D"/>
    <w:multiLevelType w:val="hybridMultilevel"/>
    <w:tmpl w:val="64CC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723D9"/>
    <w:multiLevelType w:val="hybridMultilevel"/>
    <w:tmpl w:val="F56E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FF1233"/>
    <w:multiLevelType w:val="hybridMultilevel"/>
    <w:tmpl w:val="E80A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6A06C7"/>
    <w:multiLevelType w:val="hybridMultilevel"/>
    <w:tmpl w:val="5486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6A352B"/>
    <w:multiLevelType w:val="hybridMultilevel"/>
    <w:tmpl w:val="0688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3A79E3"/>
    <w:multiLevelType w:val="hybridMultilevel"/>
    <w:tmpl w:val="BD4E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B91CD6"/>
    <w:multiLevelType w:val="hybridMultilevel"/>
    <w:tmpl w:val="0046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016512"/>
    <w:multiLevelType w:val="hybridMultilevel"/>
    <w:tmpl w:val="83B0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75031A"/>
    <w:multiLevelType w:val="hybridMultilevel"/>
    <w:tmpl w:val="6C2A09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F831DBE"/>
    <w:multiLevelType w:val="hybridMultilevel"/>
    <w:tmpl w:val="80D2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A25C94"/>
    <w:multiLevelType w:val="hybridMultilevel"/>
    <w:tmpl w:val="C52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4C5D58"/>
    <w:multiLevelType w:val="hybridMultilevel"/>
    <w:tmpl w:val="AB94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9717FD"/>
    <w:multiLevelType w:val="hybridMultilevel"/>
    <w:tmpl w:val="ED5A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370E26"/>
    <w:multiLevelType w:val="hybridMultilevel"/>
    <w:tmpl w:val="2AD81C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7070DA"/>
    <w:multiLevelType w:val="hybridMultilevel"/>
    <w:tmpl w:val="7B4A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8A1BE7"/>
    <w:multiLevelType w:val="hybridMultilevel"/>
    <w:tmpl w:val="22A0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0A3621"/>
    <w:multiLevelType w:val="hybridMultilevel"/>
    <w:tmpl w:val="B602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536397"/>
    <w:multiLevelType w:val="hybridMultilevel"/>
    <w:tmpl w:val="A190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C634F4"/>
    <w:multiLevelType w:val="hybridMultilevel"/>
    <w:tmpl w:val="53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3C4539"/>
    <w:multiLevelType w:val="hybridMultilevel"/>
    <w:tmpl w:val="CDF4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807B9C"/>
    <w:multiLevelType w:val="hybridMultilevel"/>
    <w:tmpl w:val="D0FA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2C26EA"/>
    <w:multiLevelType w:val="hybridMultilevel"/>
    <w:tmpl w:val="39AC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7C0D37"/>
    <w:multiLevelType w:val="hybridMultilevel"/>
    <w:tmpl w:val="4640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EB29EF"/>
    <w:multiLevelType w:val="hybridMultilevel"/>
    <w:tmpl w:val="057A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725FCD"/>
    <w:multiLevelType w:val="hybridMultilevel"/>
    <w:tmpl w:val="075A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106B35"/>
    <w:multiLevelType w:val="hybridMultilevel"/>
    <w:tmpl w:val="448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8A23C2"/>
    <w:multiLevelType w:val="hybridMultilevel"/>
    <w:tmpl w:val="FE3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F0338C"/>
    <w:multiLevelType w:val="hybridMultilevel"/>
    <w:tmpl w:val="65B6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51132F"/>
    <w:multiLevelType w:val="hybridMultilevel"/>
    <w:tmpl w:val="32E8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B57D60"/>
    <w:multiLevelType w:val="hybridMultilevel"/>
    <w:tmpl w:val="3A32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BD173C"/>
    <w:multiLevelType w:val="hybridMultilevel"/>
    <w:tmpl w:val="3DB4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D368AA"/>
    <w:multiLevelType w:val="hybridMultilevel"/>
    <w:tmpl w:val="06FC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326E47"/>
    <w:multiLevelType w:val="hybridMultilevel"/>
    <w:tmpl w:val="CE12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A62CCB"/>
    <w:multiLevelType w:val="hybridMultilevel"/>
    <w:tmpl w:val="2E2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A86664"/>
    <w:multiLevelType w:val="hybridMultilevel"/>
    <w:tmpl w:val="A2F2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2AF769D"/>
    <w:multiLevelType w:val="hybridMultilevel"/>
    <w:tmpl w:val="85AC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137A62"/>
    <w:multiLevelType w:val="hybridMultilevel"/>
    <w:tmpl w:val="9D64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A4709F"/>
    <w:multiLevelType w:val="hybridMultilevel"/>
    <w:tmpl w:val="B32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8B6CD2"/>
    <w:multiLevelType w:val="hybridMultilevel"/>
    <w:tmpl w:val="01B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C76CDA"/>
    <w:multiLevelType w:val="hybridMultilevel"/>
    <w:tmpl w:val="9B0A5C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E331B3"/>
    <w:multiLevelType w:val="hybridMultilevel"/>
    <w:tmpl w:val="806ACD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F9C650E"/>
    <w:multiLevelType w:val="hybridMultilevel"/>
    <w:tmpl w:val="1554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B87EAB"/>
    <w:multiLevelType w:val="hybridMultilevel"/>
    <w:tmpl w:val="7F8E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433467">
    <w:abstractNumId w:val="29"/>
  </w:num>
  <w:num w:numId="2" w16cid:durableId="1946307263">
    <w:abstractNumId w:val="21"/>
  </w:num>
  <w:num w:numId="3" w16cid:durableId="1938364661">
    <w:abstractNumId w:val="69"/>
  </w:num>
  <w:num w:numId="4" w16cid:durableId="1704594164">
    <w:abstractNumId w:val="8"/>
  </w:num>
  <w:num w:numId="5" w16cid:durableId="245382367">
    <w:abstractNumId w:val="50"/>
  </w:num>
  <w:num w:numId="6" w16cid:durableId="1074008099">
    <w:abstractNumId w:val="75"/>
  </w:num>
  <w:num w:numId="7" w16cid:durableId="953562387">
    <w:abstractNumId w:val="44"/>
  </w:num>
  <w:num w:numId="8" w16cid:durableId="2099935873">
    <w:abstractNumId w:val="79"/>
  </w:num>
  <w:num w:numId="9" w16cid:durableId="1434588066">
    <w:abstractNumId w:val="63"/>
  </w:num>
  <w:num w:numId="10" w16cid:durableId="2085956447">
    <w:abstractNumId w:val="60"/>
  </w:num>
  <w:num w:numId="11" w16cid:durableId="1238978965">
    <w:abstractNumId w:val="16"/>
  </w:num>
  <w:num w:numId="12" w16cid:durableId="1243375580">
    <w:abstractNumId w:val="56"/>
  </w:num>
  <w:num w:numId="13" w16cid:durableId="121386457">
    <w:abstractNumId w:val="4"/>
  </w:num>
  <w:num w:numId="14" w16cid:durableId="1799255535">
    <w:abstractNumId w:val="14"/>
  </w:num>
  <w:num w:numId="15" w16cid:durableId="386149919">
    <w:abstractNumId w:val="48"/>
  </w:num>
  <w:num w:numId="16" w16cid:durableId="545412675">
    <w:abstractNumId w:val="43"/>
  </w:num>
  <w:num w:numId="17" w16cid:durableId="246236173">
    <w:abstractNumId w:val="38"/>
  </w:num>
  <w:num w:numId="18" w16cid:durableId="233202863">
    <w:abstractNumId w:val="40"/>
  </w:num>
  <w:num w:numId="19" w16cid:durableId="1133402964">
    <w:abstractNumId w:val="27"/>
  </w:num>
  <w:num w:numId="20" w16cid:durableId="1071077565">
    <w:abstractNumId w:val="65"/>
  </w:num>
  <w:num w:numId="21" w16cid:durableId="1253783114">
    <w:abstractNumId w:val="46"/>
  </w:num>
  <w:num w:numId="22" w16cid:durableId="984166727">
    <w:abstractNumId w:val="19"/>
  </w:num>
  <w:num w:numId="23" w16cid:durableId="1247693527">
    <w:abstractNumId w:val="62"/>
  </w:num>
  <w:num w:numId="24" w16cid:durableId="1480808015">
    <w:abstractNumId w:val="6"/>
  </w:num>
  <w:num w:numId="25" w16cid:durableId="488789298">
    <w:abstractNumId w:val="37"/>
  </w:num>
  <w:num w:numId="26" w16cid:durableId="1807506313">
    <w:abstractNumId w:val="2"/>
  </w:num>
  <w:num w:numId="27" w16cid:durableId="1179663047">
    <w:abstractNumId w:val="13"/>
  </w:num>
  <w:num w:numId="28" w16cid:durableId="1085423302">
    <w:abstractNumId w:val="9"/>
  </w:num>
  <w:num w:numId="29" w16cid:durableId="1412002091">
    <w:abstractNumId w:val="67"/>
  </w:num>
  <w:num w:numId="30" w16cid:durableId="2079744618">
    <w:abstractNumId w:val="64"/>
  </w:num>
  <w:num w:numId="31" w16cid:durableId="1104422443">
    <w:abstractNumId w:val="53"/>
  </w:num>
  <w:num w:numId="32" w16cid:durableId="1770197008">
    <w:abstractNumId w:val="72"/>
  </w:num>
  <w:num w:numId="33" w16cid:durableId="2086485205">
    <w:abstractNumId w:val="11"/>
  </w:num>
  <w:num w:numId="34" w16cid:durableId="265428752">
    <w:abstractNumId w:val="59"/>
  </w:num>
  <w:num w:numId="35" w16cid:durableId="1346980054">
    <w:abstractNumId w:val="28"/>
  </w:num>
  <w:num w:numId="36" w16cid:durableId="1820611693">
    <w:abstractNumId w:val="31"/>
  </w:num>
  <w:num w:numId="37" w16cid:durableId="579216667">
    <w:abstractNumId w:val="86"/>
  </w:num>
  <w:num w:numId="38" w16cid:durableId="1577133888">
    <w:abstractNumId w:val="85"/>
  </w:num>
  <w:num w:numId="39" w16cid:durableId="1553425932">
    <w:abstractNumId w:val="66"/>
  </w:num>
  <w:num w:numId="40" w16cid:durableId="1542089568">
    <w:abstractNumId w:val="36"/>
  </w:num>
  <w:num w:numId="41" w16cid:durableId="239171998">
    <w:abstractNumId w:val="0"/>
  </w:num>
  <w:num w:numId="42" w16cid:durableId="1443573789">
    <w:abstractNumId w:val="77"/>
  </w:num>
  <w:num w:numId="43" w16cid:durableId="1622346659">
    <w:abstractNumId w:val="58"/>
  </w:num>
  <w:num w:numId="44" w16cid:durableId="811678191">
    <w:abstractNumId w:val="54"/>
  </w:num>
  <w:num w:numId="45" w16cid:durableId="1038358221">
    <w:abstractNumId w:val="22"/>
  </w:num>
  <w:num w:numId="46" w16cid:durableId="2047833373">
    <w:abstractNumId w:val="17"/>
  </w:num>
  <w:num w:numId="47" w16cid:durableId="436293460">
    <w:abstractNumId w:val="61"/>
  </w:num>
  <w:num w:numId="48" w16cid:durableId="1164276599">
    <w:abstractNumId w:val="83"/>
  </w:num>
  <w:num w:numId="49" w16cid:durableId="1068573750">
    <w:abstractNumId w:val="57"/>
  </w:num>
  <w:num w:numId="50" w16cid:durableId="1563099592">
    <w:abstractNumId w:val="81"/>
  </w:num>
  <w:num w:numId="51" w16cid:durableId="2080715146">
    <w:abstractNumId w:val="45"/>
  </w:num>
  <w:num w:numId="52" w16cid:durableId="784350568">
    <w:abstractNumId w:val="12"/>
  </w:num>
  <w:num w:numId="53" w16cid:durableId="245845495">
    <w:abstractNumId w:val="41"/>
  </w:num>
  <w:num w:numId="54" w16cid:durableId="1512718355">
    <w:abstractNumId w:val="70"/>
  </w:num>
  <w:num w:numId="55" w16cid:durableId="873421709">
    <w:abstractNumId w:val="80"/>
  </w:num>
  <w:num w:numId="56" w16cid:durableId="128011473">
    <w:abstractNumId w:val="24"/>
  </w:num>
  <w:num w:numId="57" w16cid:durableId="1338268999">
    <w:abstractNumId w:val="51"/>
  </w:num>
  <w:num w:numId="58" w16cid:durableId="735783927">
    <w:abstractNumId w:val="68"/>
  </w:num>
  <w:num w:numId="59" w16cid:durableId="369306304">
    <w:abstractNumId w:val="55"/>
  </w:num>
  <w:num w:numId="60" w16cid:durableId="1120147671">
    <w:abstractNumId w:val="32"/>
  </w:num>
  <w:num w:numId="61" w16cid:durableId="1159078473">
    <w:abstractNumId w:val="7"/>
  </w:num>
  <w:num w:numId="62" w16cid:durableId="1641157553">
    <w:abstractNumId w:val="20"/>
  </w:num>
  <w:num w:numId="63" w16cid:durableId="261307095">
    <w:abstractNumId w:val="15"/>
  </w:num>
  <w:num w:numId="64" w16cid:durableId="1708027720">
    <w:abstractNumId w:val="88"/>
  </w:num>
  <w:num w:numId="65" w16cid:durableId="1410732049">
    <w:abstractNumId w:val="3"/>
  </w:num>
  <w:num w:numId="66" w16cid:durableId="2102723504">
    <w:abstractNumId w:val="42"/>
  </w:num>
  <w:num w:numId="67" w16cid:durableId="677466935">
    <w:abstractNumId w:val="35"/>
  </w:num>
  <w:num w:numId="68" w16cid:durableId="491795333">
    <w:abstractNumId w:val="25"/>
  </w:num>
  <w:num w:numId="69" w16cid:durableId="911505443">
    <w:abstractNumId w:val="34"/>
  </w:num>
  <w:num w:numId="70" w16cid:durableId="48967966">
    <w:abstractNumId w:val="1"/>
  </w:num>
  <w:num w:numId="71" w16cid:durableId="1705597389">
    <w:abstractNumId w:val="71"/>
  </w:num>
  <w:num w:numId="72" w16cid:durableId="976304322">
    <w:abstractNumId w:val="39"/>
  </w:num>
  <w:num w:numId="73" w16cid:durableId="857041350">
    <w:abstractNumId w:val="10"/>
  </w:num>
  <w:num w:numId="74" w16cid:durableId="152138176">
    <w:abstractNumId w:val="23"/>
  </w:num>
  <w:num w:numId="75" w16cid:durableId="1636522017">
    <w:abstractNumId w:val="33"/>
  </w:num>
  <w:num w:numId="76" w16cid:durableId="855460179">
    <w:abstractNumId w:val="49"/>
  </w:num>
  <w:num w:numId="77" w16cid:durableId="173304137">
    <w:abstractNumId w:val="78"/>
  </w:num>
  <w:num w:numId="78" w16cid:durableId="748967586">
    <w:abstractNumId w:val="52"/>
  </w:num>
  <w:num w:numId="79" w16cid:durableId="553124566">
    <w:abstractNumId w:val="5"/>
  </w:num>
  <w:num w:numId="80" w16cid:durableId="1645624333">
    <w:abstractNumId w:val="84"/>
  </w:num>
  <w:num w:numId="81" w16cid:durableId="1624341594">
    <w:abstractNumId w:val="74"/>
  </w:num>
  <w:num w:numId="82" w16cid:durableId="282154284">
    <w:abstractNumId w:val="47"/>
  </w:num>
  <w:num w:numId="83" w16cid:durableId="2086685997">
    <w:abstractNumId w:val="73"/>
  </w:num>
  <w:num w:numId="84" w16cid:durableId="1950971310">
    <w:abstractNumId w:val="76"/>
  </w:num>
  <w:num w:numId="85" w16cid:durableId="1645744343">
    <w:abstractNumId w:val="30"/>
  </w:num>
  <w:num w:numId="86" w16cid:durableId="1439375288">
    <w:abstractNumId w:val="18"/>
  </w:num>
  <w:num w:numId="87" w16cid:durableId="1491210540">
    <w:abstractNumId w:val="87"/>
  </w:num>
  <w:num w:numId="88" w16cid:durableId="766585028">
    <w:abstractNumId w:val="26"/>
  </w:num>
  <w:num w:numId="89" w16cid:durableId="1050568029">
    <w:abstractNumId w:val="8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81"/>
    <w:rsid w:val="00001241"/>
    <w:rsid w:val="00007C8C"/>
    <w:rsid w:val="00011ADA"/>
    <w:rsid w:val="00035A0B"/>
    <w:rsid w:val="000525D5"/>
    <w:rsid w:val="000723CD"/>
    <w:rsid w:val="00083499"/>
    <w:rsid w:val="00093636"/>
    <w:rsid w:val="000A1D01"/>
    <w:rsid w:val="000A42DF"/>
    <w:rsid w:val="000A58D1"/>
    <w:rsid w:val="000C1B69"/>
    <w:rsid w:val="000E3636"/>
    <w:rsid w:val="000F6C73"/>
    <w:rsid w:val="00102D57"/>
    <w:rsid w:val="00110C58"/>
    <w:rsid w:val="00113AA4"/>
    <w:rsid w:val="001353C2"/>
    <w:rsid w:val="0013692F"/>
    <w:rsid w:val="00185A0C"/>
    <w:rsid w:val="00190AAA"/>
    <w:rsid w:val="00194FB9"/>
    <w:rsid w:val="001A5A4F"/>
    <w:rsid w:val="001B030D"/>
    <w:rsid w:val="001C40E6"/>
    <w:rsid w:val="001D591F"/>
    <w:rsid w:val="001F06C8"/>
    <w:rsid w:val="00206E68"/>
    <w:rsid w:val="002646BC"/>
    <w:rsid w:val="00266993"/>
    <w:rsid w:val="002C0C23"/>
    <w:rsid w:val="002C5635"/>
    <w:rsid w:val="002C56F6"/>
    <w:rsid w:val="002E553F"/>
    <w:rsid w:val="002F214C"/>
    <w:rsid w:val="0030032B"/>
    <w:rsid w:val="003055AD"/>
    <w:rsid w:val="00315379"/>
    <w:rsid w:val="00322CF0"/>
    <w:rsid w:val="00340DE5"/>
    <w:rsid w:val="00344BF7"/>
    <w:rsid w:val="00347706"/>
    <w:rsid w:val="0036221E"/>
    <w:rsid w:val="003A428B"/>
    <w:rsid w:val="003A6F5C"/>
    <w:rsid w:val="003B5BC8"/>
    <w:rsid w:val="003C19CC"/>
    <w:rsid w:val="003C433D"/>
    <w:rsid w:val="003E25FA"/>
    <w:rsid w:val="003F4D72"/>
    <w:rsid w:val="003F7B4B"/>
    <w:rsid w:val="00405981"/>
    <w:rsid w:val="00406E61"/>
    <w:rsid w:val="00410648"/>
    <w:rsid w:val="0041571F"/>
    <w:rsid w:val="00416D97"/>
    <w:rsid w:val="004204EF"/>
    <w:rsid w:val="00423087"/>
    <w:rsid w:val="00432B48"/>
    <w:rsid w:val="004337B9"/>
    <w:rsid w:val="00443164"/>
    <w:rsid w:val="00455947"/>
    <w:rsid w:val="0048585B"/>
    <w:rsid w:val="0049692D"/>
    <w:rsid w:val="004A1AA8"/>
    <w:rsid w:val="004B049E"/>
    <w:rsid w:val="004B54B9"/>
    <w:rsid w:val="00506AC2"/>
    <w:rsid w:val="00527804"/>
    <w:rsid w:val="0054098F"/>
    <w:rsid w:val="00552D08"/>
    <w:rsid w:val="005660FD"/>
    <w:rsid w:val="00570A08"/>
    <w:rsid w:val="005857A3"/>
    <w:rsid w:val="00597B0D"/>
    <w:rsid w:val="005C6EB1"/>
    <w:rsid w:val="005D3DB3"/>
    <w:rsid w:val="005D59CA"/>
    <w:rsid w:val="005F76FE"/>
    <w:rsid w:val="00623265"/>
    <w:rsid w:val="006262F8"/>
    <w:rsid w:val="006675EF"/>
    <w:rsid w:val="00671A36"/>
    <w:rsid w:val="006A7B22"/>
    <w:rsid w:val="006D50AE"/>
    <w:rsid w:val="006D57B7"/>
    <w:rsid w:val="006E3E01"/>
    <w:rsid w:val="006F5883"/>
    <w:rsid w:val="007028AA"/>
    <w:rsid w:val="007430D9"/>
    <w:rsid w:val="00772528"/>
    <w:rsid w:val="007763DA"/>
    <w:rsid w:val="007D14A7"/>
    <w:rsid w:val="007D5EBE"/>
    <w:rsid w:val="00801BDE"/>
    <w:rsid w:val="0080220F"/>
    <w:rsid w:val="00813F73"/>
    <w:rsid w:val="00822505"/>
    <w:rsid w:val="0082359C"/>
    <w:rsid w:val="00824546"/>
    <w:rsid w:val="0082524A"/>
    <w:rsid w:val="008303E0"/>
    <w:rsid w:val="0084308D"/>
    <w:rsid w:val="008515C9"/>
    <w:rsid w:val="0086548A"/>
    <w:rsid w:val="008700F2"/>
    <w:rsid w:val="00874A67"/>
    <w:rsid w:val="00895122"/>
    <w:rsid w:val="008A7D26"/>
    <w:rsid w:val="008B1382"/>
    <w:rsid w:val="008D45EC"/>
    <w:rsid w:val="008F018A"/>
    <w:rsid w:val="008F5865"/>
    <w:rsid w:val="008F75D4"/>
    <w:rsid w:val="00902D9F"/>
    <w:rsid w:val="0090580F"/>
    <w:rsid w:val="009258CF"/>
    <w:rsid w:val="00955E15"/>
    <w:rsid w:val="009653EC"/>
    <w:rsid w:val="00977896"/>
    <w:rsid w:val="00983B4F"/>
    <w:rsid w:val="009B071D"/>
    <w:rsid w:val="009B780D"/>
    <w:rsid w:val="009C444F"/>
    <w:rsid w:val="009D5720"/>
    <w:rsid w:val="009E5D58"/>
    <w:rsid w:val="009E7C2A"/>
    <w:rsid w:val="009F267D"/>
    <w:rsid w:val="009F61B2"/>
    <w:rsid w:val="009F6704"/>
    <w:rsid w:val="00A06A3F"/>
    <w:rsid w:val="00A06BD6"/>
    <w:rsid w:val="00A22B20"/>
    <w:rsid w:val="00A267BE"/>
    <w:rsid w:val="00A26E77"/>
    <w:rsid w:val="00A375E7"/>
    <w:rsid w:val="00A42B4D"/>
    <w:rsid w:val="00A47CCA"/>
    <w:rsid w:val="00A61E78"/>
    <w:rsid w:val="00A8136A"/>
    <w:rsid w:val="00A815CA"/>
    <w:rsid w:val="00A92B87"/>
    <w:rsid w:val="00AA0496"/>
    <w:rsid w:val="00AB57D2"/>
    <w:rsid w:val="00B07455"/>
    <w:rsid w:val="00B149CD"/>
    <w:rsid w:val="00B15753"/>
    <w:rsid w:val="00B21D49"/>
    <w:rsid w:val="00B27A2E"/>
    <w:rsid w:val="00B34303"/>
    <w:rsid w:val="00B406F1"/>
    <w:rsid w:val="00B471FD"/>
    <w:rsid w:val="00BB4C99"/>
    <w:rsid w:val="00BF0CED"/>
    <w:rsid w:val="00BF1BF4"/>
    <w:rsid w:val="00BF4967"/>
    <w:rsid w:val="00C00798"/>
    <w:rsid w:val="00C041C0"/>
    <w:rsid w:val="00C04938"/>
    <w:rsid w:val="00C112B0"/>
    <w:rsid w:val="00C12EB0"/>
    <w:rsid w:val="00C251B0"/>
    <w:rsid w:val="00C34135"/>
    <w:rsid w:val="00C41D6D"/>
    <w:rsid w:val="00C4674A"/>
    <w:rsid w:val="00C5096F"/>
    <w:rsid w:val="00C60420"/>
    <w:rsid w:val="00C87C2D"/>
    <w:rsid w:val="00C975E5"/>
    <w:rsid w:val="00CA1535"/>
    <w:rsid w:val="00CA1BC4"/>
    <w:rsid w:val="00CB6CFD"/>
    <w:rsid w:val="00CE0589"/>
    <w:rsid w:val="00CE2516"/>
    <w:rsid w:val="00D126D4"/>
    <w:rsid w:val="00D46975"/>
    <w:rsid w:val="00D70F4A"/>
    <w:rsid w:val="00D975E3"/>
    <w:rsid w:val="00DB7BBE"/>
    <w:rsid w:val="00DB7E5A"/>
    <w:rsid w:val="00DE3011"/>
    <w:rsid w:val="00E0544B"/>
    <w:rsid w:val="00E13F42"/>
    <w:rsid w:val="00E219EF"/>
    <w:rsid w:val="00E220B2"/>
    <w:rsid w:val="00E253EE"/>
    <w:rsid w:val="00E55AD1"/>
    <w:rsid w:val="00E628AD"/>
    <w:rsid w:val="00E65F98"/>
    <w:rsid w:val="00E8093F"/>
    <w:rsid w:val="00E82101"/>
    <w:rsid w:val="00E8313B"/>
    <w:rsid w:val="00EA2037"/>
    <w:rsid w:val="00EB227E"/>
    <w:rsid w:val="00EB5A52"/>
    <w:rsid w:val="00EC0CCE"/>
    <w:rsid w:val="00EE1CD5"/>
    <w:rsid w:val="00F02882"/>
    <w:rsid w:val="00F06DE8"/>
    <w:rsid w:val="00F42CA4"/>
    <w:rsid w:val="00F42FF7"/>
    <w:rsid w:val="00F45CEC"/>
    <w:rsid w:val="00F605CF"/>
    <w:rsid w:val="00F6394F"/>
    <w:rsid w:val="00FA0053"/>
    <w:rsid w:val="00FA0224"/>
    <w:rsid w:val="00FA4DF1"/>
    <w:rsid w:val="00FE0123"/>
    <w:rsid w:val="00FF4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6876"/>
  <w15:chartTrackingRefBased/>
  <w15:docId w15:val="{52ED3A56-F1F8-2E4D-88F5-6368BCCF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C2"/>
    <w:pPr>
      <w:spacing w:line="360" w:lineRule="auto"/>
    </w:pPr>
    <w:rPr>
      <w:rFonts w:ascii="Arial" w:hAnsi="Arial"/>
    </w:rPr>
  </w:style>
  <w:style w:type="paragraph" w:styleId="Heading1">
    <w:name w:val="heading 1"/>
    <w:basedOn w:val="StatementHeading"/>
    <w:next w:val="Normal"/>
    <w:link w:val="Heading1Char"/>
    <w:uiPriority w:val="9"/>
    <w:qFormat/>
    <w:rsid w:val="00FF49BF"/>
    <w:pPr>
      <w:spacing w:line="276" w:lineRule="auto"/>
      <w:outlineLvl w:val="0"/>
    </w:pPr>
    <w:rPr>
      <w:rFonts w:ascii="Arial" w:hAnsi="Arial" w:cs="Arial"/>
      <w:b/>
      <w:color w:val="000000" w:themeColor="text1"/>
      <w:sz w:val="52"/>
    </w:rPr>
  </w:style>
  <w:style w:type="paragraph" w:styleId="Heading2">
    <w:name w:val="heading 2"/>
    <w:basedOn w:val="Normal"/>
    <w:next w:val="Normal"/>
    <w:link w:val="Heading2Char"/>
    <w:uiPriority w:val="9"/>
    <w:unhideWhenUsed/>
    <w:qFormat/>
    <w:rsid w:val="00E65F98"/>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13F4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0A42DF"/>
    <w:pPr>
      <w:keepNext/>
      <w:keepLines/>
      <w:spacing w:before="4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uiPriority w:val="99"/>
    <w:rsid w:val="00405981"/>
    <w:pPr>
      <w:suppressAutoHyphens/>
      <w:autoSpaceDE w:val="0"/>
      <w:autoSpaceDN w:val="0"/>
      <w:adjustRightInd w:val="0"/>
      <w:spacing w:before="120" w:after="120" w:line="720" w:lineRule="atLeast"/>
      <w:textAlignment w:val="center"/>
    </w:pPr>
    <w:rPr>
      <w:rFonts w:ascii="Effra" w:hAnsi="Effra" w:cs="Effra"/>
      <w:color w:val="000000" w:themeColor="text1"/>
      <w:sz w:val="68"/>
      <w:szCs w:val="68"/>
    </w:rPr>
  </w:style>
  <w:style w:type="paragraph" w:customStyle="1" w:styleId="StatementHeading">
    <w:name w:val="Statement Heading"/>
    <w:basedOn w:val="Normal"/>
    <w:uiPriority w:val="99"/>
    <w:qFormat/>
    <w:rsid w:val="00405981"/>
    <w:pPr>
      <w:suppressAutoHyphens/>
      <w:autoSpaceDE w:val="0"/>
      <w:autoSpaceDN w:val="0"/>
      <w:adjustRightInd w:val="0"/>
      <w:spacing w:after="113" w:line="580" w:lineRule="atLeast"/>
      <w:textAlignment w:val="center"/>
    </w:pPr>
    <w:rPr>
      <w:rFonts w:ascii="Effra" w:hAnsi="Effra" w:cs="Effra"/>
      <w:color w:val="008770"/>
      <w:sz w:val="54"/>
      <w:szCs w:val="54"/>
    </w:rPr>
  </w:style>
  <w:style w:type="paragraph" w:customStyle="1" w:styleId="BasicParagraph">
    <w:name w:val="[Basic Paragraph]"/>
    <w:basedOn w:val="Normal"/>
    <w:uiPriority w:val="99"/>
    <w:rsid w:val="00405981"/>
    <w:pPr>
      <w:autoSpaceDE w:val="0"/>
      <w:autoSpaceDN w:val="0"/>
      <w:adjustRightInd w:val="0"/>
      <w:spacing w:line="288" w:lineRule="auto"/>
      <w:textAlignment w:val="center"/>
    </w:pPr>
    <w:rPr>
      <w:rFonts w:ascii="Minion Pro" w:hAnsi="Minion Pro" w:cs="Minion Pro"/>
      <w:color w:val="000000"/>
    </w:rPr>
  </w:style>
  <w:style w:type="paragraph" w:styleId="TOC1">
    <w:name w:val="toc 1"/>
    <w:basedOn w:val="Normal"/>
    <w:next w:val="Normal"/>
    <w:autoRedefine/>
    <w:uiPriority w:val="39"/>
    <w:unhideWhenUsed/>
    <w:rsid w:val="00801BDE"/>
    <w:pPr>
      <w:spacing w:before="120"/>
    </w:pPr>
    <w:rPr>
      <w:rFonts w:asciiTheme="minorHAnsi" w:hAnsiTheme="minorHAnsi" w:cstheme="minorHAnsi"/>
      <w:b/>
      <w:bCs/>
      <w:i/>
      <w:iCs/>
    </w:rPr>
  </w:style>
  <w:style w:type="character" w:styleId="Hyperlink">
    <w:name w:val="Hyperlink"/>
    <w:basedOn w:val="DefaultParagraphFont"/>
    <w:uiPriority w:val="99"/>
    <w:unhideWhenUsed/>
    <w:rsid w:val="00405981"/>
    <w:rPr>
      <w:color w:val="0563C1" w:themeColor="hyperlink"/>
      <w:u w:val="single"/>
    </w:rPr>
  </w:style>
  <w:style w:type="paragraph" w:styleId="ListParagraph">
    <w:name w:val="List Paragraph"/>
    <w:basedOn w:val="Normal"/>
    <w:uiPriority w:val="34"/>
    <w:qFormat/>
    <w:rsid w:val="00AB57D2"/>
    <w:pPr>
      <w:ind w:left="720"/>
      <w:contextualSpacing/>
    </w:pPr>
  </w:style>
  <w:style w:type="paragraph" w:customStyle="1" w:styleId="Body">
    <w:name w:val="Body"/>
    <w:basedOn w:val="Normal"/>
    <w:uiPriority w:val="99"/>
    <w:rsid w:val="00AB57D2"/>
    <w:pPr>
      <w:tabs>
        <w:tab w:val="left" w:pos="198"/>
      </w:tabs>
      <w:suppressAutoHyphens/>
      <w:autoSpaceDE w:val="0"/>
      <w:autoSpaceDN w:val="0"/>
      <w:adjustRightInd w:val="0"/>
      <w:spacing w:after="142" w:line="240" w:lineRule="atLeast"/>
      <w:textAlignment w:val="center"/>
    </w:pPr>
    <w:rPr>
      <w:rFonts w:ascii="Axiforma Book" w:hAnsi="Axiforma Book" w:cs="Axiforma Book"/>
      <w:color w:val="000000"/>
      <w:sz w:val="16"/>
      <w:szCs w:val="16"/>
    </w:rPr>
  </w:style>
  <w:style w:type="paragraph" w:styleId="Subtitle">
    <w:name w:val="Subtitle"/>
    <w:basedOn w:val="Title"/>
    <w:link w:val="SubtitleChar"/>
    <w:uiPriority w:val="99"/>
    <w:qFormat/>
    <w:rsid w:val="00AB57D2"/>
    <w:pPr>
      <w:tabs>
        <w:tab w:val="left" w:pos="198"/>
      </w:tabs>
      <w:suppressAutoHyphens/>
      <w:autoSpaceDE w:val="0"/>
      <w:autoSpaceDN w:val="0"/>
      <w:adjustRightInd w:val="0"/>
      <w:spacing w:after="57" w:line="240" w:lineRule="atLeast"/>
      <w:contextualSpacing w:val="0"/>
      <w:textAlignment w:val="center"/>
    </w:pPr>
    <w:rPr>
      <w:rFonts w:ascii="Axiforma Medium" w:eastAsiaTheme="minorHAnsi" w:hAnsi="Axiforma Medium" w:cs="Axiforma Medium"/>
      <w:b/>
      <w:bCs/>
      <w:color w:val="5EB676"/>
      <w:spacing w:val="0"/>
      <w:kern w:val="0"/>
      <w:sz w:val="20"/>
      <w:szCs w:val="20"/>
    </w:rPr>
  </w:style>
  <w:style w:type="character" w:customStyle="1" w:styleId="SubtitleChar">
    <w:name w:val="Subtitle Char"/>
    <w:basedOn w:val="DefaultParagraphFont"/>
    <w:link w:val="Subtitle"/>
    <w:uiPriority w:val="99"/>
    <w:rsid w:val="00AB57D2"/>
    <w:rPr>
      <w:rFonts w:ascii="Axiforma Medium" w:hAnsi="Axiforma Medium" w:cs="Axiforma Medium"/>
      <w:b/>
      <w:bCs/>
      <w:color w:val="5EB676"/>
      <w:sz w:val="20"/>
      <w:szCs w:val="20"/>
    </w:rPr>
  </w:style>
  <w:style w:type="paragraph" w:styleId="Title">
    <w:name w:val="Title"/>
    <w:basedOn w:val="Normal"/>
    <w:next w:val="Normal"/>
    <w:link w:val="TitleChar"/>
    <w:uiPriority w:val="99"/>
    <w:qFormat/>
    <w:rsid w:val="00AB57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B57D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60420"/>
    <w:rPr>
      <w:color w:val="605E5C"/>
      <w:shd w:val="clear" w:color="auto" w:fill="E1DFDD"/>
    </w:rPr>
  </w:style>
  <w:style w:type="character" w:customStyle="1" w:styleId="Heading1Char">
    <w:name w:val="Heading 1 Char"/>
    <w:basedOn w:val="DefaultParagraphFont"/>
    <w:link w:val="Heading1"/>
    <w:uiPriority w:val="9"/>
    <w:rsid w:val="00FF49BF"/>
    <w:rPr>
      <w:rFonts w:ascii="Arial" w:hAnsi="Arial" w:cs="Arial"/>
      <w:b/>
      <w:color w:val="000000" w:themeColor="text1"/>
      <w:sz w:val="52"/>
      <w:szCs w:val="54"/>
    </w:rPr>
  </w:style>
  <w:style w:type="paragraph" w:styleId="TOCHeading">
    <w:name w:val="TOC Heading"/>
    <w:basedOn w:val="Heading1"/>
    <w:next w:val="Normal"/>
    <w:uiPriority w:val="39"/>
    <w:unhideWhenUsed/>
    <w:qFormat/>
    <w:rsid w:val="0041571F"/>
    <w:pPr>
      <w:spacing w:before="480"/>
      <w:outlineLvl w:val="9"/>
    </w:pPr>
    <w:rPr>
      <w:b w:val="0"/>
      <w:bCs/>
      <w:sz w:val="28"/>
      <w:szCs w:val="28"/>
      <w:lang w:val="en-US"/>
    </w:rPr>
  </w:style>
  <w:style w:type="paragraph" w:styleId="TOC2">
    <w:name w:val="toc 2"/>
    <w:basedOn w:val="Normal"/>
    <w:next w:val="Normal"/>
    <w:autoRedefine/>
    <w:uiPriority w:val="39"/>
    <w:unhideWhenUsed/>
    <w:rsid w:val="0041571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41571F"/>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1571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1571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1571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1571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1571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1571F"/>
    <w:pPr>
      <w:ind w:left="1920"/>
    </w:pPr>
    <w:rPr>
      <w:rFonts w:asciiTheme="minorHAnsi" w:hAnsiTheme="minorHAnsi" w:cstheme="minorHAnsi"/>
      <w:sz w:val="20"/>
      <w:szCs w:val="20"/>
    </w:rPr>
  </w:style>
  <w:style w:type="paragraph" w:styleId="Revision">
    <w:name w:val="Revision"/>
    <w:hidden/>
    <w:uiPriority w:val="99"/>
    <w:semiHidden/>
    <w:rsid w:val="00977896"/>
  </w:style>
  <w:style w:type="paragraph" w:customStyle="1" w:styleId="Bodycopy">
    <w:name w:val="Body copy"/>
    <w:basedOn w:val="Normal"/>
    <w:uiPriority w:val="99"/>
    <w:rsid w:val="00E55AD1"/>
    <w:pPr>
      <w:tabs>
        <w:tab w:val="left" w:pos="198"/>
      </w:tabs>
      <w:suppressAutoHyphens/>
      <w:autoSpaceDE w:val="0"/>
      <w:autoSpaceDN w:val="0"/>
      <w:adjustRightInd w:val="0"/>
      <w:spacing w:line="240" w:lineRule="atLeast"/>
      <w:textAlignment w:val="center"/>
    </w:pPr>
    <w:rPr>
      <w:rFonts w:ascii="Axiforma Book" w:hAnsi="Axiforma Book" w:cs="Axiforma Book"/>
      <w:color w:val="000000"/>
      <w:sz w:val="16"/>
      <w:szCs w:val="16"/>
    </w:rPr>
  </w:style>
  <w:style w:type="paragraph" w:styleId="NoSpacing">
    <w:name w:val="No Spacing"/>
    <w:uiPriority w:val="1"/>
    <w:qFormat/>
    <w:rsid w:val="00E55AD1"/>
  </w:style>
  <w:style w:type="paragraph" w:customStyle="1" w:styleId="ChapterHeading">
    <w:name w:val="Chapter Heading"/>
    <w:basedOn w:val="Bodycopy"/>
    <w:uiPriority w:val="99"/>
    <w:rsid w:val="002C56F6"/>
    <w:pPr>
      <w:spacing w:line="620" w:lineRule="atLeast"/>
    </w:pPr>
    <w:rPr>
      <w:rFonts w:ascii="Axiforma" w:hAnsi="Axiforma" w:cs="Axiforma"/>
      <w:b/>
      <w:bCs/>
      <w:color w:val="007D6C"/>
      <w:sz w:val="50"/>
      <w:szCs w:val="50"/>
    </w:rPr>
  </w:style>
  <w:style w:type="paragraph" w:customStyle="1" w:styleId="SmallHeading">
    <w:name w:val="Small Heading"/>
    <w:basedOn w:val="Bodycopy"/>
    <w:uiPriority w:val="99"/>
    <w:rsid w:val="002C56F6"/>
    <w:pPr>
      <w:tabs>
        <w:tab w:val="clear" w:pos="198"/>
        <w:tab w:val="left" w:pos="170"/>
      </w:tabs>
      <w:spacing w:before="85" w:after="57"/>
    </w:pPr>
    <w:rPr>
      <w:rFonts w:ascii="Axiforma" w:hAnsi="Axiforma" w:cs="Axiforma"/>
      <w:b/>
      <w:bCs/>
      <w:color w:val="5EB676"/>
      <w:sz w:val="19"/>
      <w:szCs w:val="19"/>
    </w:rPr>
  </w:style>
  <w:style w:type="paragraph" w:customStyle="1" w:styleId="Intro">
    <w:name w:val="Intro"/>
    <w:basedOn w:val="Bodycopy"/>
    <w:uiPriority w:val="99"/>
    <w:rsid w:val="007028AA"/>
    <w:pPr>
      <w:spacing w:after="397" w:line="340" w:lineRule="atLeast"/>
    </w:pPr>
    <w:rPr>
      <w:rFonts w:ascii="Axiforma Medium" w:hAnsi="Axiforma Medium" w:cs="Axiforma Medium"/>
      <w:color w:val="007D6C"/>
      <w:sz w:val="24"/>
      <w:szCs w:val="24"/>
    </w:rPr>
  </w:style>
  <w:style w:type="paragraph" w:customStyle="1" w:styleId="SubHeading">
    <w:name w:val="Sub Heading"/>
    <w:basedOn w:val="Bodycopy"/>
    <w:uiPriority w:val="99"/>
    <w:rsid w:val="007028AA"/>
    <w:pPr>
      <w:spacing w:before="85" w:after="85" w:line="300" w:lineRule="atLeast"/>
    </w:pPr>
    <w:rPr>
      <w:rFonts w:ascii="Axiforma" w:hAnsi="Axiforma" w:cs="Axiforma"/>
      <w:b/>
      <w:bCs/>
      <w:color w:val="007D6C"/>
      <w:sz w:val="24"/>
      <w:szCs w:val="24"/>
    </w:rPr>
  </w:style>
  <w:style w:type="character" w:customStyle="1" w:styleId="Heading2Char">
    <w:name w:val="Heading 2 Char"/>
    <w:basedOn w:val="DefaultParagraphFont"/>
    <w:link w:val="Heading2"/>
    <w:uiPriority w:val="9"/>
    <w:rsid w:val="00E65F98"/>
    <w:rPr>
      <w:rFonts w:ascii="Arial" w:eastAsiaTheme="majorEastAsia" w:hAnsi="Arial" w:cstheme="majorBidi"/>
      <w:b/>
      <w:color w:val="000000" w:themeColor="text1"/>
      <w:sz w:val="28"/>
      <w:szCs w:val="26"/>
    </w:rPr>
  </w:style>
  <w:style w:type="paragraph" w:customStyle="1" w:styleId="Bullets">
    <w:name w:val="Bullets"/>
    <w:basedOn w:val="Bodycopy"/>
    <w:uiPriority w:val="99"/>
    <w:rsid w:val="007028AA"/>
    <w:pPr>
      <w:tabs>
        <w:tab w:val="clear" w:pos="198"/>
        <w:tab w:val="left" w:pos="170"/>
      </w:tabs>
      <w:spacing w:after="28"/>
    </w:pPr>
  </w:style>
  <w:style w:type="paragraph" w:customStyle="1" w:styleId="NoParagraphStyle">
    <w:name w:val="[No Paragraph Style]"/>
    <w:rsid w:val="007028AA"/>
    <w:pPr>
      <w:autoSpaceDE w:val="0"/>
      <w:autoSpaceDN w:val="0"/>
      <w:adjustRightInd w:val="0"/>
      <w:spacing w:line="288" w:lineRule="auto"/>
      <w:textAlignment w:val="center"/>
    </w:pPr>
    <w:rPr>
      <w:rFonts w:ascii="Minion Pro" w:hAnsi="Minion Pro" w:cs="Minion Pro"/>
      <w:color w:val="000000"/>
    </w:rPr>
  </w:style>
  <w:style w:type="character" w:customStyle="1" w:styleId="Tablebold">
    <w:name w:val="Table bold"/>
    <w:uiPriority w:val="99"/>
    <w:rsid w:val="007028AA"/>
    <w:rPr>
      <w:rFonts w:ascii="Axiforma" w:hAnsi="Axiforma" w:cs="Axiforma"/>
      <w:b/>
      <w:bCs/>
      <w:color w:val="000000"/>
      <w:sz w:val="14"/>
      <w:szCs w:val="14"/>
    </w:rPr>
  </w:style>
  <w:style w:type="character" w:customStyle="1" w:styleId="TableHeading">
    <w:name w:val="Table Heading"/>
    <w:basedOn w:val="Tablebold"/>
    <w:uiPriority w:val="99"/>
    <w:rsid w:val="007028AA"/>
    <w:rPr>
      <w:rFonts w:ascii="Axiforma" w:hAnsi="Axiforma" w:cs="Axiforma"/>
      <w:b/>
      <w:bCs/>
      <w:outline/>
      <w:color w:val="000000"/>
      <w:sz w:val="14"/>
      <w:szCs w:val="14"/>
    </w:rPr>
  </w:style>
  <w:style w:type="character" w:customStyle="1" w:styleId="Tablebody">
    <w:name w:val="Table body"/>
    <w:uiPriority w:val="99"/>
    <w:rsid w:val="007028AA"/>
    <w:rPr>
      <w:rFonts w:ascii="Axiforma Book" w:hAnsi="Axiforma Book" w:cs="Axiforma Book"/>
      <w:color w:val="000000"/>
      <w:sz w:val="14"/>
      <w:szCs w:val="14"/>
    </w:rPr>
  </w:style>
  <w:style w:type="character" w:customStyle="1" w:styleId="Heading3Char">
    <w:name w:val="Heading 3 Char"/>
    <w:basedOn w:val="DefaultParagraphFont"/>
    <w:link w:val="Heading3"/>
    <w:uiPriority w:val="9"/>
    <w:rsid w:val="00E13F42"/>
    <w:rPr>
      <w:rFonts w:ascii="Arial" w:eastAsiaTheme="majorEastAsia" w:hAnsi="Arial" w:cstheme="majorBidi"/>
      <w:b/>
      <w:color w:val="000000" w:themeColor="text1"/>
    </w:rPr>
  </w:style>
  <w:style w:type="character" w:customStyle="1" w:styleId="BodyCopyBold">
    <w:name w:val="Body Copy Bold"/>
    <w:uiPriority w:val="99"/>
    <w:rsid w:val="00A42B4D"/>
    <w:rPr>
      <w:rFonts w:ascii="Axiforma" w:hAnsi="Axiforma" w:cs="Axiforma"/>
      <w:b/>
      <w:bCs/>
    </w:rPr>
  </w:style>
  <w:style w:type="character" w:customStyle="1" w:styleId="BodyItalic">
    <w:name w:val="Body Italic"/>
    <w:uiPriority w:val="99"/>
    <w:rsid w:val="003C19CC"/>
    <w:rPr>
      <w:rFonts w:ascii="Axiforma Book Italic" w:hAnsi="Axiforma Book Italic" w:cs="Axiforma Book Italic"/>
      <w:i/>
      <w:iCs/>
    </w:rPr>
  </w:style>
  <w:style w:type="paragraph" w:customStyle="1" w:styleId="FinancialSubHeading2">
    <w:name w:val="Financial Sub Heading 2"/>
    <w:basedOn w:val="Normal"/>
    <w:uiPriority w:val="99"/>
    <w:rsid w:val="00DB7BBE"/>
    <w:pPr>
      <w:tabs>
        <w:tab w:val="left" w:pos="198"/>
      </w:tabs>
      <w:suppressAutoHyphens/>
      <w:autoSpaceDE w:val="0"/>
      <w:autoSpaceDN w:val="0"/>
      <w:adjustRightInd w:val="0"/>
      <w:spacing w:after="57" w:line="300" w:lineRule="atLeast"/>
      <w:textAlignment w:val="center"/>
    </w:pPr>
    <w:rPr>
      <w:rFonts w:ascii="Axiforma SemiBold" w:hAnsi="Axiforma SemiBold" w:cs="Axiforma SemiBold"/>
      <w:b/>
      <w:bCs/>
      <w:color w:val="007D6C"/>
    </w:rPr>
  </w:style>
  <w:style w:type="paragraph" w:customStyle="1" w:styleId="SmallHeading2">
    <w:name w:val="Small Heading 2"/>
    <w:basedOn w:val="Bodycopy"/>
    <w:uiPriority w:val="99"/>
    <w:rsid w:val="000A42DF"/>
    <w:pPr>
      <w:tabs>
        <w:tab w:val="clear" w:pos="198"/>
        <w:tab w:val="left" w:pos="170"/>
      </w:tabs>
      <w:spacing w:after="57"/>
    </w:pPr>
    <w:rPr>
      <w:rFonts w:ascii="Axiforma Medium Italic" w:hAnsi="Axiforma Medium Italic" w:cs="Axiforma Medium Italic"/>
      <w:i/>
      <w:iCs/>
      <w:color w:val="5EB676"/>
      <w:sz w:val="19"/>
      <w:szCs w:val="19"/>
    </w:rPr>
  </w:style>
  <w:style w:type="character" w:customStyle="1" w:styleId="Heading4Char">
    <w:name w:val="Heading 4 Char"/>
    <w:basedOn w:val="DefaultParagraphFont"/>
    <w:link w:val="Heading4"/>
    <w:uiPriority w:val="9"/>
    <w:rsid w:val="000A42DF"/>
    <w:rPr>
      <w:rFonts w:ascii="Arial" w:eastAsiaTheme="majorEastAsia" w:hAnsi="Arial" w:cstheme="majorBidi"/>
      <w:b/>
      <w:i/>
      <w:iCs/>
      <w:color w:val="000000" w:themeColor="text1"/>
    </w:rPr>
  </w:style>
  <w:style w:type="paragraph" w:customStyle="1" w:styleId="TableBody0">
    <w:name w:val="Table Body"/>
    <w:basedOn w:val="Normal"/>
    <w:uiPriority w:val="99"/>
    <w:rsid w:val="00F605CF"/>
    <w:pPr>
      <w:tabs>
        <w:tab w:val="left" w:pos="198"/>
      </w:tabs>
      <w:suppressAutoHyphens/>
      <w:autoSpaceDE w:val="0"/>
      <w:autoSpaceDN w:val="0"/>
      <w:adjustRightInd w:val="0"/>
      <w:spacing w:line="180" w:lineRule="atLeast"/>
      <w:textAlignment w:val="center"/>
    </w:pPr>
    <w:rPr>
      <w:rFonts w:ascii="Axiforma Book" w:hAnsi="Axiforma Book" w:cs="Axiforma Book"/>
      <w:b/>
      <w:bCs/>
      <w:color w:val="000000"/>
      <w:sz w:val="14"/>
      <w:szCs w:val="14"/>
    </w:rPr>
  </w:style>
  <w:style w:type="paragraph" w:styleId="Footer">
    <w:name w:val="footer"/>
    <w:basedOn w:val="Normal"/>
    <w:link w:val="FooterChar"/>
    <w:uiPriority w:val="99"/>
    <w:unhideWhenUsed/>
    <w:rsid w:val="00C87C2D"/>
    <w:pPr>
      <w:tabs>
        <w:tab w:val="center" w:pos="4513"/>
        <w:tab w:val="right" w:pos="9026"/>
      </w:tabs>
      <w:spacing w:line="240" w:lineRule="auto"/>
    </w:pPr>
  </w:style>
  <w:style w:type="character" w:customStyle="1" w:styleId="FooterChar">
    <w:name w:val="Footer Char"/>
    <w:basedOn w:val="DefaultParagraphFont"/>
    <w:link w:val="Footer"/>
    <w:uiPriority w:val="99"/>
    <w:rsid w:val="00C87C2D"/>
    <w:rPr>
      <w:rFonts w:ascii="Arial" w:hAnsi="Arial"/>
    </w:rPr>
  </w:style>
  <w:style w:type="character" w:styleId="PageNumber">
    <w:name w:val="page number"/>
    <w:basedOn w:val="DefaultParagraphFont"/>
    <w:uiPriority w:val="99"/>
    <w:semiHidden/>
    <w:unhideWhenUsed/>
    <w:rsid w:val="00C87C2D"/>
  </w:style>
  <w:style w:type="character" w:styleId="CommentReference">
    <w:name w:val="annotation reference"/>
    <w:basedOn w:val="DefaultParagraphFont"/>
    <w:uiPriority w:val="99"/>
    <w:semiHidden/>
    <w:unhideWhenUsed/>
    <w:rsid w:val="002C0C23"/>
    <w:rPr>
      <w:sz w:val="16"/>
      <w:szCs w:val="16"/>
    </w:rPr>
  </w:style>
  <w:style w:type="paragraph" w:styleId="CommentText">
    <w:name w:val="annotation text"/>
    <w:basedOn w:val="Normal"/>
    <w:link w:val="CommentTextChar"/>
    <w:uiPriority w:val="99"/>
    <w:semiHidden/>
    <w:unhideWhenUsed/>
    <w:rsid w:val="002C0C23"/>
    <w:pPr>
      <w:spacing w:line="240" w:lineRule="auto"/>
    </w:pPr>
    <w:rPr>
      <w:sz w:val="20"/>
      <w:szCs w:val="20"/>
    </w:rPr>
  </w:style>
  <w:style w:type="character" w:customStyle="1" w:styleId="CommentTextChar">
    <w:name w:val="Comment Text Char"/>
    <w:basedOn w:val="DefaultParagraphFont"/>
    <w:link w:val="CommentText"/>
    <w:uiPriority w:val="99"/>
    <w:semiHidden/>
    <w:rsid w:val="002C0C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0C23"/>
    <w:rPr>
      <w:b/>
      <w:bCs/>
    </w:rPr>
  </w:style>
  <w:style w:type="character" w:customStyle="1" w:styleId="CommentSubjectChar">
    <w:name w:val="Comment Subject Char"/>
    <w:basedOn w:val="CommentTextChar"/>
    <w:link w:val="CommentSubject"/>
    <w:uiPriority w:val="99"/>
    <w:semiHidden/>
    <w:rsid w:val="002C0C23"/>
    <w:rPr>
      <w:rFonts w:ascii="Arial" w:hAnsi="Arial"/>
      <w:b/>
      <w:bCs/>
      <w:sz w:val="20"/>
      <w:szCs w:val="20"/>
    </w:rPr>
  </w:style>
  <w:style w:type="paragraph" w:customStyle="1" w:styleId="BodyCopy-White">
    <w:name w:val="Body Copy - White"/>
    <w:basedOn w:val="Normal"/>
    <w:uiPriority w:val="99"/>
    <w:rsid w:val="009F267D"/>
    <w:pPr>
      <w:tabs>
        <w:tab w:val="left" w:pos="660"/>
        <w:tab w:val="right" w:pos="4535"/>
      </w:tabs>
      <w:suppressAutoHyphens/>
      <w:autoSpaceDE w:val="0"/>
      <w:autoSpaceDN w:val="0"/>
      <w:adjustRightInd w:val="0"/>
      <w:spacing w:after="340" w:line="240" w:lineRule="atLeast"/>
      <w:textAlignment w:val="center"/>
    </w:pPr>
    <w:rPr>
      <w:rFonts w:ascii="Axiforma Light" w:hAnsi="Axiforma Light" w:cs="Axiforma Light"/>
      <w:color w:val="FFFFFF"/>
      <w:sz w:val="16"/>
      <w:szCs w:val="16"/>
    </w:rPr>
  </w:style>
  <w:style w:type="paragraph" w:customStyle="1" w:styleId="Highlightedcopy">
    <w:name w:val="Highlighted copy"/>
    <w:basedOn w:val="Heading3"/>
    <w:uiPriority w:val="99"/>
    <w:rsid w:val="009F267D"/>
    <w:pPr>
      <w:keepNext w:val="0"/>
      <w:keepLines w:val="0"/>
      <w:suppressAutoHyphens/>
      <w:autoSpaceDE w:val="0"/>
      <w:autoSpaceDN w:val="0"/>
      <w:adjustRightInd w:val="0"/>
      <w:spacing w:before="0" w:after="113" w:line="320" w:lineRule="atLeast"/>
      <w:textAlignment w:val="center"/>
      <w:outlineLvl w:val="9"/>
    </w:pPr>
    <w:rPr>
      <w:rFonts w:ascii="Axiforma SemiBold" w:eastAsiaTheme="minorHAnsi" w:hAnsi="Axiforma SemiBold" w:cs="Axiforma SemiBold"/>
      <w:bCs/>
      <w:color w:val="AFCA19"/>
      <w:spacing w:val="-6"/>
    </w:rPr>
  </w:style>
  <w:style w:type="paragraph" w:customStyle="1" w:styleId="BodyCopy-grey">
    <w:name w:val="Body Copy - grey"/>
    <w:basedOn w:val="Normal"/>
    <w:uiPriority w:val="99"/>
    <w:rsid w:val="009F267D"/>
    <w:pPr>
      <w:tabs>
        <w:tab w:val="left" w:pos="660"/>
        <w:tab w:val="right" w:pos="4535"/>
      </w:tabs>
      <w:suppressAutoHyphens/>
      <w:autoSpaceDE w:val="0"/>
      <w:autoSpaceDN w:val="0"/>
      <w:adjustRightInd w:val="0"/>
      <w:spacing w:after="170" w:line="240" w:lineRule="atLeast"/>
      <w:textAlignment w:val="center"/>
    </w:pPr>
    <w:rPr>
      <w:rFonts w:ascii="Axiforma Light" w:hAnsi="Axiforma Light" w:cs="Axiforma Light"/>
      <w:color w:val="000000"/>
      <w:sz w:val="16"/>
      <w:szCs w:val="16"/>
    </w:rPr>
  </w:style>
  <w:style w:type="table" w:styleId="TableGrid">
    <w:name w:val="Table Grid"/>
    <w:basedOn w:val="TableNormal"/>
    <w:uiPriority w:val="39"/>
    <w:rsid w:val="00E8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Bodycopy"/>
    <w:uiPriority w:val="99"/>
    <w:rsid w:val="00F45CEC"/>
    <w:pPr>
      <w:spacing w:line="160" w:lineRule="atLeast"/>
    </w:pPr>
    <w:rPr>
      <w:rFonts w:ascii="Axiforma" w:hAnsi="Axiforma" w:cs="Axiforma"/>
      <w:b/>
      <w:bCs/>
      <w:color w:val="FFFFFF"/>
      <w:sz w:val="14"/>
      <w:szCs w:val="14"/>
    </w:rPr>
  </w:style>
  <w:style w:type="paragraph" w:customStyle="1" w:styleId="TableTotal">
    <w:name w:val="Table Total"/>
    <w:basedOn w:val="TableBody0"/>
    <w:uiPriority w:val="99"/>
    <w:rsid w:val="00F45CEC"/>
    <w:rPr>
      <w:rFonts w:ascii="Axiforma" w:hAnsi="Axiforma" w:cs="Axiforma"/>
    </w:rPr>
  </w:style>
  <w:style w:type="paragraph" w:customStyle="1" w:styleId="Heading1-SectionTitle">
    <w:name w:val="Heading 1 - Section Title"/>
    <w:basedOn w:val="NoParagraphStyle"/>
    <w:uiPriority w:val="99"/>
    <w:rsid w:val="00F42CA4"/>
    <w:rPr>
      <w:rFonts w:ascii="Axiforma SemiBold" w:hAnsi="Axiforma SemiBold" w:cs="Axiforma SemiBold"/>
      <w:b/>
      <w:bCs/>
      <w:color w:val="FFFFFF"/>
      <w:spacing w:val="9"/>
      <w:sz w:val="44"/>
      <w:szCs w:val="44"/>
    </w:rPr>
  </w:style>
  <w:style w:type="paragraph" w:customStyle="1" w:styleId="ChapterHeadingDarkGreen">
    <w:name w:val="Chapter Heading Dark Green"/>
    <w:basedOn w:val="Bodycopy"/>
    <w:uiPriority w:val="99"/>
    <w:rsid w:val="00F42CA4"/>
    <w:pPr>
      <w:spacing w:line="620" w:lineRule="atLeast"/>
    </w:pPr>
    <w:rPr>
      <w:rFonts w:ascii="Axiforma" w:hAnsi="Axiforma" w:cs="Axiforma"/>
      <w:b/>
      <w:bCs/>
      <w:color w:val="054E5C"/>
      <w:sz w:val="44"/>
      <w:szCs w:val="44"/>
    </w:rPr>
  </w:style>
  <w:style w:type="paragraph" w:customStyle="1" w:styleId="FinanceHeading1">
    <w:name w:val="Finance Heading 1"/>
    <w:basedOn w:val="Bodycopy"/>
    <w:uiPriority w:val="99"/>
    <w:rsid w:val="00F06DE8"/>
    <w:pPr>
      <w:spacing w:after="170" w:line="540" w:lineRule="atLeast"/>
    </w:pPr>
    <w:rPr>
      <w:rFonts w:ascii="Axiforma" w:hAnsi="Axiforma" w:cs="Axiforma"/>
      <w:b/>
      <w:bCs/>
      <w:color w:val="00BF28"/>
      <w:sz w:val="50"/>
      <w:szCs w:val="50"/>
    </w:rPr>
  </w:style>
  <w:style w:type="paragraph" w:customStyle="1" w:styleId="FinancialHeading2">
    <w:name w:val="Financial Heading 2"/>
    <w:basedOn w:val="FinanceHeading1"/>
    <w:uiPriority w:val="99"/>
    <w:rsid w:val="00F06DE8"/>
    <w:pPr>
      <w:spacing w:line="300" w:lineRule="atLeast"/>
    </w:pPr>
    <w:rPr>
      <w:rFonts w:ascii="Axiforma SemiBold" w:hAnsi="Axiforma SemiBold" w:cs="Axiforma SemiBold"/>
      <w:sz w:val="24"/>
      <w:szCs w:val="24"/>
    </w:rPr>
  </w:style>
  <w:style w:type="paragraph" w:customStyle="1" w:styleId="TableBold0">
    <w:name w:val="Table Bold"/>
    <w:basedOn w:val="TableBody0"/>
    <w:uiPriority w:val="99"/>
    <w:rsid w:val="001A5A4F"/>
    <w:rPr>
      <w:rFonts w:ascii="Axiforma" w:hAnsi="Axiforma" w:cs="Axifo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ink.co.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8876-0DB9-8046-B29A-2716B934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127</Pages>
  <Words>32970</Words>
  <Characters>187933</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Anderson</dc:creator>
  <cp:keywords/>
  <dc:description/>
  <cp:lastModifiedBy>Marcin Wilkowski</cp:lastModifiedBy>
  <cp:revision>10</cp:revision>
  <dcterms:created xsi:type="dcterms:W3CDTF">2025-10-29T13:22:00Z</dcterms:created>
  <dcterms:modified xsi:type="dcterms:W3CDTF">2025-11-03T10:53:00Z</dcterms:modified>
</cp:coreProperties>
</file>