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202D" w14:textId="761584E5" w:rsidR="00C673A9" w:rsidRPr="00197B76" w:rsidRDefault="00C673A9" w:rsidP="00DD02BF">
      <w:pPr>
        <w:spacing w:after="191" w:line="259" w:lineRule="auto"/>
        <w:ind w:left="408" w:firstLine="0"/>
        <w:jc w:val="left"/>
        <w:rPr>
          <w:lang w:val="en-US"/>
        </w:rPr>
      </w:pPr>
    </w:p>
    <w:p w14:paraId="43C22B39" w14:textId="77777777" w:rsidR="00C673A9" w:rsidRPr="00AD0647" w:rsidRDefault="00C673A9" w:rsidP="00C673A9">
      <w:pPr>
        <w:spacing w:after="192" w:line="360" w:lineRule="auto"/>
        <w:ind w:left="403"/>
        <w:jc w:val="center"/>
      </w:pPr>
      <w:r w:rsidRPr="00AD0647">
        <w:rPr>
          <w:b/>
          <w:color w:val="3476B1"/>
          <w:sz w:val="40"/>
        </w:rPr>
        <w:t>Partnership Agreement between</w:t>
      </w:r>
    </w:p>
    <w:p w14:paraId="0B01117C" w14:textId="77777777" w:rsidR="00C673A9" w:rsidRPr="00AD0647" w:rsidRDefault="00C673A9" w:rsidP="00C673A9">
      <w:pPr>
        <w:spacing w:after="192" w:line="360" w:lineRule="auto"/>
        <w:ind w:left="403"/>
        <w:jc w:val="center"/>
        <w:rPr>
          <w:b/>
          <w:color w:val="2E74B5" w:themeColor="accent1" w:themeShade="BF"/>
          <w:sz w:val="40"/>
          <w:szCs w:val="40"/>
        </w:rPr>
      </w:pPr>
      <w:r w:rsidRPr="00AD0647">
        <w:rPr>
          <w:b/>
          <w:color w:val="3476B1"/>
          <w:sz w:val="40"/>
        </w:rPr>
        <w:t xml:space="preserve">The Department for Infrastructure </w:t>
      </w:r>
      <w:r w:rsidRPr="00AD0647">
        <w:rPr>
          <w:b/>
          <w:color w:val="2E74B5" w:themeColor="accent1" w:themeShade="BF"/>
          <w:sz w:val="40"/>
          <w:szCs w:val="40"/>
        </w:rPr>
        <w:t xml:space="preserve">and </w:t>
      </w:r>
    </w:p>
    <w:p w14:paraId="649788BE" w14:textId="77777777" w:rsidR="00383BF2" w:rsidRPr="00AD0647" w:rsidRDefault="00C673A9" w:rsidP="00C673A9">
      <w:pPr>
        <w:spacing w:after="192" w:line="360" w:lineRule="auto"/>
        <w:ind w:left="403"/>
        <w:jc w:val="center"/>
        <w:rPr>
          <w:b/>
          <w:color w:val="2E74B5" w:themeColor="accent1" w:themeShade="BF"/>
          <w:sz w:val="40"/>
          <w:szCs w:val="40"/>
          <w:shd w:val="clear" w:color="auto" w:fill="FFFFFF"/>
        </w:rPr>
      </w:pPr>
      <w:r w:rsidRPr="00AD0647">
        <w:rPr>
          <w:b/>
          <w:color w:val="2E74B5" w:themeColor="accent1" w:themeShade="BF"/>
          <w:sz w:val="40"/>
          <w:szCs w:val="40"/>
          <w:shd w:val="clear" w:color="auto" w:fill="FFFFFF"/>
        </w:rPr>
        <w:t xml:space="preserve">The Northern Ireland Transport Holding </w:t>
      </w:r>
    </w:p>
    <w:p w14:paraId="43088B7A" w14:textId="2465CEDF" w:rsidR="00C673A9" w:rsidRPr="00AD0647" w:rsidRDefault="00C673A9" w:rsidP="00C673A9">
      <w:pPr>
        <w:spacing w:after="192" w:line="360" w:lineRule="auto"/>
        <w:ind w:left="403"/>
        <w:jc w:val="center"/>
        <w:rPr>
          <w:b/>
          <w:color w:val="2E74B5" w:themeColor="accent1" w:themeShade="BF"/>
          <w:sz w:val="40"/>
          <w:szCs w:val="40"/>
          <w:shd w:val="clear" w:color="auto" w:fill="FFFFFF"/>
        </w:rPr>
      </w:pPr>
      <w:r w:rsidRPr="00AD0647">
        <w:rPr>
          <w:b/>
          <w:color w:val="2E74B5" w:themeColor="accent1" w:themeShade="BF"/>
          <w:sz w:val="40"/>
          <w:szCs w:val="40"/>
          <w:shd w:val="clear" w:color="auto" w:fill="FFFFFF"/>
        </w:rPr>
        <w:t>Company</w:t>
      </w:r>
    </w:p>
    <w:p w14:paraId="56E5300E" w14:textId="77777777" w:rsidR="00383BF2" w:rsidRPr="00AD0647" w:rsidRDefault="00383BF2" w:rsidP="00C673A9">
      <w:pPr>
        <w:spacing w:after="192" w:line="360" w:lineRule="auto"/>
        <w:ind w:left="403"/>
        <w:jc w:val="center"/>
        <w:rPr>
          <w:b/>
          <w:color w:val="2E74B5" w:themeColor="accent1" w:themeShade="BF"/>
          <w:sz w:val="40"/>
          <w:szCs w:val="40"/>
          <w:shd w:val="clear" w:color="auto" w:fill="FFFFFF"/>
        </w:rPr>
      </w:pPr>
    </w:p>
    <w:p w14:paraId="317167A6" w14:textId="0C9071E9" w:rsidR="00383BF2" w:rsidRPr="00AD0647" w:rsidRDefault="00383BF2" w:rsidP="00C673A9">
      <w:pPr>
        <w:spacing w:after="192" w:line="360" w:lineRule="auto"/>
        <w:ind w:left="403"/>
        <w:jc w:val="center"/>
        <w:rPr>
          <w:b/>
          <w:color w:val="2E74B5" w:themeColor="accent1" w:themeShade="BF"/>
          <w:sz w:val="40"/>
          <w:szCs w:val="40"/>
          <w:shd w:val="clear" w:color="auto" w:fill="FFFFFF"/>
        </w:rPr>
      </w:pPr>
    </w:p>
    <w:p w14:paraId="0D7B7C97" w14:textId="77777777" w:rsidR="00383BF2" w:rsidRPr="00AD0647" w:rsidRDefault="00383BF2" w:rsidP="001078B3">
      <w:pPr>
        <w:spacing w:after="192" w:line="360" w:lineRule="auto"/>
        <w:ind w:left="0" w:firstLine="0"/>
        <w:rPr>
          <w:b/>
          <w:color w:val="2E74B5" w:themeColor="accent1" w:themeShade="BF"/>
          <w:sz w:val="40"/>
          <w:szCs w:val="40"/>
        </w:rPr>
      </w:pPr>
    </w:p>
    <w:p w14:paraId="71CD6A07" w14:textId="66896CB9" w:rsidR="00F00921" w:rsidRPr="00AD0647" w:rsidRDefault="00F00921" w:rsidP="00383BF2">
      <w:pPr>
        <w:spacing w:after="191" w:line="259" w:lineRule="auto"/>
        <w:ind w:left="408" w:firstLine="0"/>
        <w:jc w:val="center"/>
        <w:rPr>
          <w:b/>
          <w:color w:val="3476B1"/>
          <w:sz w:val="40"/>
        </w:rPr>
      </w:pPr>
    </w:p>
    <w:tbl>
      <w:tblPr>
        <w:tblStyle w:val="TableGrid"/>
        <w:tblW w:w="0" w:type="auto"/>
        <w:tblLook w:val="04A0" w:firstRow="1" w:lastRow="0" w:firstColumn="1" w:lastColumn="0" w:noHBand="0" w:noVBand="1"/>
      </w:tblPr>
      <w:tblGrid>
        <w:gridCol w:w="4746"/>
        <w:gridCol w:w="4747"/>
      </w:tblGrid>
      <w:tr w:rsidR="003044DB" w14:paraId="33352369" w14:textId="77777777" w:rsidTr="006C1CDA">
        <w:tc>
          <w:tcPr>
            <w:tcW w:w="4746" w:type="dxa"/>
          </w:tcPr>
          <w:p w14:paraId="64575761" w14:textId="67EEC60B" w:rsidR="003044DB" w:rsidRDefault="00383BF2" w:rsidP="006C1CDA">
            <w:pPr>
              <w:spacing w:after="160" w:line="259" w:lineRule="auto"/>
              <w:ind w:left="0" w:firstLine="0"/>
              <w:jc w:val="left"/>
              <w:rPr>
                <w:sz w:val="40"/>
              </w:rPr>
            </w:pPr>
            <w:r w:rsidRPr="00AD0647">
              <w:rPr>
                <w:b/>
                <w:color w:val="3476B1"/>
                <w:sz w:val="40"/>
              </w:rPr>
              <w:br w:type="page"/>
            </w:r>
            <w:r w:rsidR="003044DB">
              <w:rPr>
                <w:b/>
                <w:color w:val="3476B1"/>
                <w:sz w:val="40"/>
              </w:rPr>
              <w:t xml:space="preserve">Original Document </w:t>
            </w:r>
          </w:p>
        </w:tc>
        <w:tc>
          <w:tcPr>
            <w:tcW w:w="4747" w:type="dxa"/>
          </w:tcPr>
          <w:p w14:paraId="05C00965" w14:textId="701D8654" w:rsidR="003044DB" w:rsidRDefault="003044DB" w:rsidP="006C1CDA">
            <w:pPr>
              <w:spacing w:after="160" w:line="259" w:lineRule="auto"/>
              <w:ind w:left="0" w:firstLine="0"/>
              <w:jc w:val="left"/>
              <w:rPr>
                <w:sz w:val="40"/>
              </w:rPr>
            </w:pPr>
            <w:r>
              <w:rPr>
                <w:sz w:val="40"/>
              </w:rPr>
              <w:t>17</w:t>
            </w:r>
            <w:r w:rsidRPr="003044DB">
              <w:rPr>
                <w:sz w:val="40"/>
                <w:vertAlign w:val="superscript"/>
              </w:rPr>
              <w:t>th</w:t>
            </w:r>
            <w:r>
              <w:rPr>
                <w:sz w:val="40"/>
              </w:rPr>
              <w:t xml:space="preserve"> May 2023</w:t>
            </w:r>
          </w:p>
        </w:tc>
      </w:tr>
      <w:tr w:rsidR="003044DB" w14:paraId="26ABD1BF" w14:textId="77777777" w:rsidTr="006C1CDA">
        <w:tc>
          <w:tcPr>
            <w:tcW w:w="4746" w:type="dxa"/>
          </w:tcPr>
          <w:p w14:paraId="189C4412" w14:textId="16983EC9" w:rsidR="003044DB" w:rsidRDefault="003044DB" w:rsidP="006C1CDA">
            <w:pPr>
              <w:spacing w:after="160" w:line="259" w:lineRule="auto"/>
              <w:ind w:left="0" w:firstLine="0"/>
              <w:jc w:val="left"/>
              <w:rPr>
                <w:sz w:val="40"/>
              </w:rPr>
            </w:pPr>
            <w:r>
              <w:rPr>
                <w:sz w:val="40"/>
              </w:rPr>
              <w:t xml:space="preserve">Light touch review </w:t>
            </w:r>
          </w:p>
        </w:tc>
        <w:tc>
          <w:tcPr>
            <w:tcW w:w="4747" w:type="dxa"/>
          </w:tcPr>
          <w:p w14:paraId="3DEC209C" w14:textId="07C259D2" w:rsidR="003044DB" w:rsidRDefault="003044DB" w:rsidP="006C1CDA">
            <w:pPr>
              <w:spacing w:after="160" w:line="259" w:lineRule="auto"/>
              <w:ind w:left="0" w:firstLine="0"/>
              <w:jc w:val="left"/>
              <w:rPr>
                <w:sz w:val="40"/>
              </w:rPr>
            </w:pPr>
            <w:r>
              <w:rPr>
                <w:sz w:val="40"/>
              </w:rPr>
              <w:t>19</w:t>
            </w:r>
            <w:r w:rsidRPr="003044DB">
              <w:rPr>
                <w:sz w:val="40"/>
                <w:vertAlign w:val="superscript"/>
              </w:rPr>
              <w:t>th</w:t>
            </w:r>
            <w:r>
              <w:rPr>
                <w:sz w:val="40"/>
              </w:rPr>
              <w:t xml:space="preserve"> September 2024</w:t>
            </w:r>
          </w:p>
        </w:tc>
      </w:tr>
      <w:tr w:rsidR="003044DB" w14:paraId="14E8BFA5" w14:textId="77777777" w:rsidTr="006C1CDA">
        <w:tc>
          <w:tcPr>
            <w:tcW w:w="4746" w:type="dxa"/>
          </w:tcPr>
          <w:p w14:paraId="30CEADBE" w14:textId="2E918C93" w:rsidR="003044DB" w:rsidRDefault="003044DB" w:rsidP="006C1CDA">
            <w:pPr>
              <w:spacing w:after="160" w:line="259" w:lineRule="auto"/>
              <w:ind w:left="0" w:firstLine="0"/>
              <w:jc w:val="left"/>
              <w:rPr>
                <w:sz w:val="40"/>
              </w:rPr>
            </w:pPr>
            <w:r>
              <w:rPr>
                <w:sz w:val="40"/>
              </w:rPr>
              <w:t xml:space="preserve">Light touch review </w:t>
            </w:r>
          </w:p>
        </w:tc>
        <w:tc>
          <w:tcPr>
            <w:tcW w:w="4747" w:type="dxa"/>
          </w:tcPr>
          <w:p w14:paraId="03EC2233" w14:textId="42A32160" w:rsidR="003044DB" w:rsidRDefault="00F754BE" w:rsidP="006C1CDA">
            <w:pPr>
              <w:spacing w:after="160" w:line="259" w:lineRule="auto"/>
              <w:ind w:left="0" w:firstLine="0"/>
              <w:jc w:val="left"/>
              <w:rPr>
                <w:sz w:val="40"/>
              </w:rPr>
            </w:pPr>
            <w:r>
              <w:rPr>
                <w:sz w:val="40"/>
              </w:rPr>
              <w:t>4</w:t>
            </w:r>
            <w:r w:rsidRPr="00F754BE">
              <w:rPr>
                <w:sz w:val="40"/>
                <w:vertAlign w:val="superscript"/>
              </w:rPr>
              <w:t>th</w:t>
            </w:r>
            <w:r>
              <w:rPr>
                <w:sz w:val="40"/>
              </w:rPr>
              <w:t xml:space="preserve"> December 2</w:t>
            </w:r>
            <w:r w:rsidR="003044DB">
              <w:rPr>
                <w:sz w:val="40"/>
              </w:rPr>
              <w:t>025</w:t>
            </w:r>
          </w:p>
        </w:tc>
      </w:tr>
    </w:tbl>
    <w:p w14:paraId="59ECA299" w14:textId="6D99BA4C" w:rsidR="003044DB" w:rsidRPr="007A70A5" w:rsidRDefault="003044DB" w:rsidP="007A70A5">
      <w:pPr>
        <w:spacing w:after="160" w:line="259" w:lineRule="auto"/>
        <w:ind w:left="0" w:firstLine="0"/>
        <w:jc w:val="left"/>
        <w:rPr>
          <w:sz w:val="40"/>
        </w:rPr>
      </w:pPr>
    </w:p>
    <w:p w14:paraId="5607E8BF" w14:textId="12FEF43E" w:rsidR="00C673A9" w:rsidRDefault="00C673A9" w:rsidP="007A70A5">
      <w:pPr>
        <w:spacing w:after="160" w:line="259" w:lineRule="auto"/>
        <w:ind w:left="0" w:firstLine="0"/>
        <w:jc w:val="left"/>
        <w:rPr>
          <w:sz w:val="40"/>
        </w:rPr>
      </w:pPr>
    </w:p>
    <w:p w14:paraId="16573070" w14:textId="77777777" w:rsidR="003044DB" w:rsidRDefault="003044DB" w:rsidP="007A70A5">
      <w:pPr>
        <w:spacing w:after="160" w:line="259" w:lineRule="auto"/>
        <w:ind w:left="0" w:firstLine="0"/>
        <w:jc w:val="left"/>
        <w:rPr>
          <w:sz w:val="40"/>
        </w:rPr>
      </w:pPr>
    </w:p>
    <w:p w14:paraId="103AE03B" w14:textId="77777777" w:rsidR="003044DB" w:rsidRDefault="003044DB" w:rsidP="007A70A5">
      <w:pPr>
        <w:spacing w:after="160" w:line="259" w:lineRule="auto"/>
        <w:ind w:left="0" w:firstLine="0"/>
        <w:jc w:val="left"/>
        <w:rPr>
          <w:sz w:val="40"/>
        </w:rPr>
      </w:pPr>
    </w:p>
    <w:p w14:paraId="7CCD7F25" w14:textId="77777777" w:rsidR="003044DB" w:rsidRDefault="003044DB" w:rsidP="007A70A5">
      <w:pPr>
        <w:spacing w:after="160" w:line="259" w:lineRule="auto"/>
        <w:ind w:left="0" w:firstLine="0"/>
        <w:jc w:val="left"/>
        <w:rPr>
          <w:sz w:val="40"/>
        </w:rPr>
      </w:pPr>
    </w:p>
    <w:p w14:paraId="27325B2B" w14:textId="77777777" w:rsidR="003044DB" w:rsidRDefault="003044DB" w:rsidP="007A70A5">
      <w:pPr>
        <w:spacing w:after="160" w:line="259" w:lineRule="auto"/>
        <w:ind w:left="0" w:firstLine="0"/>
        <w:jc w:val="left"/>
        <w:rPr>
          <w:sz w:val="40"/>
        </w:rPr>
      </w:pPr>
    </w:p>
    <w:p w14:paraId="26433AD1" w14:textId="77777777" w:rsidR="003044DB" w:rsidRDefault="003044DB" w:rsidP="007A70A5">
      <w:pPr>
        <w:spacing w:after="160" w:line="259" w:lineRule="auto"/>
        <w:ind w:left="0" w:firstLine="0"/>
        <w:jc w:val="left"/>
        <w:rPr>
          <w:sz w:val="40"/>
        </w:rPr>
      </w:pPr>
    </w:p>
    <w:p w14:paraId="7A6922ED" w14:textId="77777777" w:rsidR="003044DB" w:rsidRDefault="003044DB" w:rsidP="007A70A5">
      <w:pPr>
        <w:spacing w:after="160" w:line="259" w:lineRule="auto"/>
        <w:ind w:left="0" w:firstLine="0"/>
        <w:jc w:val="left"/>
        <w:rPr>
          <w:sz w:val="40"/>
        </w:rPr>
      </w:pPr>
    </w:p>
    <w:p w14:paraId="4521A24F" w14:textId="77777777" w:rsidR="003044DB" w:rsidRPr="007A70A5" w:rsidRDefault="003044DB" w:rsidP="007A70A5">
      <w:pPr>
        <w:spacing w:after="160" w:line="259" w:lineRule="auto"/>
        <w:ind w:left="0" w:firstLine="0"/>
        <w:jc w:val="left"/>
        <w:rPr>
          <w:sz w:val="40"/>
        </w:rPr>
      </w:pPr>
    </w:p>
    <w:p w14:paraId="0878BCA9" w14:textId="77777777" w:rsidR="00C673A9" w:rsidRPr="00AD0647" w:rsidRDefault="00C673A9" w:rsidP="004839E8">
      <w:pPr>
        <w:spacing w:after="193" w:line="259" w:lineRule="auto"/>
        <w:ind w:left="408" w:firstLine="0"/>
        <w:jc w:val="left"/>
      </w:pPr>
      <w:r w:rsidRPr="00AD0647">
        <w:rPr>
          <w:sz w:val="40"/>
        </w:rPr>
        <w:lastRenderedPageBreak/>
        <w:t xml:space="preserve"> </w:t>
      </w:r>
    </w:p>
    <w:sdt>
      <w:sdtPr>
        <w:id w:val="798654103"/>
        <w:docPartObj>
          <w:docPartGallery w:val="Table of Contents"/>
        </w:docPartObj>
      </w:sdtPr>
      <w:sdtContent>
        <w:p w14:paraId="1AEA47A2" w14:textId="77777777" w:rsidR="00C673A9" w:rsidRPr="00AD0647" w:rsidRDefault="00C673A9" w:rsidP="00C673A9">
          <w:pPr>
            <w:spacing w:after="115" w:line="259" w:lineRule="auto"/>
            <w:ind w:left="338" w:firstLine="0"/>
            <w:jc w:val="center"/>
          </w:pPr>
          <w:r w:rsidRPr="00AD0647">
            <w:rPr>
              <w:b/>
              <w:color w:val="0070C0"/>
            </w:rPr>
            <w:t xml:space="preserve">CONTENTS </w:t>
          </w:r>
        </w:p>
        <w:p w14:paraId="28CADA16" w14:textId="74725F9E" w:rsidR="00B04E92" w:rsidRPr="00AD0647" w:rsidRDefault="00C673A9">
          <w:pPr>
            <w:pStyle w:val="TOC1"/>
            <w:tabs>
              <w:tab w:val="right" w:leader="dot" w:pos="9493"/>
            </w:tabs>
            <w:rPr>
              <w:rFonts w:asciiTheme="minorHAnsi" w:eastAsiaTheme="minorEastAsia" w:hAnsiTheme="minorHAnsi" w:cstheme="minorBidi"/>
              <w:noProof/>
              <w:color w:val="auto"/>
              <w:sz w:val="22"/>
            </w:rPr>
          </w:pPr>
          <w:r w:rsidRPr="00AD0647">
            <w:fldChar w:fldCharType="begin"/>
          </w:r>
          <w:r w:rsidRPr="00AD0647">
            <w:instrText xml:space="preserve"> TOC \o "1-2" \h \z \u </w:instrText>
          </w:r>
          <w:r w:rsidRPr="00AD0647">
            <w:fldChar w:fldCharType="separate"/>
          </w:r>
          <w:hyperlink w:anchor="_Toc74642987" w:history="1">
            <w:r w:rsidR="00B04E92" w:rsidRPr="00AD0647">
              <w:rPr>
                <w:rStyle w:val="Hyperlink"/>
                <w:noProof/>
              </w:rPr>
              <w:t>Introduction</w:t>
            </w:r>
            <w:r w:rsidR="00B04E92" w:rsidRPr="00AD0647">
              <w:rPr>
                <w:noProof/>
                <w:webHidden/>
              </w:rPr>
              <w:tab/>
            </w:r>
            <w:r w:rsidR="00B04E92" w:rsidRPr="00AD0647">
              <w:rPr>
                <w:noProof/>
                <w:webHidden/>
              </w:rPr>
              <w:fldChar w:fldCharType="begin"/>
            </w:r>
            <w:r w:rsidR="00B04E92" w:rsidRPr="00AD0647">
              <w:rPr>
                <w:noProof/>
                <w:webHidden/>
              </w:rPr>
              <w:instrText xml:space="preserve"> PAGEREF _Toc74642987 \h </w:instrText>
            </w:r>
            <w:r w:rsidR="00B04E92" w:rsidRPr="00AD0647">
              <w:rPr>
                <w:noProof/>
                <w:webHidden/>
              </w:rPr>
            </w:r>
            <w:r w:rsidR="00B04E92" w:rsidRPr="00AD0647">
              <w:rPr>
                <w:noProof/>
                <w:webHidden/>
              </w:rPr>
              <w:fldChar w:fldCharType="separate"/>
            </w:r>
            <w:r w:rsidR="001A616E">
              <w:rPr>
                <w:noProof/>
                <w:webHidden/>
              </w:rPr>
              <w:t>4</w:t>
            </w:r>
            <w:r w:rsidR="00B04E92" w:rsidRPr="00AD0647">
              <w:rPr>
                <w:noProof/>
                <w:webHidden/>
              </w:rPr>
              <w:fldChar w:fldCharType="end"/>
            </w:r>
          </w:hyperlink>
        </w:p>
        <w:p w14:paraId="091D355E" w14:textId="6AA96861"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88" w:history="1">
            <w:r w:rsidRPr="00AD0647">
              <w:rPr>
                <w:rStyle w:val="Hyperlink"/>
                <w:noProof/>
              </w:rPr>
              <w:t xml:space="preserve">1. </w:t>
            </w:r>
            <w:r w:rsidRPr="00AD0647">
              <w:rPr>
                <w:rFonts w:asciiTheme="minorHAnsi" w:eastAsiaTheme="minorEastAsia" w:hAnsiTheme="minorHAnsi" w:cstheme="minorBidi"/>
                <w:noProof/>
                <w:color w:val="auto"/>
                <w:sz w:val="22"/>
              </w:rPr>
              <w:tab/>
            </w:r>
            <w:r w:rsidRPr="00AD0647">
              <w:rPr>
                <w:rStyle w:val="Hyperlink"/>
                <w:noProof/>
              </w:rPr>
              <w:t>The Partnership Agreement</w:t>
            </w:r>
            <w:r w:rsidRPr="00AD0647">
              <w:rPr>
                <w:noProof/>
                <w:webHidden/>
              </w:rPr>
              <w:tab/>
            </w:r>
            <w:r w:rsidRPr="00AD0647">
              <w:rPr>
                <w:noProof/>
                <w:webHidden/>
              </w:rPr>
              <w:fldChar w:fldCharType="begin"/>
            </w:r>
            <w:r w:rsidRPr="00AD0647">
              <w:rPr>
                <w:noProof/>
                <w:webHidden/>
              </w:rPr>
              <w:instrText xml:space="preserve"> PAGEREF _Toc74642988 \h </w:instrText>
            </w:r>
            <w:r w:rsidRPr="00AD0647">
              <w:rPr>
                <w:noProof/>
                <w:webHidden/>
              </w:rPr>
            </w:r>
            <w:r w:rsidRPr="00AD0647">
              <w:rPr>
                <w:noProof/>
                <w:webHidden/>
              </w:rPr>
              <w:fldChar w:fldCharType="separate"/>
            </w:r>
            <w:r w:rsidR="001A616E">
              <w:rPr>
                <w:noProof/>
                <w:webHidden/>
              </w:rPr>
              <w:t>4</w:t>
            </w:r>
            <w:r w:rsidRPr="00AD0647">
              <w:rPr>
                <w:noProof/>
                <w:webHidden/>
              </w:rPr>
              <w:fldChar w:fldCharType="end"/>
            </w:r>
          </w:hyperlink>
        </w:p>
        <w:p w14:paraId="4095138A" w14:textId="732DEE7F" w:rsidR="00B04E92" w:rsidRPr="00AD0647" w:rsidRDefault="00B04E92">
          <w:pPr>
            <w:pStyle w:val="TOC1"/>
            <w:tabs>
              <w:tab w:val="right" w:leader="dot" w:pos="9493"/>
            </w:tabs>
            <w:rPr>
              <w:rFonts w:asciiTheme="minorHAnsi" w:eastAsiaTheme="minorEastAsia" w:hAnsiTheme="minorHAnsi" w:cstheme="minorBidi"/>
              <w:noProof/>
              <w:color w:val="auto"/>
              <w:sz w:val="22"/>
            </w:rPr>
          </w:pPr>
          <w:hyperlink w:anchor="_Toc74642989" w:history="1">
            <w:r w:rsidRPr="00AD0647">
              <w:rPr>
                <w:rStyle w:val="Hyperlink"/>
                <w:noProof/>
              </w:rPr>
              <w:t>NITHC Establishment and Purpose</w:t>
            </w:r>
            <w:r w:rsidRPr="00AD0647">
              <w:rPr>
                <w:noProof/>
                <w:webHidden/>
              </w:rPr>
              <w:tab/>
            </w:r>
            <w:r w:rsidRPr="00AD0647">
              <w:rPr>
                <w:noProof/>
                <w:webHidden/>
              </w:rPr>
              <w:fldChar w:fldCharType="begin"/>
            </w:r>
            <w:r w:rsidRPr="00AD0647">
              <w:rPr>
                <w:noProof/>
                <w:webHidden/>
              </w:rPr>
              <w:instrText xml:space="preserve"> PAGEREF _Toc74642989 \h </w:instrText>
            </w:r>
            <w:r w:rsidRPr="00AD0647">
              <w:rPr>
                <w:noProof/>
                <w:webHidden/>
              </w:rPr>
            </w:r>
            <w:r w:rsidRPr="00AD0647">
              <w:rPr>
                <w:noProof/>
                <w:webHidden/>
              </w:rPr>
              <w:fldChar w:fldCharType="separate"/>
            </w:r>
            <w:r w:rsidR="001A616E">
              <w:rPr>
                <w:noProof/>
                <w:webHidden/>
              </w:rPr>
              <w:t>7</w:t>
            </w:r>
            <w:r w:rsidRPr="00AD0647">
              <w:rPr>
                <w:noProof/>
                <w:webHidden/>
              </w:rPr>
              <w:fldChar w:fldCharType="end"/>
            </w:r>
          </w:hyperlink>
        </w:p>
        <w:p w14:paraId="321B7E69" w14:textId="1E96474E"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0" w:history="1">
            <w:r w:rsidRPr="00AD0647">
              <w:rPr>
                <w:rStyle w:val="Hyperlink"/>
                <w:noProof/>
              </w:rPr>
              <w:t xml:space="preserve">2. </w:t>
            </w:r>
            <w:r w:rsidRPr="00AD0647">
              <w:rPr>
                <w:rFonts w:asciiTheme="minorHAnsi" w:eastAsiaTheme="minorEastAsia" w:hAnsiTheme="minorHAnsi" w:cstheme="minorBidi"/>
                <w:noProof/>
                <w:color w:val="auto"/>
                <w:sz w:val="22"/>
              </w:rPr>
              <w:tab/>
            </w:r>
            <w:r w:rsidRPr="00AD0647">
              <w:rPr>
                <w:rStyle w:val="Hyperlink"/>
                <w:noProof/>
              </w:rPr>
              <w:t>Statutory Purpose and Strategic Objectives</w:t>
            </w:r>
            <w:r w:rsidRPr="00AD0647">
              <w:rPr>
                <w:noProof/>
                <w:webHidden/>
              </w:rPr>
              <w:tab/>
            </w:r>
            <w:r w:rsidRPr="00AD0647">
              <w:rPr>
                <w:noProof/>
                <w:webHidden/>
              </w:rPr>
              <w:fldChar w:fldCharType="begin"/>
            </w:r>
            <w:r w:rsidRPr="00AD0647">
              <w:rPr>
                <w:noProof/>
                <w:webHidden/>
              </w:rPr>
              <w:instrText xml:space="preserve"> PAGEREF _Toc74642990 \h </w:instrText>
            </w:r>
            <w:r w:rsidRPr="00AD0647">
              <w:rPr>
                <w:noProof/>
                <w:webHidden/>
              </w:rPr>
            </w:r>
            <w:r w:rsidRPr="00AD0647">
              <w:rPr>
                <w:noProof/>
                <w:webHidden/>
              </w:rPr>
              <w:fldChar w:fldCharType="separate"/>
            </w:r>
            <w:r w:rsidR="001A616E">
              <w:rPr>
                <w:noProof/>
                <w:webHidden/>
              </w:rPr>
              <w:t>7</w:t>
            </w:r>
            <w:r w:rsidRPr="00AD0647">
              <w:rPr>
                <w:noProof/>
                <w:webHidden/>
              </w:rPr>
              <w:fldChar w:fldCharType="end"/>
            </w:r>
          </w:hyperlink>
        </w:p>
        <w:p w14:paraId="63CD3D7C" w14:textId="0392772D" w:rsidR="00B04E92" w:rsidRPr="00AD0647" w:rsidRDefault="00B04E92">
          <w:pPr>
            <w:pStyle w:val="TOC1"/>
            <w:tabs>
              <w:tab w:val="right" w:leader="dot" w:pos="9493"/>
            </w:tabs>
            <w:rPr>
              <w:rFonts w:asciiTheme="minorHAnsi" w:eastAsiaTheme="minorEastAsia" w:hAnsiTheme="minorHAnsi" w:cstheme="minorBidi"/>
              <w:noProof/>
              <w:color w:val="auto"/>
              <w:sz w:val="22"/>
            </w:rPr>
          </w:pPr>
          <w:hyperlink w:anchor="_Toc74642991" w:history="1">
            <w:r w:rsidRPr="00AD0647">
              <w:rPr>
                <w:rStyle w:val="Hyperlink"/>
                <w:noProof/>
              </w:rPr>
              <w:t>NITHC Governance Arrangements</w:t>
            </w:r>
            <w:r w:rsidRPr="00AD0647">
              <w:rPr>
                <w:noProof/>
                <w:webHidden/>
              </w:rPr>
              <w:tab/>
            </w:r>
          </w:hyperlink>
          <w:r w:rsidR="004D49F7" w:rsidRPr="00AD0647">
            <w:rPr>
              <w:noProof/>
              <w:webHidden/>
            </w:rPr>
            <w:fldChar w:fldCharType="begin"/>
          </w:r>
          <w:r w:rsidR="004D49F7" w:rsidRPr="00AD0647">
            <w:rPr>
              <w:noProof/>
              <w:webHidden/>
            </w:rPr>
            <w:instrText xml:space="preserve"> PAGEREF _Toc74642991 \h </w:instrText>
          </w:r>
          <w:r w:rsidR="004D49F7" w:rsidRPr="00AD0647">
            <w:rPr>
              <w:noProof/>
              <w:webHidden/>
            </w:rPr>
          </w:r>
          <w:r w:rsidR="004D49F7" w:rsidRPr="00AD0647">
            <w:rPr>
              <w:noProof/>
              <w:webHidden/>
            </w:rPr>
            <w:fldChar w:fldCharType="separate"/>
          </w:r>
          <w:r w:rsidR="001A616E">
            <w:rPr>
              <w:noProof/>
              <w:webHidden/>
            </w:rPr>
            <w:t>9</w:t>
          </w:r>
          <w:r w:rsidR="004D49F7" w:rsidRPr="00AD0647">
            <w:rPr>
              <w:noProof/>
              <w:webHidden/>
            </w:rPr>
            <w:fldChar w:fldCharType="end"/>
          </w:r>
        </w:p>
        <w:p w14:paraId="53BCB8DA" w14:textId="0B02A1AB"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2" w:history="1">
            <w:r w:rsidRPr="00AD0647">
              <w:rPr>
                <w:rStyle w:val="Hyperlink"/>
                <w:noProof/>
              </w:rPr>
              <w:t xml:space="preserve">3. </w:t>
            </w:r>
            <w:r w:rsidRPr="00AD0647">
              <w:rPr>
                <w:rFonts w:asciiTheme="minorHAnsi" w:eastAsiaTheme="minorEastAsia" w:hAnsiTheme="minorHAnsi" w:cstheme="minorBidi"/>
                <w:noProof/>
                <w:color w:val="auto"/>
                <w:sz w:val="22"/>
              </w:rPr>
              <w:tab/>
            </w:r>
            <w:r w:rsidRPr="00AD0647">
              <w:rPr>
                <w:rStyle w:val="Hyperlink"/>
                <w:noProof/>
              </w:rPr>
              <w:t>Organisational Status</w:t>
            </w:r>
            <w:r w:rsidRPr="00AD0647">
              <w:rPr>
                <w:noProof/>
                <w:webHidden/>
              </w:rPr>
              <w:tab/>
            </w:r>
            <w:r w:rsidRPr="00AD0647">
              <w:rPr>
                <w:noProof/>
                <w:webHidden/>
              </w:rPr>
              <w:fldChar w:fldCharType="begin"/>
            </w:r>
            <w:r w:rsidRPr="00AD0647">
              <w:rPr>
                <w:noProof/>
                <w:webHidden/>
              </w:rPr>
              <w:instrText xml:space="preserve"> PAGEREF _Toc74642992 \h </w:instrText>
            </w:r>
            <w:r w:rsidRPr="00AD0647">
              <w:rPr>
                <w:noProof/>
                <w:webHidden/>
              </w:rPr>
            </w:r>
            <w:r w:rsidRPr="00AD0647">
              <w:rPr>
                <w:noProof/>
                <w:webHidden/>
              </w:rPr>
              <w:fldChar w:fldCharType="separate"/>
            </w:r>
            <w:r w:rsidR="001A616E">
              <w:rPr>
                <w:noProof/>
                <w:webHidden/>
              </w:rPr>
              <w:t>9</w:t>
            </w:r>
            <w:r w:rsidRPr="00AD0647">
              <w:rPr>
                <w:noProof/>
                <w:webHidden/>
              </w:rPr>
              <w:fldChar w:fldCharType="end"/>
            </w:r>
          </w:hyperlink>
        </w:p>
        <w:p w14:paraId="0A0C783D" w14:textId="5BA8C243"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3" w:history="1">
            <w:r w:rsidRPr="00AD0647">
              <w:rPr>
                <w:rStyle w:val="Hyperlink"/>
                <w:noProof/>
              </w:rPr>
              <w:t xml:space="preserve">4. </w:t>
            </w:r>
            <w:r w:rsidRPr="00AD0647">
              <w:rPr>
                <w:rFonts w:asciiTheme="minorHAnsi" w:eastAsiaTheme="minorEastAsia" w:hAnsiTheme="minorHAnsi" w:cstheme="minorBidi"/>
                <w:noProof/>
                <w:color w:val="auto"/>
                <w:sz w:val="22"/>
              </w:rPr>
              <w:tab/>
            </w:r>
            <w:r w:rsidRPr="00AD0647">
              <w:rPr>
                <w:rStyle w:val="Hyperlink"/>
                <w:noProof/>
              </w:rPr>
              <w:t>Governance Framework</w:t>
            </w:r>
            <w:r w:rsidRPr="00AD0647">
              <w:rPr>
                <w:noProof/>
                <w:webHidden/>
              </w:rPr>
              <w:tab/>
            </w:r>
            <w:r w:rsidRPr="00AD0647">
              <w:rPr>
                <w:noProof/>
                <w:webHidden/>
              </w:rPr>
              <w:fldChar w:fldCharType="begin"/>
            </w:r>
            <w:r w:rsidRPr="00AD0647">
              <w:rPr>
                <w:noProof/>
                <w:webHidden/>
              </w:rPr>
              <w:instrText xml:space="preserve"> PAGEREF _Toc74642993 \h </w:instrText>
            </w:r>
            <w:r w:rsidRPr="00AD0647">
              <w:rPr>
                <w:noProof/>
                <w:webHidden/>
              </w:rPr>
            </w:r>
            <w:r w:rsidRPr="00AD0647">
              <w:rPr>
                <w:noProof/>
                <w:webHidden/>
              </w:rPr>
              <w:fldChar w:fldCharType="separate"/>
            </w:r>
            <w:r w:rsidR="001A616E">
              <w:rPr>
                <w:noProof/>
                <w:webHidden/>
              </w:rPr>
              <w:t>9</w:t>
            </w:r>
            <w:r w:rsidRPr="00AD0647">
              <w:rPr>
                <w:noProof/>
                <w:webHidden/>
              </w:rPr>
              <w:fldChar w:fldCharType="end"/>
            </w:r>
          </w:hyperlink>
        </w:p>
        <w:p w14:paraId="1B6D6500" w14:textId="2974A8A7"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4" w:history="1">
            <w:r w:rsidRPr="00AD0647">
              <w:rPr>
                <w:rStyle w:val="Hyperlink"/>
                <w:noProof/>
              </w:rPr>
              <w:t xml:space="preserve">5. </w:t>
            </w:r>
            <w:r w:rsidRPr="00AD0647">
              <w:rPr>
                <w:rFonts w:asciiTheme="minorHAnsi" w:eastAsiaTheme="minorEastAsia" w:hAnsiTheme="minorHAnsi" w:cstheme="minorBidi"/>
                <w:noProof/>
                <w:color w:val="auto"/>
                <w:sz w:val="22"/>
              </w:rPr>
              <w:tab/>
            </w:r>
            <w:r w:rsidRPr="00AD0647">
              <w:rPr>
                <w:rStyle w:val="Hyperlink"/>
                <w:noProof/>
              </w:rPr>
              <w:t>NITHC Board</w:t>
            </w:r>
            <w:r w:rsidRPr="00AD0647">
              <w:rPr>
                <w:noProof/>
                <w:webHidden/>
              </w:rPr>
              <w:tab/>
            </w:r>
            <w:r w:rsidRPr="00AD0647">
              <w:rPr>
                <w:noProof/>
                <w:webHidden/>
              </w:rPr>
              <w:fldChar w:fldCharType="begin"/>
            </w:r>
            <w:r w:rsidRPr="00AD0647">
              <w:rPr>
                <w:noProof/>
                <w:webHidden/>
              </w:rPr>
              <w:instrText xml:space="preserve"> PAGEREF _Toc74642994 \h </w:instrText>
            </w:r>
            <w:r w:rsidRPr="00AD0647">
              <w:rPr>
                <w:noProof/>
                <w:webHidden/>
              </w:rPr>
            </w:r>
            <w:r w:rsidRPr="00AD0647">
              <w:rPr>
                <w:noProof/>
                <w:webHidden/>
              </w:rPr>
              <w:fldChar w:fldCharType="separate"/>
            </w:r>
            <w:r w:rsidR="001A616E">
              <w:rPr>
                <w:noProof/>
                <w:webHidden/>
              </w:rPr>
              <w:t>10</w:t>
            </w:r>
            <w:r w:rsidRPr="00AD0647">
              <w:rPr>
                <w:noProof/>
                <w:webHidden/>
              </w:rPr>
              <w:fldChar w:fldCharType="end"/>
            </w:r>
          </w:hyperlink>
        </w:p>
        <w:p w14:paraId="4EC86440" w14:textId="1BE51359" w:rsidR="00B04E92" w:rsidRPr="00AD0647" w:rsidRDefault="00B04E92" w:rsidP="00B04E92">
          <w:pPr>
            <w:pStyle w:val="TOC2"/>
            <w:tabs>
              <w:tab w:val="left" w:pos="1320"/>
              <w:tab w:val="right" w:leader="dot" w:pos="9493"/>
            </w:tabs>
            <w:rPr>
              <w:rFonts w:asciiTheme="minorHAnsi" w:eastAsiaTheme="minorEastAsia" w:hAnsiTheme="minorHAnsi" w:cstheme="minorBidi"/>
              <w:noProof/>
              <w:color w:val="auto"/>
              <w:sz w:val="22"/>
            </w:rPr>
          </w:pPr>
          <w:hyperlink w:anchor="_Toc74642995" w:history="1">
            <w:r w:rsidRPr="00AD0647">
              <w:rPr>
                <w:rStyle w:val="Hyperlink"/>
                <w:noProof/>
              </w:rPr>
              <w:t>6.      Audit and Risk Committee</w:t>
            </w:r>
            <w:r w:rsidRPr="00AD0647">
              <w:rPr>
                <w:noProof/>
                <w:webHidden/>
              </w:rPr>
              <w:tab/>
            </w:r>
            <w:r w:rsidRPr="00AD0647">
              <w:rPr>
                <w:noProof/>
                <w:webHidden/>
              </w:rPr>
              <w:fldChar w:fldCharType="begin"/>
            </w:r>
            <w:r w:rsidRPr="00AD0647">
              <w:rPr>
                <w:noProof/>
                <w:webHidden/>
              </w:rPr>
              <w:instrText xml:space="preserve"> PAGEREF _Toc74642995 \h </w:instrText>
            </w:r>
            <w:r w:rsidRPr="00AD0647">
              <w:rPr>
                <w:noProof/>
                <w:webHidden/>
              </w:rPr>
            </w:r>
            <w:r w:rsidRPr="00AD0647">
              <w:rPr>
                <w:noProof/>
                <w:webHidden/>
              </w:rPr>
              <w:fldChar w:fldCharType="separate"/>
            </w:r>
            <w:r w:rsidR="001A616E">
              <w:rPr>
                <w:noProof/>
                <w:webHidden/>
              </w:rPr>
              <w:t>13</w:t>
            </w:r>
            <w:r w:rsidRPr="00AD0647">
              <w:rPr>
                <w:noProof/>
                <w:webHidden/>
              </w:rPr>
              <w:fldChar w:fldCharType="end"/>
            </w:r>
          </w:hyperlink>
        </w:p>
        <w:p w14:paraId="78BACE61" w14:textId="07E4D851"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6" w:history="1">
            <w:r w:rsidRPr="00AD0647">
              <w:rPr>
                <w:rStyle w:val="Hyperlink"/>
                <w:noProof/>
              </w:rPr>
              <w:t xml:space="preserve">7. </w:t>
            </w:r>
            <w:r w:rsidRPr="00AD0647">
              <w:rPr>
                <w:rFonts w:asciiTheme="minorHAnsi" w:eastAsiaTheme="minorEastAsia" w:hAnsiTheme="minorHAnsi" w:cstheme="minorBidi"/>
                <w:noProof/>
                <w:color w:val="auto"/>
                <w:sz w:val="22"/>
              </w:rPr>
              <w:tab/>
            </w:r>
            <w:r w:rsidRPr="00AD0647">
              <w:rPr>
                <w:rStyle w:val="Hyperlink"/>
                <w:noProof/>
              </w:rPr>
              <w:t>NITHC Chair</w:t>
            </w:r>
            <w:r w:rsidRPr="00AD0647">
              <w:rPr>
                <w:noProof/>
                <w:webHidden/>
              </w:rPr>
              <w:tab/>
            </w:r>
            <w:r w:rsidRPr="00AD0647">
              <w:rPr>
                <w:noProof/>
                <w:webHidden/>
              </w:rPr>
              <w:fldChar w:fldCharType="begin"/>
            </w:r>
            <w:r w:rsidRPr="00AD0647">
              <w:rPr>
                <w:noProof/>
                <w:webHidden/>
              </w:rPr>
              <w:instrText xml:space="preserve"> PAGEREF _Toc74642996 \h </w:instrText>
            </w:r>
            <w:r w:rsidRPr="00AD0647">
              <w:rPr>
                <w:noProof/>
                <w:webHidden/>
              </w:rPr>
            </w:r>
            <w:r w:rsidRPr="00AD0647">
              <w:rPr>
                <w:noProof/>
                <w:webHidden/>
              </w:rPr>
              <w:fldChar w:fldCharType="separate"/>
            </w:r>
            <w:r w:rsidR="001A616E">
              <w:rPr>
                <w:noProof/>
                <w:webHidden/>
              </w:rPr>
              <w:t>14</w:t>
            </w:r>
            <w:r w:rsidRPr="00AD0647">
              <w:rPr>
                <w:noProof/>
                <w:webHidden/>
              </w:rPr>
              <w:fldChar w:fldCharType="end"/>
            </w:r>
          </w:hyperlink>
        </w:p>
        <w:p w14:paraId="318C44FE" w14:textId="72F070A3"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7" w:history="1">
            <w:r w:rsidRPr="00AD0647">
              <w:rPr>
                <w:rStyle w:val="Hyperlink"/>
                <w:noProof/>
              </w:rPr>
              <w:t xml:space="preserve">8. </w:t>
            </w:r>
            <w:r w:rsidRPr="00AD0647">
              <w:rPr>
                <w:rFonts w:asciiTheme="minorHAnsi" w:eastAsiaTheme="minorEastAsia" w:hAnsiTheme="minorHAnsi" w:cstheme="minorBidi"/>
                <w:noProof/>
                <w:color w:val="auto"/>
                <w:sz w:val="22"/>
              </w:rPr>
              <w:tab/>
            </w:r>
            <w:r w:rsidRPr="00AD0647">
              <w:rPr>
                <w:rStyle w:val="Hyperlink"/>
                <w:noProof/>
              </w:rPr>
              <w:t>NITHC Group Chief Executive</w:t>
            </w:r>
            <w:r w:rsidRPr="00AD0647">
              <w:rPr>
                <w:noProof/>
                <w:webHidden/>
              </w:rPr>
              <w:tab/>
            </w:r>
            <w:r w:rsidRPr="00AD0647">
              <w:rPr>
                <w:noProof/>
                <w:webHidden/>
              </w:rPr>
              <w:fldChar w:fldCharType="begin"/>
            </w:r>
            <w:r w:rsidRPr="00AD0647">
              <w:rPr>
                <w:noProof/>
                <w:webHidden/>
              </w:rPr>
              <w:instrText xml:space="preserve"> PAGEREF _Toc74642997 \h </w:instrText>
            </w:r>
            <w:r w:rsidRPr="00AD0647">
              <w:rPr>
                <w:noProof/>
                <w:webHidden/>
              </w:rPr>
            </w:r>
            <w:r w:rsidRPr="00AD0647">
              <w:rPr>
                <w:noProof/>
                <w:webHidden/>
              </w:rPr>
              <w:fldChar w:fldCharType="separate"/>
            </w:r>
            <w:r w:rsidR="001A616E">
              <w:rPr>
                <w:noProof/>
                <w:webHidden/>
              </w:rPr>
              <w:t>15</w:t>
            </w:r>
            <w:r w:rsidRPr="00AD0647">
              <w:rPr>
                <w:noProof/>
                <w:webHidden/>
              </w:rPr>
              <w:fldChar w:fldCharType="end"/>
            </w:r>
          </w:hyperlink>
        </w:p>
        <w:p w14:paraId="6D3F9186" w14:textId="54F9FF09" w:rsidR="00B04E92" w:rsidRPr="00AD0647" w:rsidRDefault="00B04E92">
          <w:pPr>
            <w:pStyle w:val="TOC1"/>
            <w:tabs>
              <w:tab w:val="right" w:leader="dot" w:pos="9493"/>
            </w:tabs>
            <w:rPr>
              <w:rFonts w:asciiTheme="minorHAnsi" w:eastAsiaTheme="minorEastAsia" w:hAnsiTheme="minorHAnsi" w:cstheme="minorBidi"/>
              <w:noProof/>
              <w:color w:val="auto"/>
              <w:sz w:val="22"/>
            </w:rPr>
          </w:pPr>
          <w:hyperlink w:anchor="_Toc74642998" w:history="1">
            <w:r w:rsidRPr="00AD0647">
              <w:rPr>
                <w:rStyle w:val="Hyperlink"/>
                <w:noProof/>
              </w:rPr>
              <w:t>Role of the Department for Infrastructure</w:t>
            </w:r>
            <w:r w:rsidRPr="00AD0647">
              <w:rPr>
                <w:noProof/>
                <w:webHidden/>
              </w:rPr>
              <w:tab/>
            </w:r>
            <w:r w:rsidRPr="00AD0647">
              <w:rPr>
                <w:noProof/>
                <w:webHidden/>
              </w:rPr>
              <w:fldChar w:fldCharType="begin"/>
            </w:r>
            <w:r w:rsidRPr="00AD0647">
              <w:rPr>
                <w:noProof/>
                <w:webHidden/>
              </w:rPr>
              <w:instrText xml:space="preserve"> PAGEREF _Toc74642998 \h </w:instrText>
            </w:r>
            <w:r w:rsidRPr="00AD0647">
              <w:rPr>
                <w:noProof/>
                <w:webHidden/>
              </w:rPr>
            </w:r>
            <w:r w:rsidRPr="00AD0647">
              <w:rPr>
                <w:noProof/>
                <w:webHidden/>
              </w:rPr>
              <w:fldChar w:fldCharType="separate"/>
            </w:r>
            <w:r w:rsidR="001A616E">
              <w:rPr>
                <w:noProof/>
                <w:webHidden/>
              </w:rPr>
              <w:t>17</w:t>
            </w:r>
            <w:r w:rsidRPr="00AD0647">
              <w:rPr>
                <w:noProof/>
                <w:webHidden/>
              </w:rPr>
              <w:fldChar w:fldCharType="end"/>
            </w:r>
          </w:hyperlink>
        </w:p>
        <w:p w14:paraId="3ABEA5EF" w14:textId="15046599" w:rsidR="00B04E92" w:rsidRPr="00AD0647" w:rsidRDefault="00B04E92">
          <w:pPr>
            <w:pStyle w:val="TOC2"/>
            <w:tabs>
              <w:tab w:val="left" w:pos="1320"/>
              <w:tab w:val="right" w:leader="dot" w:pos="9493"/>
            </w:tabs>
            <w:rPr>
              <w:rFonts w:asciiTheme="minorHAnsi" w:eastAsiaTheme="minorEastAsia" w:hAnsiTheme="minorHAnsi" w:cstheme="minorBidi"/>
              <w:noProof/>
              <w:color w:val="auto"/>
              <w:sz w:val="22"/>
            </w:rPr>
          </w:pPr>
          <w:hyperlink w:anchor="_Toc74642999" w:history="1">
            <w:r w:rsidRPr="00AD0647">
              <w:rPr>
                <w:rStyle w:val="Hyperlink"/>
                <w:noProof/>
              </w:rPr>
              <w:t xml:space="preserve">9. </w:t>
            </w:r>
            <w:r w:rsidRPr="00AD0647">
              <w:rPr>
                <w:rFonts w:asciiTheme="minorHAnsi" w:eastAsiaTheme="minorEastAsia" w:hAnsiTheme="minorHAnsi" w:cstheme="minorBidi"/>
                <w:noProof/>
                <w:color w:val="auto"/>
                <w:sz w:val="22"/>
              </w:rPr>
              <w:tab/>
            </w:r>
            <w:r w:rsidRPr="00AD0647">
              <w:rPr>
                <w:rStyle w:val="Hyperlink"/>
                <w:noProof/>
              </w:rPr>
              <w:t>Partnership Working with NITHC</w:t>
            </w:r>
            <w:r w:rsidRPr="00AD0647">
              <w:rPr>
                <w:noProof/>
                <w:webHidden/>
              </w:rPr>
              <w:tab/>
            </w:r>
            <w:r w:rsidRPr="00AD0647">
              <w:rPr>
                <w:noProof/>
                <w:webHidden/>
              </w:rPr>
              <w:fldChar w:fldCharType="begin"/>
            </w:r>
            <w:r w:rsidRPr="00AD0647">
              <w:rPr>
                <w:noProof/>
                <w:webHidden/>
              </w:rPr>
              <w:instrText xml:space="preserve"> PAGEREF _Toc74642999 \h </w:instrText>
            </w:r>
            <w:r w:rsidRPr="00AD0647">
              <w:rPr>
                <w:noProof/>
                <w:webHidden/>
              </w:rPr>
            </w:r>
            <w:r w:rsidRPr="00AD0647">
              <w:rPr>
                <w:noProof/>
                <w:webHidden/>
              </w:rPr>
              <w:fldChar w:fldCharType="separate"/>
            </w:r>
            <w:r w:rsidR="001A616E">
              <w:rPr>
                <w:noProof/>
                <w:webHidden/>
              </w:rPr>
              <w:t>17</w:t>
            </w:r>
            <w:r w:rsidRPr="00AD0647">
              <w:rPr>
                <w:noProof/>
                <w:webHidden/>
              </w:rPr>
              <w:fldChar w:fldCharType="end"/>
            </w:r>
          </w:hyperlink>
        </w:p>
        <w:p w14:paraId="3EF09D2A" w14:textId="5B833444" w:rsidR="00B04E92" w:rsidRPr="00AD0647" w:rsidRDefault="00B04E92" w:rsidP="00B04E92">
          <w:pPr>
            <w:pStyle w:val="TOC2"/>
            <w:tabs>
              <w:tab w:val="left" w:pos="1320"/>
              <w:tab w:val="right" w:leader="dot" w:pos="9493"/>
            </w:tabs>
            <w:rPr>
              <w:rFonts w:asciiTheme="minorHAnsi" w:eastAsiaTheme="minorEastAsia" w:hAnsiTheme="minorHAnsi" w:cstheme="minorBidi"/>
              <w:noProof/>
              <w:color w:val="auto"/>
              <w:sz w:val="22"/>
            </w:rPr>
          </w:pPr>
          <w:hyperlink w:anchor="_Toc74643000" w:history="1">
            <w:r w:rsidRPr="00AD0647">
              <w:rPr>
                <w:rStyle w:val="Hyperlink"/>
                <w:noProof/>
              </w:rPr>
              <w:t xml:space="preserve">10. </w:t>
            </w:r>
            <w:r w:rsidRPr="00AD0647">
              <w:rPr>
                <w:rStyle w:val="Hyperlink"/>
                <w:noProof/>
              </w:rPr>
              <w:tab/>
              <w:t>Lead Official</w:t>
            </w:r>
            <w:r w:rsidRPr="00AD0647">
              <w:rPr>
                <w:noProof/>
                <w:webHidden/>
              </w:rPr>
              <w:tab/>
            </w:r>
            <w:r w:rsidRPr="00AD0647">
              <w:rPr>
                <w:noProof/>
                <w:webHidden/>
              </w:rPr>
              <w:fldChar w:fldCharType="begin"/>
            </w:r>
            <w:r w:rsidRPr="00AD0647">
              <w:rPr>
                <w:noProof/>
                <w:webHidden/>
              </w:rPr>
              <w:instrText xml:space="preserve"> PAGEREF _Toc74643000 \h </w:instrText>
            </w:r>
            <w:r w:rsidRPr="00AD0647">
              <w:rPr>
                <w:noProof/>
                <w:webHidden/>
              </w:rPr>
            </w:r>
            <w:r w:rsidRPr="00AD0647">
              <w:rPr>
                <w:noProof/>
                <w:webHidden/>
              </w:rPr>
              <w:fldChar w:fldCharType="separate"/>
            </w:r>
            <w:r w:rsidR="001A616E">
              <w:rPr>
                <w:noProof/>
                <w:webHidden/>
              </w:rPr>
              <w:t>18</w:t>
            </w:r>
            <w:r w:rsidRPr="00AD0647">
              <w:rPr>
                <w:noProof/>
                <w:webHidden/>
              </w:rPr>
              <w:fldChar w:fldCharType="end"/>
            </w:r>
          </w:hyperlink>
        </w:p>
        <w:p w14:paraId="2FCA17D8" w14:textId="19277287"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1" w:history="1">
            <w:r w:rsidRPr="00AD0647">
              <w:rPr>
                <w:rStyle w:val="Hyperlink"/>
                <w:noProof/>
              </w:rPr>
              <w:t>11.    Engagement Plan</w:t>
            </w:r>
            <w:r w:rsidRPr="00AD0647">
              <w:rPr>
                <w:noProof/>
                <w:webHidden/>
              </w:rPr>
              <w:tab/>
            </w:r>
            <w:r w:rsidRPr="00AD0647">
              <w:rPr>
                <w:noProof/>
                <w:webHidden/>
              </w:rPr>
              <w:fldChar w:fldCharType="begin"/>
            </w:r>
            <w:r w:rsidRPr="00AD0647">
              <w:rPr>
                <w:noProof/>
                <w:webHidden/>
              </w:rPr>
              <w:instrText xml:space="preserve"> PAGEREF _Toc74643001 \h </w:instrText>
            </w:r>
            <w:r w:rsidRPr="00AD0647">
              <w:rPr>
                <w:noProof/>
                <w:webHidden/>
              </w:rPr>
            </w:r>
            <w:r w:rsidRPr="00AD0647">
              <w:rPr>
                <w:noProof/>
                <w:webHidden/>
              </w:rPr>
              <w:fldChar w:fldCharType="separate"/>
            </w:r>
            <w:r w:rsidR="001A616E">
              <w:rPr>
                <w:noProof/>
                <w:webHidden/>
              </w:rPr>
              <w:t>19</w:t>
            </w:r>
            <w:r w:rsidRPr="00AD0647">
              <w:rPr>
                <w:noProof/>
                <w:webHidden/>
              </w:rPr>
              <w:fldChar w:fldCharType="end"/>
            </w:r>
          </w:hyperlink>
        </w:p>
        <w:p w14:paraId="77018D29" w14:textId="047ACAF0" w:rsidR="00B04E92" w:rsidRDefault="00B04E92">
          <w:pPr>
            <w:pStyle w:val="TOC2"/>
            <w:tabs>
              <w:tab w:val="right" w:leader="dot" w:pos="9493"/>
            </w:tabs>
            <w:rPr>
              <w:noProof/>
            </w:rPr>
          </w:pPr>
          <w:hyperlink w:anchor="_Toc74643002" w:history="1">
            <w:r w:rsidRPr="00AD0647">
              <w:rPr>
                <w:rStyle w:val="Hyperlink"/>
                <w:noProof/>
              </w:rPr>
              <w:t>12.    Departmental Accounting Officer</w:t>
            </w:r>
            <w:r w:rsidRPr="00AD0647">
              <w:rPr>
                <w:noProof/>
                <w:webHidden/>
              </w:rPr>
              <w:tab/>
            </w:r>
            <w:r w:rsidRPr="00AD0647">
              <w:rPr>
                <w:noProof/>
                <w:webHidden/>
              </w:rPr>
              <w:fldChar w:fldCharType="begin"/>
            </w:r>
            <w:r w:rsidRPr="00AD0647">
              <w:rPr>
                <w:noProof/>
                <w:webHidden/>
              </w:rPr>
              <w:instrText xml:space="preserve"> PAGEREF _Toc74643002 \h </w:instrText>
            </w:r>
            <w:r w:rsidRPr="00AD0647">
              <w:rPr>
                <w:noProof/>
                <w:webHidden/>
              </w:rPr>
            </w:r>
            <w:r w:rsidRPr="00AD0647">
              <w:rPr>
                <w:noProof/>
                <w:webHidden/>
              </w:rPr>
              <w:fldChar w:fldCharType="separate"/>
            </w:r>
            <w:r w:rsidR="001A616E">
              <w:rPr>
                <w:noProof/>
                <w:webHidden/>
              </w:rPr>
              <w:t>20</w:t>
            </w:r>
            <w:r w:rsidRPr="00AD0647">
              <w:rPr>
                <w:noProof/>
                <w:webHidden/>
              </w:rPr>
              <w:fldChar w:fldCharType="end"/>
            </w:r>
          </w:hyperlink>
        </w:p>
        <w:p w14:paraId="0DA6C213" w14:textId="67404C3E" w:rsidR="00DD02BF" w:rsidRPr="00DD02BF" w:rsidRDefault="00DD02BF">
          <w:pPr>
            <w:pStyle w:val="TOC2"/>
            <w:tabs>
              <w:tab w:val="right" w:leader="dot" w:pos="9493"/>
            </w:tabs>
            <w:rPr>
              <w:rStyle w:val="Hyperlink"/>
              <w:noProof/>
            </w:rPr>
          </w:pPr>
          <w:r w:rsidRPr="00FA1CB9">
            <w:t>13     Role of the Minister</w:t>
          </w:r>
          <w:r w:rsidR="00370D60" w:rsidRPr="00FA1CB9">
            <w:t xml:space="preserve">  </w:t>
          </w:r>
          <w:r w:rsidR="00370D60" w:rsidRPr="00FA1CB9">
            <w:tab/>
          </w:r>
          <w:r w:rsidR="00EB0AC6">
            <w:rPr>
              <w:rStyle w:val="Hyperlink"/>
              <w:noProof/>
            </w:rPr>
            <w:t>21</w:t>
          </w:r>
        </w:p>
        <w:p w14:paraId="119159FB" w14:textId="154A5690"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3" w:history="1">
            <w:r w:rsidRPr="00AD0647">
              <w:rPr>
                <w:rStyle w:val="Hyperlink"/>
                <w:noProof/>
              </w:rPr>
              <w:t>1</w:t>
            </w:r>
            <w:r w:rsidR="00DD02BF">
              <w:rPr>
                <w:rStyle w:val="Hyperlink"/>
                <w:noProof/>
              </w:rPr>
              <w:t>4</w:t>
            </w:r>
            <w:r w:rsidRPr="00AD0647">
              <w:rPr>
                <w:rStyle w:val="Hyperlink"/>
                <w:noProof/>
              </w:rPr>
              <w:t>.    Attendance at Public Accounts Committee</w:t>
            </w:r>
            <w:r w:rsidRPr="00AD0647">
              <w:rPr>
                <w:noProof/>
                <w:webHidden/>
              </w:rPr>
              <w:tab/>
            </w:r>
            <w:r w:rsidRPr="00AD0647">
              <w:rPr>
                <w:noProof/>
                <w:webHidden/>
              </w:rPr>
              <w:fldChar w:fldCharType="begin"/>
            </w:r>
            <w:r w:rsidRPr="00AD0647">
              <w:rPr>
                <w:noProof/>
                <w:webHidden/>
              </w:rPr>
              <w:instrText xml:space="preserve"> PAGEREF _Toc74643003 \h </w:instrText>
            </w:r>
            <w:r w:rsidRPr="00AD0647">
              <w:rPr>
                <w:noProof/>
                <w:webHidden/>
              </w:rPr>
            </w:r>
            <w:r w:rsidRPr="00AD0647">
              <w:rPr>
                <w:noProof/>
                <w:webHidden/>
              </w:rPr>
              <w:fldChar w:fldCharType="separate"/>
            </w:r>
            <w:r w:rsidR="001A616E">
              <w:rPr>
                <w:noProof/>
                <w:webHidden/>
              </w:rPr>
              <w:t>21</w:t>
            </w:r>
            <w:r w:rsidRPr="00AD0647">
              <w:rPr>
                <w:noProof/>
                <w:webHidden/>
              </w:rPr>
              <w:fldChar w:fldCharType="end"/>
            </w:r>
          </w:hyperlink>
        </w:p>
        <w:p w14:paraId="10359DDF" w14:textId="533A8311" w:rsidR="00B04E92" w:rsidRPr="00AD0647" w:rsidRDefault="00B04E92">
          <w:pPr>
            <w:pStyle w:val="TOC1"/>
            <w:tabs>
              <w:tab w:val="right" w:leader="dot" w:pos="9493"/>
            </w:tabs>
            <w:rPr>
              <w:rFonts w:asciiTheme="minorHAnsi" w:eastAsiaTheme="minorEastAsia" w:hAnsiTheme="minorHAnsi" w:cstheme="minorBidi"/>
              <w:noProof/>
              <w:color w:val="auto"/>
              <w:sz w:val="22"/>
            </w:rPr>
          </w:pPr>
          <w:hyperlink w:anchor="_Toc74643004" w:history="1">
            <w:r w:rsidRPr="00AD0647">
              <w:rPr>
                <w:rStyle w:val="Hyperlink"/>
                <w:noProof/>
              </w:rPr>
              <w:t>Assurance Framework</w:t>
            </w:r>
            <w:r w:rsidRPr="00AD0647">
              <w:rPr>
                <w:noProof/>
                <w:webHidden/>
              </w:rPr>
              <w:tab/>
            </w:r>
            <w:r w:rsidRPr="00AD0647">
              <w:rPr>
                <w:noProof/>
                <w:webHidden/>
              </w:rPr>
              <w:fldChar w:fldCharType="begin"/>
            </w:r>
            <w:r w:rsidRPr="00AD0647">
              <w:rPr>
                <w:noProof/>
                <w:webHidden/>
              </w:rPr>
              <w:instrText xml:space="preserve"> PAGEREF _Toc74643004 \h </w:instrText>
            </w:r>
            <w:r w:rsidRPr="00AD0647">
              <w:rPr>
                <w:noProof/>
                <w:webHidden/>
              </w:rPr>
            </w:r>
            <w:r w:rsidRPr="00AD0647">
              <w:rPr>
                <w:noProof/>
                <w:webHidden/>
              </w:rPr>
              <w:fldChar w:fldCharType="separate"/>
            </w:r>
            <w:r w:rsidR="001A616E">
              <w:rPr>
                <w:noProof/>
                <w:webHidden/>
              </w:rPr>
              <w:t>23</w:t>
            </w:r>
            <w:r w:rsidRPr="00AD0647">
              <w:rPr>
                <w:noProof/>
                <w:webHidden/>
              </w:rPr>
              <w:fldChar w:fldCharType="end"/>
            </w:r>
          </w:hyperlink>
        </w:p>
        <w:p w14:paraId="73F62383" w14:textId="02F8428A"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5" w:history="1">
            <w:r w:rsidRPr="00AD0647">
              <w:rPr>
                <w:rStyle w:val="Hyperlink"/>
                <w:noProof/>
              </w:rPr>
              <w:t>1</w:t>
            </w:r>
            <w:r w:rsidR="00DD02BF">
              <w:rPr>
                <w:rStyle w:val="Hyperlink"/>
                <w:noProof/>
              </w:rPr>
              <w:t>5</w:t>
            </w:r>
            <w:r w:rsidRPr="00AD0647">
              <w:rPr>
                <w:rStyle w:val="Hyperlink"/>
                <w:noProof/>
              </w:rPr>
              <w:t>.    Autonomy and Proportionality</w:t>
            </w:r>
            <w:r w:rsidRPr="00AD0647">
              <w:rPr>
                <w:noProof/>
                <w:webHidden/>
              </w:rPr>
              <w:tab/>
            </w:r>
            <w:r w:rsidRPr="00AD0647">
              <w:rPr>
                <w:noProof/>
                <w:webHidden/>
              </w:rPr>
              <w:fldChar w:fldCharType="begin"/>
            </w:r>
            <w:r w:rsidRPr="00AD0647">
              <w:rPr>
                <w:noProof/>
                <w:webHidden/>
              </w:rPr>
              <w:instrText xml:space="preserve"> PAGEREF _Toc74643005 \h </w:instrText>
            </w:r>
            <w:r w:rsidRPr="00AD0647">
              <w:rPr>
                <w:noProof/>
                <w:webHidden/>
              </w:rPr>
            </w:r>
            <w:r w:rsidRPr="00AD0647">
              <w:rPr>
                <w:noProof/>
                <w:webHidden/>
              </w:rPr>
              <w:fldChar w:fldCharType="separate"/>
            </w:r>
            <w:r w:rsidR="001A616E">
              <w:rPr>
                <w:noProof/>
                <w:webHidden/>
              </w:rPr>
              <w:t>23</w:t>
            </w:r>
            <w:r w:rsidRPr="00AD0647">
              <w:rPr>
                <w:noProof/>
                <w:webHidden/>
              </w:rPr>
              <w:fldChar w:fldCharType="end"/>
            </w:r>
          </w:hyperlink>
        </w:p>
        <w:p w14:paraId="44BD5EF0" w14:textId="487DE842"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6" w:history="1">
            <w:r w:rsidRPr="00AD0647">
              <w:rPr>
                <w:rStyle w:val="Hyperlink"/>
                <w:noProof/>
              </w:rPr>
              <w:t>1</w:t>
            </w:r>
            <w:r w:rsidR="00DD02BF">
              <w:rPr>
                <w:rStyle w:val="Hyperlink"/>
                <w:noProof/>
              </w:rPr>
              <w:t>6</w:t>
            </w:r>
            <w:r w:rsidRPr="00AD0647">
              <w:rPr>
                <w:rStyle w:val="Hyperlink"/>
                <w:noProof/>
              </w:rPr>
              <w:t>.    Board Effectiveness</w:t>
            </w:r>
            <w:r w:rsidRPr="00AD0647">
              <w:rPr>
                <w:noProof/>
                <w:webHidden/>
              </w:rPr>
              <w:tab/>
            </w:r>
            <w:r w:rsidRPr="00AD0647">
              <w:rPr>
                <w:noProof/>
                <w:webHidden/>
              </w:rPr>
              <w:fldChar w:fldCharType="begin"/>
            </w:r>
            <w:r w:rsidRPr="00AD0647">
              <w:rPr>
                <w:noProof/>
                <w:webHidden/>
              </w:rPr>
              <w:instrText xml:space="preserve"> PAGEREF _Toc74643006 \h </w:instrText>
            </w:r>
            <w:r w:rsidRPr="00AD0647">
              <w:rPr>
                <w:noProof/>
                <w:webHidden/>
              </w:rPr>
            </w:r>
            <w:r w:rsidRPr="00AD0647">
              <w:rPr>
                <w:noProof/>
                <w:webHidden/>
              </w:rPr>
              <w:fldChar w:fldCharType="separate"/>
            </w:r>
            <w:r w:rsidR="001A616E">
              <w:rPr>
                <w:noProof/>
                <w:webHidden/>
              </w:rPr>
              <w:t>24</w:t>
            </w:r>
            <w:r w:rsidRPr="00AD0647">
              <w:rPr>
                <w:noProof/>
                <w:webHidden/>
              </w:rPr>
              <w:fldChar w:fldCharType="end"/>
            </w:r>
          </w:hyperlink>
        </w:p>
        <w:p w14:paraId="2FEFEAE4" w14:textId="482CC945"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7" w:history="1">
            <w:r w:rsidRPr="00AD0647">
              <w:rPr>
                <w:rStyle w:val="Hyperlink"/>
                <w:noProof/>
              </w:rPr>
              <w:t>1</w:t>
            </w:r>
            <w:r w:rsidR="00DD02BF">
              <w:rPr>
                <w:rStyle w:val="Hyperlink"/>
                <w:noProof/>
              </w:rPr>
              <w:t>7</w:t>
            </w:r>
            <w:r w:rsidRPr="00AD0647">
              <w:rPr>
                <w:rStyle w:val="Hyperlink"/>
                <w:noProof/>
              </w:rPr>
              <w:t>.    Board Appraisals</w:t>
            </w:r>
            <w:r w:rsidRPr="00AD0647">
              <w:rPr>
                <w:noProof/>
                <w:webHidden/>
              </w:rPr>
              <w:tab/>
            </w:r>
            <w:r w:rsidRPr="00AD0647">
              <w:rPr>
                <w:noProof/>
                <w:webHidden/>
              </w:rPr>
              <w:fldChar w:fldCharType="begin"/>
            </w:r>
            <w:r w:rsidRPr="00AD0647">
              <w:rPr>
                <w:noProof/>
                <w:webHidden/>
              </w:rPr>
              <w:instrText xml:space="preserve"> PAGEREF _Toc74643007 \h </w:instrText>
            </w:r>
            <w:r w:rsidRPr="00AD0647">
              <w:rPr>
                <w:noProof/>
                <w:webHidden/>
              </w:rPr>
            </w:r>
            <w:r w:rsidRPr="00AD0647">
              <w:rPr>
                <w:noProof/>
                <w:webHidden/>
              </w:rPr>
              <w:fldChar w:fldCharType="separate"/>
            </w:r>
            <w:r w:rsidR="001A616E">
              <w:rPr>
                <w:noProof/>
                <w:webHidden/>
              </w:rPr>
              <w:t>25</w:t>
            </w:r>
            <w:r w:rsidRPr="00AD0647">
              <w:rPr>
                <w:noProof/>
                <w:webHidden/>
              </w:rPr>
              <w:fldChar w:fldCharType="end"/>
            </w:r>
          </w:hyperlink>
        </w:p>
        <w:p w14:paraId="2212EE2B" w14:textId="151744CB" w:rsidR="00B04E92" w:rsidRPr="00AD0647" w:rsidRDefault="00B04E92">
          <w:pPr>
            <w:pStyle w:val="TOC2"/>
            <w:tabs>
              <w:tab w:val="right" w:leader="dot" w:pos="9493"/>
            </w:tabs>
            <w:rPr>
              <w:rFonts w:asciiTheme="minorHAnsi" w:eastAsiaTheme="minorEastAsia" w:hAnsiTheme="minorHAnsi" w:cstheme="minorBidi"/>
              <w:noProof/>
              <w:color w:val="auto"/>
              <w:sz w:val="22"/>
            </w:rPr>
          </w:pPr>
          <w:hyperlink w:anchor="_Toc74643008" w:history="1">
            <w:r w:rsidRPr="00AD0647">
              <w:rPr>
                <w:rStyle w:val="Hyperlink"/>
                <w:noProof/>
              </w:rPr>
              <w:t>1</w:t>
            </w:r>
            <w:r w:rsidR="00DD02BF">
              <w:rPr>
                <w:rStyle w:val="Hyperlink"/>
                <w:noProof/>
              </w:rPr>
              <w:t>8</w:t>
            </w:r>
            <w:r w:rsidRPr="00AD0647">
              <w:rPr>
                <w:rStyle w:val="Hyperlink"/>
                <w:noProof/>
              </w:rPr>
              <w:t>.    Internal Audit Assurance</w:t>
            </w:r>
            <w:r w:rsidRPr="00AD0647">
              <w:rPr>
                <w:noProof/>
                <w:webHidden/>
              </w:rPr>
              <w:tab/>
            </w:r>
            <w:r w:rsidRPr="00AD0647">
              <w:rPr>
                <w:noProof/>
                <w:webHidden/>
              </w:rPr>
              <w:fldChar w:fldCharType="begin"/>
            </w:r>
            <w:r w:rsidRPr="00AD0647">
              <w:rPr>
                <w:noProof/>
                <w:webHidden/>
              </w:rPr>
              <w:instrText xml:space="preserve"> PAGEREF _Toc74643008 \h </w:instrText>
            </w:r>
            <w:r w:rsidRPr="00AD0647">
              <w:rPr>
                <w:noProof/>
                <w:webHidden/>
              </w:rPr>
            </w:r>
            <w:r w:rsidRPr="00AD0647">
              <w:rPr>
                <w:noProof/>
                <w:webHidden/>
              </w:rPr>
              <w:fldChar w:fldCharType="separate"/>
            </w:r>
            <w:r w:rsidR="001A616E">
              <w:rPr>
                <w:noProof/>
                <w:webHidden/>
              </w:rPr>
              <w:t>25</w:t>
            </w:r>
            <w:r w:rsidRPr="00AD0647">
              <w:rPr>
                <w:noProof/>
                <w:webHidden/>
              </w:rPr>
              <w:fldChar w:fldCharType="end"/>
            </w:r>
          </w:hyperlink>
        </w:p>
        <w:p w14:paraId="4B47AA15" w14:textId="5B9AE34E" w:rsidR="00B04E92" w:rsidRPr="00AD0647" w:rsidRDefault="00DD02BF">
          <w:pPr>
            <w:pStyle w:val="TOC2"/>
            <w:tabs>
              <w:tab w:val="right" w:leader="dot" w:pos="9493"/>
            </w:tabs>
            <w:rPr>
              <w:rFonts w:asciiTheme="minorHAnsi" w:eastAsiaTheme="minorEastAsia" w:hAnsiTheme="minorHAnsi" w:cstheme="minorBidi"/>
              <w:noProof/>
              <w:color w:val="auto"/>
              <w:sz w:val="22"/>
            </w:rPr>
          </w:pPr>
          <w:hyperlink w:anchor="_Toc74643009" w:history="1">
            <w:r>
              <w:rPr>
                <w:rStyle w:val="Hyperlink"/>
                <w:noProof/>
              </w:rPr>
              <w:t>19</w:t>
            </w:r>
            <w:r w:rsidR="00B04E92" w:rsidRPr="00AD0647">
              <w:rPr>
                <w:rStyle w:val="Hyperlink"/>
                <w:noProof/>
              </w:rPr>
              <w:t>.    Externally Audited Annual Report and Accounts</w:t>
            </w:r>
            <w:r w:rsidR="00B04E92" w:rsidRPr="00AD0647">
              <w:rPr>
                <w:noProof/>
                <w:webHidden/>
              </w:rPr>
              <w:tab/>
            </w:r>
            <w:r w:rsidR="00B04E92" w:rsidRPr="00AD0647">
              <w:rPr>
                <w:noProof/>
                <w:webHidden/>
              </w:rPr>
              <w:fldChar w:fldCharType="begin"/>
            </w:r>
            <w:r w:rsidR="00B04E92" w:rsidRPr="00AD0647">
              <w:rPr>
                <w:noProof/>
                <w:webHidden/>
              </w:rPr>
              <w:instrText xml:space="preserve"> PAGEREF _Toc74643009 \h </w:instrText>
            </w:r>
            <w:r w:rsidR="00B04E92" w:rsidRPr="00AD0647">
              <w:rPr>
                <w:noProof/>
                <w:webHidden/>
              </w:rPr>
            </w:r>
            <w:r w:rsidR="00B04E92" w:rsidRPr="00AD0647">
              <w:rPr>
                <w:noProof/>
                <w:webHidden/>
              </w:rPr>
              <w:fldChar w:fldCharType="separate"/>
            </w:r>
            <w:r w:rsidR="001A616E">
              <w:rPr>
                <w:noProof/>
                <w:webHidden/>
              </w:rPr>
              <w:t>26</w:t>
            </w:r>
            <w:r w:rsidR="00B04E92" w:rsidRPr="00AD0647">
              <w:rPr>
                <w:noProof/>
                <w:webHidden/>
              </w:rPr>
              <w:fldChar w:fldCharType="end"/>
            </w:r>
          </w:hyperlink>
        </w:p>
        <w:p w14:paraId="2A3882A3" w14:textId="3CAC9600" w:rsidR="00DC1460" w:rsidRPr="00AD0647" w:rsidRDefault="00B04E92" w:rsidP="00654754">
          <w:pPr>
            <w:pStyle w:val="TOC1"/>
            <w:tabs>
              <w:tab w:val="right" w:leader="dot" w:pos="9493"/>
            </w:tabs>
          </w:pPr>
          <w:hyperlink w:anchor="_Toc74643010" w:history="1">
            <w:r w:rsidRPr="00AD0647">
              <w:rPr>
                <w:rStyle w:val="Hyperlink"/>
                <w:noProof/>
              </w:rPr>
              <w:t>Signatories</w:t>
            </w:r>
            <w:r w:rsidR="00DD02BF">
              <w:rPr>
                <w:rStyle w:val="Hyperlink"/>
                <w:noProof/>
              </w:rPr>
              <w:t xml:space="preserve"> </w:t>
            </w:r>
            <w:r w:rsidRPr="00AD0647">
              <w:rPr>
                <w:noProof/>
                <w:webHidden/>
              </w:rPr>
              <w:tab/>
            </w:r>
            <w:r w:rsidRPr="00AD0647">
              <w:rPr>
                <w:noProof/>
                <w:webHidden/>
              </w:rPr>
              <w:fldChar w:fldCharType="begin"/>
            </w:r>
            <w:r w:rsidRPr="00AD0647">
              <w:rPr>
                <w:noProof/>
                <w:webHidden/>
              </w:rPr>
              <w:instrText xml:space="preserve"> PAGEREF _Toc74643010 \h </w:instrText>
            </w:r>
            <w:r w:rsidRPr="00AD0647">
              <w:rPr>
                <w:noProof/>
                <w:webHidden/>
              </w:rPr>
            </w:r>
            <w:r w:rsidRPr="00AD0647">
              <w:rPr>
                <w:noProof/>
                <w:webHidden/>
              </w:rPr>
              <w:fldChar w:fldCharType="separate"/>
            </w:r>
            <w:r w:rsidR="001A616E">
              <w:rPr>
                <w:noProof/>
                <w:webHidden/>
              </w:rPr>
              <w:t>28</w:t>
            </w:r>
            <w:r w:rsidRPr="00AD0647">
              <w:rPr>
                <w:noProof/>
                <w:webHidden/>
              </w:rPr>
              <w:fldChar w:fldCharType="end"/>
            </w:r>
          </w:hyperlink>
          <w:r w:rsidR="00C673A9" w:rsidRPr="00AD0647">
            <w:fldChar w:fldCharType="end"/>
          </w:r>
          <w:r w:rsidR="00DC1460" w:rsidRPr="00AD0647">
            <w:t xml:space="preserve"> </w:t>
          </w:r>
        </w:p>
        <w:p w14:paraId="786F2C6F" w14:textId="5EDB8E4F" w:rsidR="00C673A9" w:rsidRPr="00AD0647" w:rsidRDefault="00000000" w:rsidP="00DC1460">
          <w:pPr>
            <w:tabs>
              <w:tab w:val="left" w:pos="9356"/>
            </w:tabs>
            <w:ind w:right="-136"/>
          </w:pPr>
        </w:p>
      </w:sdtContent>
    </w:sdt>
    <w:p w14:paraId="500915B7" w14:textId="77777777" w:rsidR="00654754" w:rsidRPr="00AD0647" w:rsidRDefault="00654754" w:rsidP="00C673A9">
      <w:pPr>
        <w:spacing w:after="0" w:line="259" w:lineRule="auto"/>
        <w:ind w:left="0" w:right="53" w:firstLine="0"/>
        <w:jc w:val="right"/>
      </w:pPr>
    </w:p>
    <w:p w14:paraId="0792FFFA" w14:textId="77777777" w:rsidR="00654754" w:rsidRPr="00AD0647" w:rsidRDefault="00654754" w:rsidP="00C673A9">
      <w:pPr>
        <w:spacing w:after="0" w:line="259" w:lineRule="auto"/>
        <w:ind w:left="0" w:right="53" w:firstLine="0"/>
        <w:jc w:val="right"/>
      </w:pPr>
    </w:p>
    <w:p w14:paraId="3249EF0B" w14:textId="19616A21" w:rsidR="00654754" w:rsidRPr="00AD0647" w:rsidRDefault="00654754" w:rsidP="00654754">
      <w:pPr>
        <w:spacing w:after="160" w:line="259" w:lineRule="auto"/>
        <w:ind w:left="0" w:firstLine="0"/>
        <w:jc w:val="left"/>
        <w:rPr>
          <w:rFonts w:eastAsiaTheme="minorHAnsi"/>
          <w:color w:val="auto"/>
          <w:szCs w:val="24"/>
          <w:lang w:eastAsia="en-US"/>
        </w:rPr>
      </w:pPr>
      <w:r w:rsidRPr="00AD0647">
        <w:rPr>
          <w:rFonts w:eastAsiaTheme="minorHAnsi"/>
          <w:color w:val="auto"/>
          <w:szCs w:val="24"/>
          <w:lang w:eastAsia="en-US"/>
        </w:rPr>
        <w:t xml:space="preserve">Annex </w:t>
      </w:r>
      <w:r w:rsidR="00350DD0">
        <w:rPr>
          <w:rFonts w:eastAsiaTheme="minorHAnsi"/>
          <w:color w:val="auto"/>
          <w:szCs w:val="24"/>
          <w:lang w:eastAsia="en-US"/>
        </w:rPr>
        <w:t>1</w:t>
      </w:r>
      <w:r w:rsidRPr="00AD0647">
        <w:rPr>
          <w:rFonts w:eastAsiaTheme="minorHAnsi"/>
          <w:color w:val="auto"/>
          <w:szCs w:val="24"/>
          <w:lang w:eastAsia="en-US"/>
        </w:rPr>
        <w:t xml:space="preserve"> </w:t>
      </w:r>
      <w:r w:rsidRPr="00AD0647">
        <w:rPr>
          <w:rFonts w:eastAsiaTheme="minorHAnsi"/>
          <w:color w:val="auto"/>
          <w:szCs w:val="24"/>
          <w:lang w:eastAsia="en-US"/>
        </w:rPr>
        <w:tab/>
        <w:t>Engagement Plan</w:t>
      </w:r>
      <w:r w:rsidRPr="00AD0647">
        <w:rPr>
          <w:rFonts w:eastAsiaTheme="minorHAnsi"/>
          <w:color w:val="auto"/>
          <w:szCs w:val="24"/>
          <w:lang w:eastAsia="en-US"/>
        </w:rPr>
        <w:tab/>
      </w:r>
    </w:p>
    <w:p w14:paraId="59645023" w14:textId="7E22FC2F" w:rsidR="00654754" w:rsidRPr="00AD0647" w:rsidRDefault="00654754" w:rsidP="00654754">
      <w:pPr>
        <w:spacing w:after="160" w:line="259" w:lineRule="auto"/>
        <w:ind w:left="0" w:firstLine="0"/>
        <w:jc w:val="left"/>
        <w:rPr>
          <w:rFonts w:eastAsiaTheme="minorHAnsi"/>
          <w:color w:val="auto"/>
          <w:szCs w:val="24"/>
          <w:lang w:eastAsia="en-US"/>
        </w:rPr>
      </w:pPr>
      <w:r w:rsidRPr="00AD0647">
        <w:rPr>
          <w:rFonts w:eastAsiaTheme="minorHAnsi"/>
          <w:color w:val="auto"/>
          <w:szCs w:val="24"/>
          <w:lang w:eastAsia="en-US"/>
        </w:rPr>
        <w:t xml:space="preserve">Annex </w:t>
      </w:r>
      <w:r w:rsidR="004A3C0A">
        <w:rPr>
          <w:rFonts w:eastAsiaTheme="minorHAnsi"/>
          <w:color w:val="auto"/>
          <w:szCs w:val="24"/>
          <w:lang w:eastAsia="en-US"/>
        </w:rPr>
        <w:t>2</w:t>
      </w:r>
      <w:r w:rsidRPr="00AD0647">
        <w:rPr>
          <w:rFonts w:eastAsiaTheme="minorHAnsi"/>
          <w:color w:val="auto"/>
          <w:szCs w:val="24"/>
          <w:lang w:eastAsia="en-US"/>
        </w:rPr>
        <w:t xml:space="preserve"> </w:t>
      </w:r>
      <w:r w:rsidRPr="00AD0647">
        <w:rPr>
          <w:rFonts w:eastAsiaTheme="minorHAnsi"/>
          <w:color w:val="auto"/>
          <w:szCs w:val="24"/>
          <w:lang w:eastAsia="en-US"/>
        </w:rPr>
        <w:tab/>
        <w:t>Delegations</w:t>
      </w:r>
      <w:r w:rsidRPr="00AD0647">
        <w:rPr>
          <w:rFonts w:eastAsiaTheme="minorHAnsi"/>
          <w:color w:val="auto"/>
          <w:szCs w:val="24"/>
          <w:lang w:eastAsia="en-US"/>
        </w:rPr>
        <w:tab/>
      </w:r>
    </w:p>
    <w:p w14:paraId="1084B0D6" w14:textId="31BE391B" w:rsidR="00654754" w:rsidRPr="00AD0647" w:rsidRDefault="00654754" w:rsidP="00654754">
      <w:pPr>
        <w:spacing w:after="160" w:line="259" w:lineRule="auto"/>
        <w:ind w:left="0" w:firstLine="0"/>
        <w:jc w:val="left"/>
        <w:rPr>
          <w:rFonts w:eastAsiaTheme="minorHAnsi"/>
          <w:color w:val="auto"/>
          <w:szCs w:val="24"/>
          <w:lang w:eastAsia="en-US"/>
        </w:rPr>
      </w:pPr>
      <w:r w:rsidRPr="00AD0647">
        <w:rPr>
          <w:rFonts w:eastAsiaTheme="minorHAnsi"/>
          <w:color w:val="auto"/>
          <w:szCs w:val="24"/>
          <w:lang w:eastAsia="en-US"/>
        </w:rPr>
        <w:t xml:space="preserve">Annex </w:t>
      </w:r>
      <w:r w:rsidR="004A3C0A">
        <w:rPr>
          <w:rFonts w:eastAsiaTheme="minorHAnsi"/>
          <w:color w:val="auto"/>
          <w:szCs w:val="24"/>
          <w:lang w:eastAsia="en-US"/>
        </w:rPr>
        <w:t>3</w:t>
      </w:r>
      <w:r w:rsidRPr="00AD0647">
        <w:rPr>
          <w:rFonts w:eastAsiaTheme="minorHAnsi"/>
          <w:color w:val="auto"/>
          <w:szCs w:val="24"/>
          <w:lang w:eastAsia="en-US"/>
        </w:rPr>
        <w:tab/>
        <w:t>NITHC Assurance Statement</w:t>
      </w:r>
    </w:p>
    <w:p w14:paraId="5FB49FFE" w14:textId="5F331215" w:rsidR="00654754" w:rsidRPr="00AD0647" w:rsidRDefault="00654754" w:rsidP="00654754">
      <w:pPr>
        <w:spacing w:after="160" w:line="259" w:lineRule="auto"/>
        <w:ind w:left="0" w:firstLine="0"/>
        <w:jc w:val="left"/>
        <w:rPr>
          <w:rFonts w:eastAsiaTheme="minorHAnsi"/>
          <w:color w:val="auto"/>
          <w:szCs w:val="24"/>
          <w:lang w:eastAsia="en-US"/>
        </w:rPr>
      </w:pPr>
      <w:r w:rsidRPr="00AD0647">
        <w:rPr>
          <w:rFonts w:eastAsiaTheme="minorHAnsi"/>
          <w:color w:val="auto"/>
          <w:szCs w:val="24"/>
          <w:lang w:eastAsia="en-US"/>
        </w:rPr>
        <w:t xml:space="preserve">Annex </w:t>
      </w:r>
      <w:r w:rsidR="000E72BE">
        <w:rPr>
          <w:rFonts w:eastAsiaTheme="minorHAnsi"/>
          <w:color w:val="auto"/>
          <w:szCs w:val="24"/>
          <w:lang w:eastAsia="en-US"/>
        </w:rPr>
        <w:t>4</w:t>
      </w:r>
      <w:r w:rsidR="000E72BE" w:rsidRPr="00AD0647">
        <w:rPr>
          <w:rFonts w:eastAsiaTheme="minorHAnsi"/>
          <w:color w:val="auto"/>
          <w:szCs w:val="24"/>
          <w:lang w:eastAsia="en-US"/>
        </w:rPr>
        <w:t xml:space="preserve"> </w:t>
      </w:r>
      <w:r w:rsidRPr="00AD0647">
        <w:rPr>
          <w:rFonts w:eastAsiaTheme="minorHAnsi"/>
          <w:color w:val="auto"/>
          <w:szCs w:val="24"/>
          <w:lang w:eastAsia="en-US"/>
        </w:rPr>
        <w:tab/>
        <w:t>Concerns/Complaints in respect of Board members</w:t>
      </w:r>
      <w:r w:rsidRPr="00AD0647">
        <w:rPr>
          <w:rFonts w:eastAsiaTheme="minorHAnsi"/>
          <w:color w:val="auto"/>
          <w:szCs w:val="24"/>
          <w:lang w:eastAsia="en-US"/>
        </w:rPr>
        <w:tab/>
      </w:r>
      <w:r w:rsidRPr="00AD0647">
        <w:rPr>
          <w:rFonts w:eastAsiaTheme="minorHAnsi"/>
          <w:color w:val="auto"/>
          <w:szCs w:val="24"/>
          <w:lang w:eastAsia="en-US"/>
        </w:rPr>
        <w:tab/>
      </w:r>
    </w:p>
    <w:p w14:paraId="79AD83E9" w14:textId="48795380" w:rsidR="00654754" w:rsidRPr="00AD0647" w:rsidRDefault="00654754" w:rsidP="00654754">
      <w:pPr>
        <w:spacing w:after="160" w:line="259" w:lineRule="auto"/>
        <w:ind w:left="1440" w:hanging="1440"/>
        <w:jc w:val="left"/>
        <w:rPr>
          <w:rFonts w:eastAsiaTheme="minorHAnsi"/>
          <w:color w:val="auto"/>
          <w:szCs w:val="24"/>
          <w:lang w:eastAsia="en-US"/>
        </w:rPr>
      </w:pPr>
      <w:r w:rsidRPr="00AD0647">
        <w:rPr>
          <w:rFonts w:eastAsiaTheme="minorHAnsi"/>
          <w:color w:val="auto"/>
          <w:szCs w:val="24"/>
          <w:lang w:eastAsia="en-US"/>
        </w:rPr>
        <w:t xml:space="preserve">Annex </w:t>
      </w:r>
      <w:r w:rsidR="003B3015">
        <w:rPr>
          <w:rFonts w:eastAsiaTheme="minorHAnsi"/>
          <w:color w:val="auto"/>
          <w:szCs w:val="24"/>
          <w:lang w:eastAsia="en-US"/>
        </w:rPr>
        <w:t>5</w:t>
      </w:r>
      <w:r w:rsidRPr="00AD0647">
        <w:rPr>
          <w:rFonts w:eastAsiaTheme="minorHAnsi"/>
          <w:color w:val="auto"/>
          <w:szCs w:val="24"/>
          <w:lang w:eastAsia="en-US"/>
        </w:rPr>
        <w:tab/>
        <w:t xml:space="preserve">Communication </w:t>
      </w:r>
      <w:r w:rsidR="00C407C3" w:rsidRPr="00AD0647">
        <w:rPr>
          <w:rFonts w:eastAsiaTheme="minorHAnsi"/>
          <w:color w:val="auto"/>
          <w:szCs w:val="24"/>
          <w:lang w:eastAsia="en-US"/>
        </w:rPr>
        <w:t>Protocol</w:t>
      </w:r>
    </w:p>
    <w:p w14:paraId="5C089C94" w14:textId="77777777" w:rsidR="00C673A9" w:rsidRPr="00AD0647" w:rsidRDefault="00C673A9" w:rsidP="00C673A9">
      <w:pPr>
        <w:spacing w:after="0" w:line="259" w:lineRule="auto"/>
        <w:ind w:left="0" w:right="53" w:firstLine="0"/>
        <w:jc w:val="right"/>
        <w:rPr>
          <w:szCs w:val="24"/>
        </w:rPr>
      </w:pPr>
      <w:r w:rsidRPr="00AD0647">
        <w:rPr>
          <w:szCs w:val="24"/>
        </w:rPr>
        <w:br w:type="page"/>
      </w:r>
    </w:p>
    <w:p w14:paraId="516BB627" w14:textId="3696D406" w:rsidR="00C673A9" w:rsidRPr="00AD0647" w:rsidRDefault="00C673A9" w:rsidP="00C673A9">
      <w:pPr>
        <w:pStyle w:val="Heading1"/>
        <w:ind w:left="403"/>
      </w:pPr>
      <w:bookmarkStart w:id="0" w:name="_Toc74642987"/>
      <w:r w:rsidRPr="00AD0647">
        <w:lastRenderedPageBreak/>
        <w:t>Introduction</w:t>
      </w:r>
      <w:bookmarkEnd w:id="0"/>
      <w:r w:rsidRPr="00AD0647">
        <w:t xml:space="preserve">  </w:t>
      </w:r>
    </w:p>
    <w:p w14:paraId="2C37CE96"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47F1EC10" wp14:editId="26F9F223">
                <wp:extent cx="5769610" cy="6096"/>
                <wp:effectExtent l="0" t="0" r="0" b="0"/>
                <wp:docPr id="16" name="Group 1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7" name="Shape 3793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11996614" id="Group 16"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CH5oOyOwIAAIAFAAAOAAAAAAAAAAAA&#10;AAAAAC4CAABkcnMvZTJvRG9jLnhtbFBLAQItABQABgAIAAAAIQCDXyzr2gAAAAMBAAAPAAAAAAAA&#10;AAAAAAAAAJUEAABkcnMvZG93bnJldi54bWxQSwUGAAAAAAQABADzAAAAnAUAAAAA&#10;">
                <v:shape id="Shape 37936"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" path="m,l5769610,r,9144l,9144,,e" fillcolor="#4a66ac" stroked="f" strokeweight="0">
                  <v:stroke miterlimit="83231f" joinstyle="miter"/>
                  <v:path arrowok="t" textboxrect="0,0,5769610,9144"/>
                </v:shape>
                <w10:anchorlock/>
              </v:group>
            </w:pict>
          </mc:Fallback>
        </mc:AlternateContent>
      </w:r>
    </w:p>
    <w:p w14:paraId="73FD10DA" w14:textId="77777777" w:rsidR="00C673A9" w:rsidRPr="00AD0647" w:rsidRDefault="00C673A9" w:rsidP="00C673A9">
      <w:pPr>
        <w:spacing w:after="117" w:line="259" w:lineRule="auto"/>
        <w:ind w:left="408" w:firstLine="0"/>
        <w:jc w:val="left"/>
      </w:pPr>
      <w:r w:rsidRPr="00AD0647">
        <w:rPr>
          <w:color w:val="4A66AC"/>
        </w:rPr>
        <w:t xml:space="preserve"> </w:t>
      </w:r>
    </w:p>
    <w:p w14:paraId="4E7C7C85" w14:textId="290390A2" w:rsidR="00C673A9" w:rsidRPr="00AD0647" w:rsidRDefault="00C673A9" w:rsidP="00941ADC">
      <w:pPr>
        <w:pStyle w:val="Heading2"/>
        <w:numPr>
          <w:ilvl w:val="0"/>
          <w:numId w:val="41"/>
        </w:numPr>
        <w:tabs>
          <w:tab w:val="center" w:pos="509"/>
          <w:tab w:val="center" w:pos="2549"/>
        </w:tabs>
      </w:pPr>
      <w:bookmarkStart w:id="1" w:name="_Toc74642988"/>
      <w:r w:rsidRPr="00AD0647">
        <w:t>The Partnership Agreement</w:t>
      </w:r>
      <w:bookmarkEnd w:id="1"/>
      <w:r w:rsidRPr="00AD0647">
        <w:t xml:space="preserve">   </w:t>
      </w:r>
    </w:p>
    <w:p w14:paraId="18C1E7F0" w14:textId="77777777" w:rsidR="00C673A9" w:rsidRPr="00AD0647" w:rsidRDefault="00C673A9" w:rsidP="00C673A9">
      <w:pPr>
        <w:spacing w:after="115" w:line="259" w:lineRule="auto"/>
        <w:ind w:left="408" w:firstLine="0"/>
        <w:jc w:val="left"/>
      </w:pPr>
      <w:r w:rsidRPr="00AD0647">
        <w:rPr>
          <w:b/>
          <w:i/>
          <w:color w:val="3476B1"/>
        </w:rPr>
        <w:t xml:space="preserve"> </w:t>
      </w:r>
    </w:p>
    <w:p w14:paraId="61EBB20F" w14:textId="06E88398" w:rsidR="00A57C91" w:rsidRPr="00AD0647" w:rsidRDefault="00B04E92" w:rsidP="00941ADC">
      <w:pPr>
        <w:pStyle w:val="ListParagraph"/>
        <w:numPr>
          <w:ilvl w:val="1"/>
          <w:numId w:val="42"/>
        </w:numPr>
        <w:ind w:right="60"/>
      </w:pPr>
      <w:r w:rsidRPr="00AD0647">
        <w:t>This</w:t>
      </w:r>
      <w:r w:rsidR="00C673A9" w:rsidRPr="00AD0647">
        <w:t xml:space="preserve"> document sets out the partnership </w:t>
      </w:r>
      <w:r w:rsidR="00C673A9" w:rsidRPr="00941ADC">
        <w:rPr>
          <w:szCs w:val="24"/>
        </w:rPr>
        <w:t xml:space="preserve">arrangements between </w:t>
      </w:r>
      <w:r w:rsidR="00C673A9" w:rsidRPr="00941ADC">
        <w:rPr>
          <w:color w:val="auto"/>
          <w:szCs w:val="24"/>
          <w:shd w:val="clear" w:color="auto" w:fill="FFFFFF"/>
        </w:rPr>
        <w:t>The Northern Ireland Transport Holding Company (</w:t>
      </w:r>
      <w:r w:rsidR="00C673A9" w:rsidRPr="00941ADC">
        <w:rPr>
          <w:b/>
          <w:bCs/>
          <w:color w:val="auto"/>
          <w:szCs w:val="24"/>
        </w:rPr>
        <w:t>NITHC</w:t>
      </w:r>
      <w:r w:rsidR="00747B06" w:rsidRPr="00941ADC">
        <w:rPr>
          <w:bCs/>
          <w:color w:val="auto"/>
          <w:szCs w:val="24"/>
        </w:rPr>
        <w:t>)</w:t>
      </w:r>
      <w:r w:rsidR="00747B06" w:rsidRPr="00941ADC">
        <w:rPr>
          <w:b/>
          <w:color w:val="auto"/>
          <w:szCs w:val="24"/>
        </w:rPr>
        <w:t xml:space="preserve"> </w:t>
      </w:r>
      <w:r w:rsidR="00C673A9" w:rsidRPr="00941ADC">
        <w:rPr>
          <w:color w:val="auto"/>
          <w:szCs w:val="24"/>
        </w:rPr>
        <w:t>and the Department</w:t>
      </w:r>
      <w:r w:rsidR="00C673A9" w:rsidRPr="00941ADC">
        <w:rPr>
          <w:color w:val="auto"/>
        </w:rPr>
        <w:t xml:space="preserve"> for Infrastructure (</w:t>
      </w:r>
      <w:r w:rsidR="00AD7FDF" w:rsidRPr="00941ADC">
        <w:rPr>
          <w:b/>
          <w:bCs/>
          <w:color w:val="auto"/>
        </w:rPr>
        <w:t>DfI</w:t>
      </w:r>
      <w:r w:rsidR="006D32D0" w:rsidRPr="00941ADC">
        <w:rPr>
          <w:iCs/>
          <w:color w:val="auto"/>
        </w:rPr>
        <w:t>)</w:t>
      </w:r>
      <w:r w:rsidR="004942C7" w:rsidRPr="00941ADC">
        <w:rPr>
          <w:b/>
          <w:iCs/>
          <w:color w:val="auto"/>
        </w:rPr>
        <w:t>.</w:t>
      </w:r>
      <w:r w:rsidR="004942C7" w:rsidRPr="00941ADC">
        <w:rPr>
          <w:color w:val="auto"/>
        </w:rPr>
        <w:t xml:space="preserve"> </w:t>
      </w:r>
      <w:r w:rsidR="00C673A9" w:rsidRPr="00AD0647">
        <w:t xml:space="preserve">In particular, it explains the overall governance framework within which </w:t>
      </w:r>
      <w:r w:rsidR="00C673A9" w:rsidRPr="00941ADC">
        <w:rPr>
          <w:color w:val="auto"/>
        </w:rPr>
        <w:t>NITHC</w:t>
      </w:r>
      <w:r w:rsidR="00C673A9" w:rsidRPr="00941ADC">
        <w:rPr>
          <w:i/>
          <w:color w:val="auto"/>
        </w:rPr>
        <w:t xml:space="preserve"> </w:t>
      </w:r>
      <w:r w:rsidR="00C673A9" w:rsidRPr="00AD0647">
        <w:t xml:space="preserve">operates, including the framework through which the necessary </w:t>
      </w:r>
      <w:r w:rsidR="0017465E">
        <w:t>a</w:t>
      </w:r>
      <w:r w:rsidR="00C673A9" w:rsidRPr="00AD0647">
        <w:t>ssurances are provided to stakeholders</w:t>
      </w:r>
      <w:r w:rsidR="004942C7" w:rsidRPr="00AD0647">
        <w:t xml:space="preserve">. </w:t>
      </w:r>
      <w:r w:rsidR="00C673A9" w:rsidRPr="00AD0647">
        <w:t>Roles/responsibilities of partners within the overall governance framework are also outlined</w:t>
      </w:r>
      <w:r w:rsidR="004942C7" w:rsidRPr="00AD0647">
        <w:t xml:space="preserve">. </w:t>
      </w:r>
    </w:p>
    <w:p w14:paraId="2A1ADB6B" w14:textId="77777777" w:rsidR="00C673A9" w:rsidRPr="00AD0647" w:rsidRDefault="00C673A9" w:rsidP="00C673A9">
      <w:pPr>
        <w:spacing w:after="117" w:line="259" w:lineRule="auto"/>
        <w:ind w:left="836" w:firstLine="0"/>
        <w:jc w:val="left"/>
      </w:pPr>
      <w:r w:rsidRPr="00AD0647">
        <w:t xml:space="preserve"> </w:t>
      </w:r>
    </w:p>
    <w:p w14:paraId="01CCB4C6" w14:textId="1C2DABD7" w:rsidR="00C673A9" w:rsidRPr="00AD0647" w:rsidRDefault="00B04E92" w:rsidP="00941ADC">
      <w:pPr>
        <w:pStyle w:val="ListParagraph"/>
        <w:numPr>
          <w:ilvl w:val="1"/>
          <w:numId w:val="42"/>
        </w:numPr>
        <w:ind w:right="60"/>
      </w:pPr>
      <w:r w:rsidRPr="00AD0647">
        <w:t>The</w:t>
      </w:r>
      <w:r w:rsidR="00C673A9" w:rsidRPr="00AD0647">
        <w:t xml:space="preserve"> partnership is based on a mutual understanding of strategic aims and objectives; clear accountability; and a recognition of the distinct roles each party contributes</w:t>
      </w:r>
      <w:r w:rsidR="004942C7" w:rsidRPr="00AD0647">
        <w:t xml:space="preserve">. </w:t>
      </w:r>
      <w:r w:rsidR="00C673A9" w:rsidRPr="00AD0647">
        <w:t>Underpinning the arrangements are the principles set out in the</w:t>
      </w:r>
      <w:r w:rsidR="00330C82">
        <w:t xml:space="preserve"> </w:t>
      </w:r>
      <w:r w:rsidR="00EB34C4">
        <w:t>‘</w:t>
      </w:r>
      <w:hyperlink r:id="rId11" w:history="1">
        <w:r w:rsidR="00330C82" w:rsidRPr="001F7129">
          <w:rPr>
            <w:rStyle w:val="Hyperlink"/>
          </w:rPr>
          <w:t xml:space="preserve">NI Code of Good Practice ‘Partnerships between </w:t>
        </w:r>
        <w:r w:rsidR="00330C82" w:rsidRPr="00F92CEE">
          <w:rPr>
            <w:rStyle w:val="Hyperlink"/>
          </w:rPr>
          <w:t>Departments</w:t>
        </w:r>
        <w:r w:rsidR="00330C82" w:rsidRPr="001F7129">
          <w:rPr>
            <w:rStyle w:val="Hyperlink"/>
          </w:rPr>
          <w:t xml:space="preserve"> and Arm’s Length Bodies’</w:t>
        </w:r>
      </w:hyperlink>
      <w:r w:rsidR="00C673A9" w:rsidRPr="00EB34C4">
        <w:t xml:space="preserve"> </w:t>
      </w:r>
      <w:r w:rsidR="00D64A5E" w:rsidRPr="00941ADC">
        <w:rPr>
          <w:color w:val="auto"/>
        </w:rPr>
        <w:t>(</w:t>
      </w:r>
      <w:r w:rsidR="00D64A5E" w:rsidRPr="00941ADC">
        <w:rPr>
          <w:b/>
          <w:bCs/>
          <w:color w:val="auto"/>
        </w:rPr>
        <w:t>the</w:t>
      </w:r>
      <w:r w:rsidR="00D64A5E" w:rsidRPr="00941ADC">
        <w:rPr>
          <w:color w:val="auto"/>
        </w:rPr>
        <w:t xml:space="preserve"> </w:t>
      </w:r>
      <w:r w:rsidR="00D64A5E" w:rsidRPr="00941ADC">
        <w:rPr>
          <w:b/>
          <w:bCs/>
          <w:color w:val="auto"/>
        </w:rPr>
        <w:t>NI Code</w:t>
      </w:r>
      <w:r w:rsidR="007A278A" w:rsidRPr="00941ADC">
        <w:rPr>
          <w:color w:val="auto"/>
        </w:rPr>
        <w:t>)</w:t>
      </w:r>
      <w:r w:rsidR="00DA18BE" w:rsidRPr="00AD0647">
        <w:rPr>
          <w:color w:val="auto"/>
          <w:vertAlign w:val="superscript"/>
        </w:rPr>
        <w:footnoteReference w:id="2"/>
      </w:r>
      <w:r w:rsidR="00DA18BE" w:rsidRPr="00941ADC">
        <w:rPr>
          <w:color w:val="auto"/>
        </w:rPr>
        <w:t xml:space="preserve"> </w:t>
      </w:r>
      <w:r w:rsidR="00C673A9" w:rsidRPr="00AD0647">
        <w:t>which should be read in conjunction with this document. The principles which are laid out</w:t>
      </w:r>
      <w:r w:rsidR="00D64A5E" w:rsidRPr="00AD0647">
        <w:t xml:space="preserve"> in</w:t>
      </w:r>
      <w:r w:rsidR="00C673A9" w:rsidRPr="00AD0647">
        <w:t xml:space="preserve"> the </w:t>
      </w:r>
      <w:r w:rsidR="00D64A5E" w:rsidRPr="00AD0647">
        <w:t xml:space="preserve">NI </w:t>
      </w:r>
      <w:r w:rsidR="00C673A9" w:rsidRPr="00AD0647">
        <w:t xml:space="preserve">Code are:  </w:t>
      </w:r>
    </w:p>
    <w:p w14:paraId="253FBD57" w14:textId="77777777" w:rsidR="004B600B" w:rsidRPr="00AD0647" w:rsidRDefault="004B600B" w:rsidP="00C673A9">
      <w:pPr>
        <w:ind w:left="985" w:right="60"/>
      </w:pPr>
    </w:p>
    <w:p w14:paraId="194F68EF" w14:textId="77777777" w:rsidR="00C673A9" w:rsidRPr="00AD0647" w:rsidRDefault="00C673A9" w:rsidP="00C673A9">
      <w:pPr>
        <w:spacing w:after="0" w:line="259" w:lineRule="auto"/>
        <w:ind w:left="771" w:firstLine="0"/>
        <w:jc w:val="left"/>
      </w:pPr>
      <w:r w:rsidRPr="00AD0647">
        <w:t xml:space="preserve"> </w:t>
      </w:r>
    </w:p>
    <w:tbl>
      <w:tblPr>
        <w:tblStyle w:val="TableGrid1"/>
        <w:tblW w:w="9625" w:type="dxa"/>
        <w:tblInd w:w="412" w:type="dxa"/>
        <w:tblCellMar>
          <w:top w:w="80" w:type="dxa"/>
          <w:left w:w="97" w:type="dxa"/>
          <w:right w:w="33" w:type="dxa"/>
        </w:tblCellMar>
        <w:tblLook w:val="04A0" w:firstRow="1" w:lastRow="0" w:firstColumn="1" w:lastColumn="0" w:noHBand="0" w:noVBand="1"/>
      </w:tblPr>
      <w:tblGrid>
        <w:gridCol w:w="9625"/>
      </w:tblGrid>
      <w:tr w:rsidR="00C673A9" w:rsidRPr="00AD0647" w14:paraId="481A6481" w14:textId="77777777" w:rsidTr="22F3F7C2">
        <w:trPr>
          <w:trHeight w:val="627"/>
        </w:trPr>
        <w:tc>
          <w:tcPr>
            <w:tcW w:w="9625" w:type="dxa"/>
            <w:tcBorders>
              <w:top w:val="single" w:sz="12" w:space="0" w:color="005ABB"/>
              <w:left w:val="single" w:sz="12" w:space="0" w:color="005ABB"/>
              <w:bottom w:val="single" w:sz="40" w:space="0" w:color="DFEBF5"/>
              <w:right w:val="single" w:sz="12" w:space="0" w:color="005ABB"/>
            </w:tcBorders>
          </w:tcPr>
          <w:p w14:paraId="16795764" w14:textId="77777777" w:rsidR="00C673A9" w:rsidRPr="00AD0647" w:rsidRDefault="00C673A9" w:rsidP="00C0768B">
            <w:pPr>
              <w:spacing w:after="0" w:line="259" w:lineRule="auto"/>
              <w:ind w:left="0" w:right="67" w:firstLine="0"/>
              <w:jc w:val="center"/>
            </w:pPr>
            <w:r w:rsidRPr="00AD0647">
              <w:rPr>
                <w:b/>
              </w:rPr>
              <w:t xml:space="preserve">LEADERSHIP </w:t>
            </w:r>
          </w:p>
        </w:tc>
      </w:tr>
      <w:tr w:rsidR="00C673A9" w:rsidRPr="00AD0647" w14:paraId="71BD3F1C" w14:textId="77777777" w:rsidTr="22F3F7C2">
        <w:trPr>
          <w:trHeight w:val="719"/>
        </w:trPr>
        <w:tc>
          <w:tcPr>
            <w:tcW w:w="9625" w:type="dxa"/>
            <w:tcBorders>
              <w:top w:val="single" w:sz="40" w:space="0" w:color="DFEBF5"/>
              <w:left w:val="single" w:sz="12" w:space="0" w:color="005ABB"/>
              <w:bottom w:val="single" w:sz="12" w:space="0" w:color="005ABB"/>
              <w:right w:val="single" w:sz="12" w:space="0" w:color="005ABB"/>
            </w:tcBorders>
            <w:shd w:val="clear" w:color="auto" w:fill="DFEBF5"/>
          </w:tcPr>
          <w:p w14:paraId="378E8626" w14:textId="21038477" w:rsidR="00C673A9" w:rsidRPr="00AD0647" w:rsidRDefault="00C673A9" w:rsidP="00C0768B">
            <w:pPr>
              <w:spacing w:after="0" w:line="259" w:lineRule="auto"/>
              <w:ind w:left="0" w:firstLine="0"/>
              <w:jc w:val="left"/>
            </w:pPr>
            <w:r w:rsidRPr="00AD0647">
              <w:rPr>
                <w:i/>
              </w:rPr>
              <w:t>Partnerships work well when Departments and Arm’s Length Bodies demonstrate good leadership to achieve a shared vision and effective delivery of public services</w:t>
            </w:r>
            <w:r w:rsidR="004942C7" w:rsidRPr="00AD0647">
              <w:rPr>
                <w:i/>
              </w:rPr>
              <w:t xml:space="preserve">. </w:t>
            </w:r>
            <w:r w:rsidRPr="00AD0647">
              <w:rPr>
                <w:i/>
              </w:rPr>
              <w:t>Strong leadership will provide inspiration, instil confidence and trust and empower their respective teams to deliver good outcomes for citizens.</w:t>
            </w:r>
            <w:r w:rsidRPr="00AD0647">
              <w:rPr>
                <w:b/>
              </w:rPr>
              <w:t xml:space="preserve"> </w:t>
            </w:r>
          </w:p>
        </w:tc>
      </w:tr>
      <w:tr w:rsidR="00C673A9" w:rsidRPr="00AD0647" w14:paraId="0424D286" w14:textId="77777777" w:rsidTr="22F3F7C2">
        <w:trPr>
          <w:trHeight w:val="594"/>
        </w:trPr>
        <w:tc>
          <w:tcPr>
            <w:tcW w:w="9625" w:type="dxa"/>
            <w:tcBorders>
              <w:top w:val="single" w:sz="12" w:space="0" w:color="005ABB"/>
              <w:left w:val="single" w:sz="12" w:space="0" w:color="005ABB"/>
              <w:bottom w:val="single" w:sz="40" w:space="0" w:color="DFEBF5"/>
              <w:right w:val="single" w:sz="12" w:space="0" w:color="005ABB"/>
            </w:tcBorders>
            <w:vAlign w:val="center"/>
          </w:tcPr>
          <w:p w14:paraId="042B172D" w14:textId="77777777" w:rsidR="00C673A9" w:rsidRPr="00AD0647" w:rsidRDefault="00C673A9" w:rsidP="00C0768B">
            <w:pPr>
              <w:spacing w:after="0" w:line="259" w:lineRule="auto"/>
              <w:ind w:left="0" w:right="62" w:firstLine="0"/>
              <w:jc w:val="center"/>
            </w:pPr>
            <w:r w:rsidRPr="00AD0647">
              <w:rPr>
                <w:b/>
              </w:rPr>
              <w:t xml:space="preserve">PURPOSE </w:t>
            </w:r>
          </w:p>
        </w:tc>
      </w:tr>
      <w:tr w:rsidR="00C673A9" w:rsidRPr="00AD0647" w14:paraId="6F45953B" w14:textId="77777777" w:rsidTr="22F3F7C2">
        <w:trPr>
          <w:trHeight w:val="1828"/>
        </w:trPr>
        <w:tc>
          <w:tcPr>
            <w:tcW w:w="9625" w:type="dxa"/>
            <w:tcBorders>
              <w:top w:val="single" w:sz="40" w:space="0" w:color="DFEBF5"/>
              <w:left w:val="single" w:sz="12" w:space="0" w:color="005ABB"/>
              <w:bottom w:val="single" w:sz="12" w:space="0" w:color="005ABB"/>
              <w:right w:val="single" w:sz="12" w:space="0" w:color="005ABB"/>
            </w:tcBorders>
            <w:shd w:val="clear" w:color="auto" w:fill="DFEBF5"/>
          </w:tcPr>
          <w:p w14:paraId="13AD0280" w14:textId="77777777" w:rsidR="00C673A9" w:rsidRPr="00AD0647" w:rsidRDefault="00C673A9" w:rsidP="00C0768B">
            <w:pPr>
              <w:spacing w:after="0" w:line="259" w:lineRule="auto"/>
              <w:ind w:left="0" w:right="65" w:firstLine="0"/>
            </w:pPr>
            <w:r w:rsidRPr="00AD0647">
              <w:rPr>
                <w:i/>
              </w:rPr>
              <w:t xml:space="preserve">Partnerships work well when the purpose, objectives and roles of Arm’s Length Bodies and the sponsor department are clear, mutually understood and reviewed on a regular basis. There needs to be absolute clarity about lines of accountability and responsibility between departments and Arm’s Length Bodies. In exercising statutory functions Arm’s Length Bodies need to have clarity about how their purpose and objectives align with those of departments. </w:t>
            </w:r>
          </w:p>
        </w:tc>
      </w:tr>
      <w:tr w:rsidR="00C673A9" w:rsidRPr="00AD0647" w14:paraId="13F0ECC4" w14:textId="77777777" w:rsidTr="22F3F7C2">
        <w:trPr>
          <w:trHeight w:val="592"/>
        </w:trPr>
        <w:tc>
          <w:tcPr>
            <w:tcW w:w="9625" w:type="dxa"/>
            <w:tcBorders>
              <w:top w:val="single" w:sz="12" w:space="0" w:color="005ABB"/>
              <w:left w:val="single" w:sz="12" w:space="0" w:color="005ABB"/>
              <w:bottom w:val="single" w:sz="40" w:space="0" w:color="E6EFF8"/>
              <w:right w:val="single" w:sz="12" w:space="0" w:color="005ABB"/>
            </w:tcBorders>
            <w:vAlign w:val="center"/>
          </w:tcPr>
          <w:p w14:paraId="09516DE0" w14:textId="77777777" w:rsidR="00C673A9" w:rsidRPr="00AD0647" w:rsidRDefault="00C673A9" w:rsidP="00C0768B">
            <w:pPr>
              <w:spacing w:after="0" w:line="259" w:lineRule="auto"/>
              <w:ind w:left="0" w:right="64" w:firstLine="0"/>
              <w:jc w:val="center"/>
            </w:pPr>
            <w:r w:rsidRPr="00AD0647">
              <w:rPr>
                <w:b/>
              </w:rPr>
              <w:lastRenderedPageBreak/>
              <w:t xml:space="preserve">ASSURANCE </w:t>
            </w:r>
          </w:p>
        </w:tc>
      </w:tr>
      <w:tr w:rsidR="00C673A9" w:rsidRPr="00AD0647" w14:paraId="521EFF47" w14:textId="77777777" w:rsidTr="22F3F7C2">
        <w:trPr>
          <w:trHeight w:val="1830"/>
        </w:trPr>
        <w:tc>
          <w:tcPr>
            <w:tcW w:w="9625" w:type="dxa"/>
            <w:tcBorders>
              <w:top w:val="single" w:sz="40" w:space="0" w:color="E6EFF8"/>
              <w:left w:val="single" w:sz="12" w:space="0" w:color="005ABB"/>
              <w:bottom w:val="single" w:sz="12" w:space="0" w:color="005ABB"/>
              <w:right w:val="single" w:sz="12" w:space="0" w:color="005ABB"/>
            </w:tcBorders>
            <w:shd w:val="clear" w:color="auto" w:fill="E6EFF8"/>
          </w:tcPr>
          <w:p w14:paraId="1CB7CC22" w14:textId="77777777" w:rsidR="00C673A9" w:rsidRPr="00AD0647" w:rsidRDefault="00C673A9" w:rsidP="00C0768B">
            <w:pPr>
              <w:spacing w:after="0" w:line="259" w:lineRule="auto"/>
              <w:ind w:left="0" w:right="70" w:firstLine="0"/>
            </w:pPr>
            <w:r w:rsidRPr="00AD0647">
              <w:rPr>
                <w:i/>
              </w:rPr>
              <w:t xml:space="preserve">Partnerships work well when departments adopt a proportionate approach to assurance, based on Arm’s Length Bodies’ purpose and a mutual understanding of risk. Arm’s Length Bodies should have robust governance arrangements in place and in turn departments should give Arm’s Length Bodies the autonomy to deliver effectively. Management information should be what is needed to enable departments and Arm’s Length Bodies to provide assurance and assess performance. </w:t>
            </w:r>
          </w:p>
        </w:tc>
      </w:tr>
      <w:tr w:rsidR="00C673A9" w:rsidRPr="00AD0647" w14:paraId="10838E1C" w14:textId="77777777" w:rsidTr="22F3F7C2">
        <w:trPr>
          <w:trHeight w:val="553"/>
        </w:trPr>
        <w:tc>
          <w:tcPr>
            <w:tcW w:w="9625" w:type="dxa"/>
            <w:tcBorders>
              <w:top w:val="single" w:sz="12" w:space="0" w:color="005ABB"/>
              <w:left w:val="single" w:sz="12" w:space="0" w:color="005ABB"/>
              <w:bottom w:val="single" w:sz="40" w:space="0" w:color="E6EFF8"/>
              <w:right w:val="single" w:sz="12" w:space="0" w:color="005ABB"/>
            </w:tcBorders>
            <w:vAlign w:val="center"/>
          </w:tcPr>
          <w:p w14:paraId="0A343936" w14:textId="77777777" w:rsidR="00C673A9" w:rsidRPr="00AD0647" w:rsidRDefault="00C673A9" w:rsidP="00C0768B">
            <w:pPr>
              <w:spacing w:after="0" w:line="259" w:lineRule="auto"/>
              <w:ind w:left="0" w:right="67" w:firstLine="0"/>
              <w:jc w:val="center"/>
            </w:pPr>
            <w:r w:rsidRPr="00AD0647">
              <w:rPr>
                <w:b/>
              </w:rPr>
              <w:t xml:space="preserve">VALUE </w:t>
            </w:r>
          </w:p>
        </w:tc>
      </w:tr>
      <w:tr w:rsidR="00C673A9" w:rsidRPr="00AD0647" w14:paraId="79FD3145" w14:textId="77777777" w:rsidTr="22F3F7C2">
        <w:trPr>
          <w:trHeight w:val="1547"/>
        </w:trPr>
        <w:tc>
          <w:tcPr>
            <w:tcW w:w="9625" w:type="dxa"/>
            <w:tcBorders>
              <w:top w:val="single" w:sz="40" w:space="0" w:color="E6EFF8"/>
              <w:left w:val="single" w:sz="12" w:space="0" w:color="005ABB"/>
              <w:bottom w:val="single" w:sz="12" w:space="0" w:color="005ABB"/>
              <w:right w:val="single" w:sz="12" w:space="0" w:color="005ABB"/>
            </w:tcBorders>
            <w:shd w:val="clear" w:color="auto" w:fill="E6EFF8"/>
          </w:tcPr>
          <w:p w14:paraId="21EF7235" w14:textId="77777777" w:rsidR="00C673A9" w:rsidRPr="00AD0647" w:rsidRDefault="00C673A9" w:rsidP="00C0768B">
            <w:pPr>
              <w:spacing w:after="0" w:line="259" w:lineRule="auto"/>
              <w:ind w:left="0" w:right="65" w:firstLine="0"/>
            </w:pPr>
            <w:r w:rsidRPr="00AD0647">
              <w:rPr>
                <w:i/>
              </w:rPr>
              <w:t xml:space="preserve">Partnerships work well when departments and Arm’s Length Bodies share knowledge, skills and experience in order to enhance their impact and delivery. Arm’s Length Bodies are able to contribute to policy making and departmental priorities. There is a focus on innovation, and on how departments and Arm’s Length Bodies work together to deliver the most effective policies and services for its customers. </w:t>
            </w:r>
          </w:p>
        </w:tc>
      </w:tr>
      <w:tr w:rsidR="00C673A9" w:rsidRPr="00AD0647" w14:paraId="2AB6DC5F" w14:textId="77777777" w:rsidTr="22F3F7C2">
        <w:trPr>
          <w:trHeight w:val="592"/>
        </w:trPr>
        <w:tc>
          <w:tcPr>
            <w:tcW w:w="9625" w:type="dxa"/>
            <w:tcBorders>
              <w:top w:val="single" w:sz="12" w:space="0" w:color="005ABB"/>
              <w:left w:val="single" w:sz="12" w:space="0" w:color="005ABB"/>
              <w:bottom w:val="single" w:sz="40" w:space="0" w:color="E6EFF8"/>
              <w:right w:val="single" w:sz="12" w:space="0" w:color="005ABB"/>
            </w:tcBorders>
            <w:vAlign w:val="center"/>
          </w:tcPr>
          <w:p w14:paraId="015811FE" w14:textId="77777777" w:rsidR="00C673A9" w:rsidRPr="00AD0647" w:rsidRDefault="00C673A9" w:rsidP="00C0768B">
            <w:pPr>
              <w:spacing w:after="0" w:line="259" w:lineRule="auto"/>
              <w:ind w:left="0" w:right="67" w:firstLine="0"/>
              <w:jc w:val="center"/>
            </w:pPr>
            <w:r w:rsidRPr="00AD0647">
              <w:rPr>
                <w:b/>
              </w:rPr>
              <w:t xml:space="preserve">ENGAGEMENT </w:t>
            </w:r>
          </w:p>
        </w:tc>
      </w:tr>
      <w:tr w:rsidR="00C673A9" w:rsidRPr="00AD0647" w14:paraId="23A4DCDE" w14:textId="77777777" w:rsidTr="22F3F7C2">
        <w:trPr>
          <w:trHeight w:val="991"/>
        </w:trPr>
        <w:tc>
          <w:tcPr>
            <w:tcW w:w="9625" w:type="dxa"/>
            <w:tcBorders>
              <w:top w:val="single" w:sz="40" w:space="0" w:color="E6EFF8"/>
              <w:left w:val="single" w:sz="12" w:space="0" w:color="005ABB"/>
              <w:bottom w:val="single" w:sz="12" w:space="0" w:color="005ABB"/>
              <w:right w:val="single" w:sz="12" w:space="0" w:color="005ABB"/>
            </w:tcBorders>
            <w:shd w:val="clear" w:color="auto" w:fill="E6EFF8"/>
          </w:tcPr>
          <w:p w14:paraId="4430EA9A" w14:textId="77777777" w:rsidR="00C673A9" w:rsidRPr="00AD0647" w:rsidRDefault="00C673A9" w:rsidP="00C0768B">
            <w:pPr>
              <w:spacing w:after="0" w:line="259" w:lineRule="auto"/>
              <w:ind w:left="0" w:right="69" w:firstLine="0"/>
            </w:pPr>
            <w:r w:rsidRPr="00AD0647">
              <w:rPr>
                <w:i/>
              </w:rPr>
              <w:t xml:space="preserve">Partnerships work well when relationships between departments and Arm’s Length Bodies are open, honest, constructive and based on trust. There is mutual understanding about each other’s objectives and clear expectations about the terms of engagement. </w:t>
            </w:r>
          </w:p>
        </w:tc>
      </w:tr>
    </w:tbl>
    <w:p w14:paraId="26E1353C" w14:textId="307BF9C6" w:rsidR="00C673A9" w:rsidRPr="00AD0647" w:rsidRDefault="00C673A9" w:rsidP="007A70A5">
      <w:pPr>
        <w:spacing w:after="115" w:line="259" w:lineRule="auto"/>
        <w:ind w:left="0" w:firstLine="0"/>
        <w:jc w:val="left"/>
      </w:pPr>
    </w:p>
    <w:p w14:paraId="28C40C46" w14:textId="01B0CEDF" w:rsidR="00C673A9" w:rsidRPr="00AD0647" w:rsidRDefault="00C673A9" w:rsidP="00941ADC">
      <w:pPr>
        <w:pStyle w:val="ListParagraph"/>
        <w:numPr>
          <w:ilvl w:val="1"/>
          <w:numId w:val="42"/>
        </w:numPr>
        <w:ind w:right="60"/>
      </w:pPr>
      <w:r w:rsidRPr="00AD0647">
        <w:t xml:space="preserve">This document should also be read in conjunction with </w:t>
      </w:r>
      <w:hyperlink r:id="rId12" w:history="1">
        <w:r w:rsidR="00DA18BE" w:rsidRPr="00AD0647">
          <w:rPr>
            <w:rStyle w:val="Hyperlink"/>
          </w:rPr>
          <w:t>Guidance on Proportionate A</w:t>
        </w:r>
        <w:r w:rsidRPr="00AD0647">
          <w:rPr>
            <w:rStyle w:val="Hyperlink"/>
          </w:rPr>
          <w:t>utonomy</w:t>
        </w:r>
      </w:hyperlink>
      <w:r w:rsidR="00E53D43" w:rsidRPr="00AD0647">
        <w:rPr>
          <w:color w:val="1F4E79" w:themeColor="accent1" w:themeShade="80"/>
          <w:vertAlign w:val="superscript"/>
        </w:rPr>
        <w:footnoteReference w:id="3"/>
      </w:r>
      <w:r w:rsidRPr="00941ADC">
        <w:rPr>
          <w:color w:val="1F4E79" w:themeColor="accent1" w:themeShade="80"/>
        </w:rPr>
        <w:t xml:space="preserve"> </w:t>
      </w:r>
      <w:r w:rsidRPr="00AD0647">
        <w:t xml:space="preserve">which provides an outline of the principles and characteristics for proportionate autonomy. Guidance on </w:t>
      </w:r>
      <w:r w:rsidR="00DA18BE" w:rsidRPr="00AD0647">
        <w:t>P</w:t>
      </w:r>
      <w:r w:rsidRPr="00AD0647">
        <w:t xml:space="preserve">roportionate </w:t>
      </w:r>
      <w:r w:rsidR="00DA18BE" w:rsidRPr="00AD0647">
        <w:t>A</w:t>
      </w:r>
      <w:r w:rsidRPr="00AD0647">
        <w:t xml:space="preserve">utonomy has been considered in determining the extent of engagement and assurance to be established between </w:t>
      </w:r>
      <w:r w:rsidRPr="00941ADC">
        <w:rPr>
          <w:color w:val="auto"/>
        </w:rPr>
        <w:t>NITHC</w:t>
      </w:r>
      <w:r w:rsidRPr="00941ADC">
        <w:rPr>
          <w:color w:val="FF0000"/>
        </w:rPr>
        <w:t xml:space="preserve"> </w:t>
      </w:r>
      <w:r w:rsidRPr="00AD0647">
        <w:t xml:space="preserve">and </w:t>
      </w:r>
      <w:r w:rsidR="00D64A5E" w:rsidRPr="00941ADC">
        <w:rPr>
          <w:color w:val="auto"/>
        </w:rPr>
        <w:t>DfI</w:t>
      </w:r>
      <w:r w:rsidRPr="00941ADC">
        <w:rPr>
          <w:i/>
          <w:color w:val="FF0000"/>
        </w:rPr>
        <w:t xml:space="preserve"> </w:t>
      </w:r>
      <w:r w:rsidRPr="00AD0647">
        <w:t xml:space="preserve">and this is reflected in this </w:t>
      </w:r>
      <w:r w:rsidR="00F17FD3" w:rsidRPr="00AD0647">
        <w:t>A</w:t>
      </w:r>
      <w:r w:rsidRPr="00AD0647">
        <w:t>greement</w:t>
      </w:r>
      <w:r w:rsidR="004942C7" w:rsidRPr="00AD0647">
        <w:t xml:space="preserve">. </w:t>
      </w:r>
    </w:p>
    <w:p w14:paraId="0417AC3B" w14:textId="77777777" w:rsidR="006F32C8" w:rsidRPr="00AD0647" w:rsidRDefault="006F32C8" w:rsidP="00B04E92">
      <w:pPr>
        <w:ind w:left="959" w:right="60" w:hanging="566"/>
      </w:pPr>
    </w:p>
    <w:p w14:paraId="1B36FBE6" w14:textId="6BF45ED7" w:rsidR="00C673A9" w:rsidRPr="00AD0647" w:rsidRDefault="00D64A5E" w:rsidP="00941ADC">
      <w:pPr>
        <w:pStyle w:val="ListParagraph"/>
        <w:numPr>
          <w:ilvl w:val="1"/>
          <w:numId w:val="42"/>
        </w:numPr>
        <w:ind w:right="60"/>
      </w:pPr>
      <w:r w:rsidRPr="00AD0647">
        <w:t>DfI</w:t>
      </w:r>
      <w:r w:rsidR="00C673A9" w:rsidRPr="00941ADC">
        <w:rPr>
          <w:color w:val="FF0000"/>
        </w:rPr>
        <w:t xml:space="preserve"> </w:t>
      </w:r>
      <w:r w:rsidR="00C673A9" w:rsidRPr="00AD0647">
        <w:t xml:space="preserve">and </w:t>
      </w:r>
      <w:r w:rsidR="00C673A9" w:rsidRPr="00941ADC">
        <w:rPr>
          <w:color w:val="auto"/>
        </w:rPr>
        <w:t>NITHC</w:t>
      </w:r>
      <w:r w:rsidR="00C673A9" w:rsidRPr="00941ADC">
        <w:rPr>
          <w:i/>
          <w:color w:val="3476B1"/>
        </w:rPr>
        <w:t xml:space="preserve"> </w:t>
      </w:r>
      <w:r w:rsidR="00C673A9" w:rsidRPr="00AD0647">
        <w:t xml:space="preserve">are committed to:  </w:t>
      </w:r>
    </w:p>
    <w:p w14:paraId="276A5D54" w14:textId="77777777" w:rsidR="00003478" w:rsidRPr="00AD0647" w:rsidRDefault="00003478" w:rsidP="00B04E92">
      <w:pPr>
        <w:ind w:left="959" w:right="60" w:hanging="566"/>
      </w:pPr>
    </w:p>
    <w:p w14:paraId="368B30E3" w14:textId="490D6DFB" w:rsidR="00C673A9" w:rsidRPr="00AD0647" w:rsidRDefault="00C673A9" w:rsidP="00C673A9">
      <w:pPr>
        <w:numPr>
          <w:ilvl w:val="1"/>
          <w:numId w:val="1"/>
        </w:numPr>
        <w:spacing w:after="88" w:line="259" w:lineRule="auto"/>
        <w:ind w:right="60" w:hanging="360"/>
      </w:pPr>
      <w:r w:rsidRPr="00AD0647">
        <w:t>Working together</w:t>
      </w:r>
      <w:r w:rsidR="00E825B4" w:rsidRPr="00AD0647">
        <w:t xml:space="preserve"> within distinct</w:t>
      </w:r>
      <w:r w:rsidRPr="00AD0647">
        <w:t xml:space="preserve"> roles and responsibilities</w:t>
      </w:r>
      <w:r w:rsidR="0030649E">
        <w:t>;</w:t>
      </w:r>
      <w:r w:rsidRPr="00AD0647">
        <w:t xml:space="preserve"> </w:t>
      </w:r>
    </w:p>
    <w:p w14:paraId="14DF5859" w14:textId="47CB6E28" w:rsidR="00C673A9" w:rsidRPr="00AD0647" w:rsidRDefault="00C673A9" w:rsidP="00C673A9">
      <w:pPr>
        <w:numPr>
          <w:ilvl w:val="1"/>
          <w:numId w:val="1"/>
        </w:numPr>
        <w:ind w:right="60" w:hanging="360"/>
      </w:pPr>
      <w:r w:rsidRPr="00AD0647">
        <w:t xml:space="preserve">Maintaining focus on successful delivery of Programme for Government </w:t>
      </w:r>
      <w:r w:rsidR="00526FEE" w:rsidRPr="00AD0647">
        <w:t>(</w:t>
      </w:r>
      <w:r w:rsidR="00526FEE" w:rsidRPr="00AD0647">
        <w:rPr>
          <w:b/>
          <w:bCs/>
        </w:rPr>
        <w:t>PfG</w:t>
      </w:r>
      <w:r w:rsidR="00526FEE" w:rsidRPr="00AD0647">
        <w:t xml:space="preserve">) </w:t>
      </w:r>
      <w:r w:rsidRPr="00AD0647">
        <w:t>outcomes and Ministerial priorities</w:t>
      </w:r>
      <w:r w:rsidR="0030649E">
        <w:t>;</w:t>
      </w:r>
      <w:r w:rsidRPr="00AD0647">
        <w:t xml:space="preserve"> </w:t>
      </w:r>
    </w:p>
    <w:p w14:paraId="574D06AD" w14:textId="23411B30" w:rsidR="00C673A9" w:rsidRPr="00AD0647" w:rsidRDefault="00C673A9" w:rsidP="00C673A9">
      <w:pPr>
        <w:numPr>
          <w:ilvl w:val="1"/>
          <w:numId w:val="1"/>
        </w:numPr>
        <w:spacing w:after="88" w:line="259" w:lineRule="auto"/>
        <w:ind w:right="60" w:hanging="360"/>
      </w:pPr>
      <w:r w:rsidRPr="00AD0647">
        <w:t>Maintaining open and honest communication and dialogue</w:t>
      </w:r>
      <w:r w:rsidR="0030649E">
        <w:t>;</w:t>
      </w:r>
      <w:r w:rsidRPr="00AD0647">
        <w:t xml:space="preserve"> </w:t>
      </w:r>
    </w:p>
    <w:p w14:paraId="41060B77" w14:textId="13BCD496" w:rsidR="00C673A9" w:rsidRPr="00AD0647" w:rsidRDefault="00C673A9" w:rsidP="00C673A9">
      <w:pPr>
        <w:numPr>
          <w:ilvl w:val="1"/>
          <w:numId w:val="1"/>
        </w:numPr>
        <w:ind w:right="60" w:hanging="360"/>
      </w:pPr>
      <w:r w:rsidRPr="00AD0647">
        <w:t>Keeping each other informed of any issues and concerns, and of emerging areas of risk</w:t>
      </w:r>
      <w:r w:rsidR="0030649E">
        <w:t>;</w:t>
      </w:r>
    </w:p>
    <w:p w14:paraId="3C1559D3" w14:textId="4E34314B" w:rsidR="00C673A9" w:rsidRPr="00AD0647" w:rsidRDefault="00C673A9" w:rsidP="00002A90">
      <w:pPr>
        <w:numPr>
          <w:ilvl w:val="1"/>
          <w:numId w:val="1"/>
        </w:numPr>
        <w:spacing w:after="70" w:line="259" w:lineRule="auto"/>
        <w:ind w:right="60" w:hanging="360"/>
      </w:pPr>
      <w:r w:rsidRPr="00AD0647">
        <w:lastRenderedPageBreak/>
        <w:t xml:space="preserve">Supporting and challenging each other on developing policy and delivery </w:t>
      </w:r>
      <w:r w:rsidR="00F2006E" w:rsidRPr="00AD0647">
        <w:t>(</w:t>
      </w:r>
      <w:r w:rsidRPr="00AD0647">
        <w:t>when developing policy this may cut across more than one department</w:t>
      </w:r>
      <w:r w:rsidR="00F2006E" w:rsidRPr="00AD0647">
        <w:t>)</w:t>
      </w:r>
      <w:r w:rsidR="0030649E">
        <w:t>;</w:t>
      </w:r>
      <w:r w:rsidRPr="00AD0647">
        <w:t xml:space="preserve"> </w:t>
      </w:r>
    </w:p>
    <w:p w14:paraId="1A23C0AE" w14:textId="4353E9EE" w:rsidR="00C673A9" w:rsidRPr="00AD0647" w:rsidRDefault="00C673A9" w:rsidP="00C673A9">
      <w:pPr>
        <w:numPr>
          <w:ilvl w:val="1"/>
          <w:numId w:val="1"/>
        </w:numPr>
        <w:spacing w:after="90" w:line="259" w:lineRule="auto"/>
        <w:ind w:right="60" w:hanging="360"/>
      </w:pPr>
      <w:r w:rsidRPr="00AD0647">
        <w:t>Seeking to resolve issues quickly and constructively</w:t>
      </w:r>
      <w:r w:rsidR="0030649E">
        <w:t>; and</w:t>
      </w:r>
      <w:r w:rsidRPr="00AD0647">
        <w:t xml:space="preserve">  </w:t>
      </w:r>
    </w:p>
    <w:p w14:paraId="68A3A28F" w14:textId="77777777" w:rsidR="00C673A9" w:rsidRPr="00AD0647" w:rsidRDefault="00C673A9" w:rsidP="00C673A9">
      <w:pPr>
        <w:numPr>
          <w:ilvl w:val="1"/>
          <w:numId w:val="1"/>
        </w:numPr>
        <w:ind w:right="60" w:hanging="360"/>
      </w:pPr>
      <w:r w:rsidRPr="00AD0647">
        <w:t xml:space="preserve">Acting at all times in the public interest and in line with the values of integrity, honesty, objectivity and impartiality. </w:t>
      </w:r>
    </w:p>
    <w:p w14:paraId="68A02F7F" w14:textId="77777777" w:rsidR="00C673A9" w:rsidRPr="00AD0647" w:rsidRDefault="00C673A9" w:rsidP="00C673A9">
      <w:pPr>
        <w:spacing w:after="117" w:line="259" w:lineRule="auto"/>
        <w:ind w:left="771" w:firstLine="0"/>
        <w:jc w:val="left"/>
      </w:pPr>
      <w:r w:rsidRPr="00AD0647">
        <w:t xml:space="preserve"> </w:t>
      </w:r>
    </w:p>
    <w:p w14:paraId="644B1C63" w14:textId="630DDC22" w:rsidR="00C673A9" w:rsidRPr="00AD0647" w:rsidRDefault="00C673A9" w:rsidP="00941ADC">
      <w:pPr>
        <w:pStyle w:val="ListParagraph"/>
        <w:numPr>
          <w:ilvl w:val="1"/>
          <w:numId w:val="42"/>
        </w:numPr>
        <w:ind w:right="60"/>
      </w:pPr>
      <w:r w:rsidRPr="00AD0647">
        <w:t xml:space="preserve">The effectiveness of the partnership and the associated Engagement Plan will be reviewed each year by </w:t>
      </w:r>
      <w:r w:rsidR="00D64A5E" w:rsidRPr="00AD0647">
        <w:t>DfI</w:t>
      </w:r>
      <w:r w:rsidRPr="00AD0647">
        <w:t xml:space="preserve"> and NITHC in order to assess whether the partnership is operating as intended and to identify any emerging issues/opportunities for enhancement. This can be carried out as part of existing governance arrangements. The Partnership Agreement document itself will be reviewed formally at least once every three years to ensure it remains fit for purpose and up-to-date in terms of current governance frameworks. The formal review will be </w:t>
      </w:r>
      <w:r w:rsidR="000D5BA7" w:rsidRPr="00AD0647">
        <w:t xml:space="preserve">proportionate, </w:t>
      </w:r>
      <w:r w:rsidRPr="00AD0647">
        <w:t xml:space="preserve">and </w:t>
      </w:r>
      <w:r w:rsidR="00001BC3" w:rsidRPr="00AD0647">
        <w:t xml:space="preserve">the </w:t>
      </w:r>
      <w:r w:rsidR="0036076C" w:rsidRPr="00AD0647">
        <w:t xml:space="preserve">updated </w:t>
      </w:r>
      <w:r w:rsidR="00001BC3" w:rsidRPr="00AD0647">
        <w:t xml:space="preserve">Partnership Agreement </w:t>
      </w:r>
      <w:r w:rsidRPr="00AD0647">
        <w:t xml:space="preserve">will be published on </w:t>
      </w:r>
      <w:r w:rsidR="00CD4E80" w:rsidRPr="00AD0647">
        <w:t>DfI</w:t>
      </w:r>
      <w:r w:rsidRPr="00AD0647">
        <w:t xml:space="preserve"> and NITHC websites as soon as practicable following completion</w:t>
      </w:r>
      <w:r w:rsidR="004942C7" w:rsidRPr="00AD0647">
        <w:t xml:space="preserve">. </w:t>
      </w:r>
    </w:p>
    <w:p w14:paraId="308CE878" w14:textId="77777777" w:rsidR="00C673A9" w:rsidRPr="00AD0647" w:rsidRDefault="00C673A9" w:rsidP="00B04E92">
      <w:pPr>
        <w:ind w:left="959" w:right="60" w:hanging="566"/>
      </w:pPr>
      <w:r w:rsidRPr="00AD0647">
        <w:t xml:space="preserve"> </w:t>
      </w:r>
    </w:p>
    <w:p w14:paraId="28BF09A7" w14:textId="40E6C30F" w:rsidR="00C673A9" w:rsidRPr="00AD0647" w:rsidRDefault="00C673A9" w:rsidP="00941ADC">
      <w:pPr>
        <w:pStyle w:val="ListParagraph"/>
        <w:numPr>
          <w:ilvl w:val="1"/>
          <w:numId w:val="42"/>
        </w:numPr>
        <w:spacing w:after="3" w:line="361" w:lineRule="auto"/>
        <w:ind w:right="53"/>
      </w:pPr>
      <w:r w:rsidRPr="00AD0647">
        <w:t xml:space="preserve">A copy of this </w:t>
      </w:r>
      <w:r w:rsidR="0092401B" w:rsidRPr="00AD0647">
        <w:t>A</w:t>
      </w:r>
      <w:r w:rsidRPr="00AD0647">
        <w:t xml:space="preserve">greement has been placed in the Assembly Library and is available </w:t>
      </w:r>
      <w:r w:rsidR="00E21D54" w:rsidRPr="00AD0647">
        <w:t>on DfI</w:t>
      </w:r>
      <w:r w:rsidR="009A21C5" w:rsidRPr="00AD0647">
        <w:t xml:space="preserve"> </w:t>
      </w:r>
      <w:r w:rsidRPr="00AD0647">
        <w:t>and NITHC websites</w:t>
      </w:r>
      <w:r w:rsidR="004942C7" w:rsidRPr="00AD0647">
        <w:t xml:space="preserve">. </w:t>
      </w:r>
    </w:p>
    <w:p w14:paraId="43E21F23" w14:textId="77777777" w:rsidR="00C673A9" w:rsidRPr="00AD0647" w:rsidRDefault="00C673A9" w:rsidP="00B04E92">
      <w:pPr>
        <w:spacing w:after="3" w:line="361" w:lineRule="auto"/>
        <w:ind w:left="969" w:right="53" w:hanging="576"/>
      </w:pPr>
      <w:r w:rsidRPr="00AD0647">
        <w:t xml:space="preserve"> </w:t>
      </w:r>
    </w:p>
    <w:p w14:paraId="54D168E4" w14:textId="77777777" w:rsidR="00C673A9" w:rsidRPr="00AD0647" w:rsidRDefault="00C673A9" w:rsidP="00C673A9">
      <w:pPr>
        <w:spacing w:after="0" w:line="259" w:lineRule="auto"/>
        <w:ind w:left="408" w:firstLine="0"/>
        <w:jc w:val="left"/>
      </w:pPr>
      <w:r w:rsidRPr="00AD0647">
        <w:t xml:space="preserve"> </w:t>
      </w:r>
      <w:r w:rsidRPr="00AD0647">
        <w:tab/>
        <w:t xml:space="preserve"> </w:t>
      </w:r>
      <w:r w:rsidRPr="00AD0647">
        <w:br w:type="page"/>
      </w:r>
    </w:p>
    <w:p w14:paraId="00B1D13E" w14:textId="400D632E" w:rsidR="00C673A9" w:rsidRPr="00AD0647" w:rsidRDefault="00C673A9" w:rsidP="00C673A9">
      <w:pPr>
        <w:pStyle w:val="Heading1"/>
        <w:ind w:left="403"/>
      </w:pPr>
      <w:bookmarkStart w:id="2" w:name="_Toc74642989"/>
      <w:r w:rsidRPr="00AD0647">
        <w:lastRenderedPageBreak/>
        <w:t>NITHC Establishment and Purpose</w:t>
      </w:r>
      <w:bookmarkEnd w:id="2"/>
      <w:r w:rsidRPr="00AD0647">
        <w:t xml:space="preserve"> </w:t>
      </w:r>
    </w:p>
    <w:p w14:paraId="40B4E5E8"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5DCAF7C3" wp14:editId="4E8FE5E1">
                <wp:extent cx="5769610" cy="6096"/>
                <wp:effectExtent l="0" t="0" r="0" b="0"/>
                <wp:docPr id="18" name="Group 18"/>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9" name="Shape 3793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78FA160C" id="Group 18"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AaMOdVOwIAAIAFAAAOAAAAAAAAAAAA&#10;AAAAAC4CAABkcnMvZTJvRG9jLnhtbFBLAQItABQABgAIAAAAIQCDXyzr2gAAAAMBAAAPAAAAAAAA&#10;AAAAAAAAAJUEAABkcnMvZG93bnJldi54bWxQSwUGAAAAAAQABADzAAAAnAUAAAAA&#10;">
                <v:shape id="Shape 37937"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" path="m,l5769610,r,9144l,9144,,e" fillcolor="#4a66ac" stroked="f" strokeweight="0">
                  <v:stroke miterlimit="83231f" joinstyle="miter"/>
                  <v:path arrowok="t" textboxrect="0,0,5769610,9144"/>
                </v:shape>
                <w10:anchorlock/>
              </v:group>
            </w:pict>
          </mc:Fallback>
        </mc:AlternateContent>
      </w:r>
    </w:p>
    <w:p w14:paraId="76E4B977" w14:textId="77777777" w:rsidR="00C673A9" w:rsidRPr="00AD0647" w:rsidRDefault="00C673A9" w:rsidP="00C673A9">
      <w:pPr>
        <w:spacing w:after="117" w:line="259" w:lineRule="auto"/>
        <w:ind w:left="408" w:firstLine="0"/>
        <w:jc w:val="left"/>
      </w:pPr>
      <w:r w:rsidRPr="00AD0647">
        <w:rPr>
          <w:b/>
          <w:i/>
          <w:color w:val="3476B1"/>
        </w:rPr>
        <w:t xml:space="preserve"> </w:t>
      </w:r>
    </w:p>
    <w:p w14:paraId="3FABFAC6" w14:textId="6CF07DE6" w:rsidR="00C673A9" w:rsidRPr="00AD0647" w:rsidRDefault="00C673A9" w:rsidP="00941ADC">
      <w:pPr>
        <w:pStyle w:val="Heading2"/>
        <w:numPr>
          <w:ilvl w:val="0"/>
          <w:numId w:val="42"/>
        </w:numPr>
        <w:tabs>
          <w:tab w:val="center" w:pos="509"/>
          <w:tab w:val="center" w:pos="3447"/>
        </w:tabs>
      </w:pPr>
      <w:bookmarkStart w:id="3" w:name="_Toc74642990"/>
      <w:r w:rsidRPr="00AD0647">
        <w:t>Statutory Purpose and Strategic Objectives</w:t>
      </w:r>
      <w:bookmarkEnd w:id="3"/>
      <w:r w:rsidRPr="00AD0647">
        <w:t xml:space="preserve">  </w:t>
      </w:r>
    </w:p>
    <w:p w14:paraId="43C0512D" w14:textId="77777777" w:rsidR="00C673A9" w:rsidRPr="00AD0647" w:rsidRDefault="00C673A9" w:rsidP="00B87D88">
      <w:pPr>
        <w:pStyle w:val="Heading2"/>
        <w:tabs>
          <w:tab w:val="center" w:pos="509"/>
          <w:tab w:val="center" w:pos="3447"/>
        </w:tabs>
        <w:ind w:left="0" w:firstLine="0"/>
      </w:pPr>
      <w:r w:rsidRPr="00AD0647">
        <w:rPr>
          <w:i/>
          <w:color w:val="3476B1"/>
        </w:rPr>
        <w:t xml:space="preserve"> </w:t>
      </w:r>
    </w:p>
    <w:p w14:paraId="43F6FD9E" w14:textId="701B556D" w:rsidR="00720808" w:rsidRPr="00941ADC" w:rsidRDefault="00C673A9" w:rsidP="000851B6">
      <w:pPr>
        <w:pStyle w:val="ListParagraph"/>
        <w:numPr>
          <w:ilvl w:val="1"/>
          <w:numId w:val="42"/>
        </w:numPr>
        <w:spacing w:after="3" w:line="361" w:lineRule="auto"/>
        <w:ind w:left="993" w:right="53" w:hanging="633"/>
        <w:rPr>
          <w:color w:val="auto"/>
        </w:rPr>
      </w:pPr>
      <w:r w:rsidRPr="00941ADC">
        <w:rPr>
          <w:color w:val="auto"/>
        </w:rPr>
        <w:t>NITHC</w:t>
      </w:r>
      <w:r w:rsidRPr="00941ADC">
        <w:rPr>
          <w:i/>
          <w:color w:val="auto"/>
        </w:rPr>
        <w:t xml:space="preserve"> </w:t>
      </w:r>
      <w:r w:rsidRPr="00941ADC">
        <w:rPr>
          <w:color w:val="auto"/>
        </w:rPr>
        <w:t xml:space="preserve">is a </w:t>
      </w:r>
      <w:r w:rsidR="003C5BE8" w:rsidRPr="00AD0647">
        <w:t xml:space="preserve">statutory </w:t>
      </w:r>
      <w:r w:rsidRPr="00941ADC">
        <w:rPr>
          <w:color w:val="auto"/>
        </w:rPr>
        <w:t>public</w:t>
      </w:r>
      <w:r w:rsidRPr="00941ADC">
        <w:rPr>
          <w:color w:val="FF0000"/>
        </w:rPr>
        <w:t xml:space="preserve"> </w:t>
      </w:r>
      <w:r w:rsidRPr="00941ADC">
        <w:rPr>
          <w:color w:val="auto"/>
        </w:rPr>
        <w:t>corporation</w:t>
      </w:r>
      <w:r w:rsidR="00B87D88" w:rsidRPr="00941ADC">
        <w:rPr>
          <w:color w:val="auto"/>
        </w:rPr>
        <w:t xml:space="preserve"> (non-financial)</w:t>
      </w:r>
      <w:r w:rsidR="00C74E62" w:rsidRPr="00AD0647">
        <w:rPr>
          <w:rStyle w:val="FootnoteReference"/>
          <w:color w:val="auto"/>
        </w:rPr>
        <w:footnoteReference w:id="4"/>
      </w:r>
      <w:r w:rsidR="00B956F9" w:rsidRPr="00941ADC">
        <w:rPr>
          <w:color w:val="auto"/>
        </w:rPr>
        <w:t xml:space="preserve"> established under the </w:t>
      </w:r>
      <w:hyperlink r:id="rId13" w:history="1">
        <w:r w:rsidR="00B956F9" w:rsidRPr="00AD0647">
          <w:rPr>
            <w:rStyle w:val="Hyperlink"/>
          </w:rPr>
          <w:t>Transport Act (Northern Ireland) 1967</w:t>
        </w:r>
      </w:hyperlink>
      <w:r w:rsidR="00B956F9" w:rsidRPr="00AD0647">
        <w:rPr>
          <w:vertAlign w:val="superscript"/>
        </w:rPr>
        <w:footnoteReference w:id="5"/>
      </w:r>
      <w:r w:rsidR="00B956F9" w:rsidRPr="00941ADC">
        <w:rPr>
          <w:color w:val="auto"/>
        </w:rPr>
        <w:t xml:space="preserve"> as a body corporate with perpetual succession and is Northern Ireland’s primary public transport provider</w:t>
      </w:r>
      <w:r w:rsidR="00C74E62" w:rsidRPr="00941ADC">
        <w:rPr>
          <w:color w:val="auto"/>
        </w:rPr>
        <w:t>.</w:t>
      </w:r>
      <w:r w:rsidR="003C5BE8" w:rsidRPr="00941ADC">
        <w:rPr>
          <w:color w:val="auto"/>
        </w:rPr>
        <w:t xml:space="preserve"> </w:t>
      </w:r>
    </w:p>
    <w:p w14:paraId="756C812B" w14:textId="77777777" w:rsidR="00B956F9" w:rsidRPr="00AD0647" w:rsidRDefault="00B956F9" w:rsidP="00720808">
      <w:pPr>
        <w:spacing w:after="3" w:line="361" w:lineRule="auto"/>
        <w:ind w:left="993" w:right="53" w:firstLine="0"/>
        <w:rPr>
          <w:color w:val="auto"/>
        </w:rPr>
      </w:pPr>
    </w:p>
    <w:p w14:paraId="5EA4489A" w14:textId="3A5058E2" w:rsidR="00720808" w:rsidRPr="00941ADC" w:rsidRDefault="00720808" w:rsidP="000851B6">
      <w:pPr>
        <w:pStyle w:val="ListParagraph"/>
        <w:numPr>
          <w:ilvl w:val="1"/>
          <w:numId w:val="42"/>
        </w:numPr>
        <w:spacing w:after="3" w:line="361" w:lineRule="auto"/>
        <w:ind w:left="993" w:right="53" w:hanging="633"/>
        <w:rPr>
          <w:color w:val="auto"/>
        </w:rPr>
      </w:pPr>
      <w:r w:rsidRPr="00941ADC">
        <w:rPr>
          <w:color w:val="auto"/>
        </w:rPr>
        <w:t>For national accounts and budgeting purposes NITHC</w:t>
      </w:r>
      <w:r w:rsidRPr="00941ADC">
        <w:rPr>
          <w:i/>
          <w:color w:val="auto"/>
        </w:rPr>
        <w:t xml:space="preserve"> </w:t>
      </w:r>
      <w:r w:rsidRPr="00941ADC">
        <w:rPr>
          <w:color w:val="auto"/>
        </w:rPr>
        <w:t xml:space="preserve">is classified by the Office </w:t>
      </w:r>
      <w:r w:rsidR="00C407C3" w:rsidRPr="00941ADC">
        <w:rPr>
          <w:color w:val="auto"/>
        </w:rPr>
        <w:t xml:space="preserve">  </w:t>
      </w:r>
      <w:r w:rsidRPr="00941ADC">
        <w:rPr>
          <w:color w:val="auto"/>
        </w:rPr>
        <w:t>of National Statistics as a public corporation and DfI is its sponsoring department</w:t>
      </w:r>
      <w:r w:rsidRPr="00941ADC">
        <w:rPr>
          <w:b/>
          <w:color w:val="auto"/>
        </w:rPr>
        <w:t xml:space="preserve">. </w:t>
      </w:r>
    </w:p>
    <w:p w14:paraId="5F82310E" w14:textId="77777777" w:rsidR="007B16B2" w:rsidRPr="00AD0647" w:rsidRDefault="007B16B2" w:rsidP="002E1480">
      <w:pPr>
        <w:spacing w:after="3" w:line="361" w:lineRule="auto"/>
        <w:ind w:left="969" w:right="53" w:hanging="576"/>
        <w:rPr>
          <w:color w:val="auto"/>
        </w:rPr>
      </w:pPr>
    </w:p>
    <w:p w14:paraId="2EB31341" w14:textId="60C5160A" w:rsidR="00C407C3" w:rsidRPr="00AD0647" w:rsidRDefault="00C673A9" w:rsidP="000851B6">
      <w:pPr>
        <w:pStyle w:val="ListParagraph"/>
        <w:numPr>
          <w:ilvl w:val="1"/>
          <w:numId w:val="42"/>
        </w:numPr>
        <w:spacing w:after="3" w:line="361" w:lineRule="auto"/>
        <w:ind w:left="993" w:right="53" w:hanging="633"/>
        <w:rPr>
          <w:rStyle w:val="Hyperlink"/>
        </w:rPr>
      </w:pPr>
      <w:r w:rsidRPr="000851B6">
        <w:rPr>
          <w:color w:val="auto"/>
        </w:rPr>
        <w:t>NITHC’s</w:t>
      </w:r>
      <w:r w:rsidRPr="000851B6">
        <w:rPr>
          <w:i/>
          <w:color w:val="auto"/>
        </w:rPr>
        <w:t xml:space="preserve"> </w:t>
      </w:r>
      <w:r w:rsidRPr="000851B6">
        <w:rPr>
          <w:color w:val="auto"/>
        </w:rPr>
        <w:t xml:space="preserve">statutory functions, duties and powers </w:t>
      </w:r>
      <w:r w:rsidR="00E21D54" w:rsidRPr="000851B6">
        <w:rPr>
          <w:color w:val="auto"/>
        </w:rPr>
        <w:t>are set</w:t>
      </w:r>
      <w:r w:rsidRPr="000851B6">
        <w:rPr>
          <w:color w:val="auto"/>
        </w:rPr>
        <w:t xml:space="preserve"> out in </w:t>
      </w:r>
      <w:hyperlink r:id="rId14" w:history="1">
        <w:r w:rsidR="00B879B7" w:rsidRPr="00AD0647">
          <w:rPr>
            <w:rStyle w:val="Hyperlink"/>
          </w:rPr>
          <w:t>s</w:t>
        </w:r>
        <w:r w:rsidR="00DA18BE" w:rsidRPr="00AD0647">
          <w:rPr>
            <w:rStyle w:val="Hyperlink"/>
          </w:rPr>
          <w:t>.</w:t>
        </w:r>
        <w:r w:rsidR="00B879B7" w:rsidRPr="00AD0647">
          <w:rPr>
            <w:rStyle w:val="Hyperlink"/>
          </w:rPr>
          <w:t>48</w:t>
        </w:r>
        <w:r w:rsidR="007A278A" w:rsidRPr="00AD0647">
          <w:rPr>
            <w:rStyle w:val="Hyperlink"/>
          </w:rPr>
          <w:t xml:space="preserve"> of </w:t>
        </w:r>
        <w:r w:rsidRPr="00AD0647">
          <w:rPr>
            <w:rStyle w:val="Hyperlink"/>
          </w:rPr>
          <w:t>The Transport Act (NI) 1967</w:t>
        </w:r>
      </w:hyperlink>
      <w:r w:rsidR="004B6005" w:rsidRPr="00AD0647">
        <w:rPr>
          <w:color w:val="auto"/>
          <w:vertAlign w:val="superscript"/>
        </w:rPr>
        <w:footnoteReference w:id="6"/>
      </w:r>
      <w:r w:rsidR="00D21893" w:rsidRPr="000851B6">
        <w:rPr>
          <w:color w:val="auto"/>
        </w:rPr>
        <w:t xml:space="preserve"> and </w:t>
      </w:r>
      <w:hyperlink r:id="rId15" w:history="1">
        <w:r w:rsidR="00D21893" w:rsidRPr="00AD0647">
          <w:rPr>
            <w:rStyle w:val="Hyperlink"/>
          </w:rPr>
          <w:t>The Northern Ireland Transport Holding Company (Extension of Powers) Order 1972</w:t>
        </w:r>
      </w:hyperlink>
      <w:r w:rsidR="00CA7654" w:rsidRPr="00AD0647">
        <w:rPr>
          <w:color w:val="auto"/>
          <w:vertAlign w:val="superscript"/>
        </w:rPr>
        <w:footnoteReference w:id="7"/>
      </w:r>
      <w:r w:rsidR="00A47413" w:rsidRPr="00AD0647">
        <w:rPr>
          <w:rStyle w:val="Hyperlink"/>
        </w:rPr>
        <w:t>.</w:t>
      </w:r>
      <w:r w:rsidR="002E1480" w:rsidRPr="00AD0647">
        <w:rPr>
          <w:rStyle w:val="Hyperlink"/>
        </w:rPr>
        <w:t xml:space="preserve"> </w:t>
      </w:r>
    </w:p>
    <w:p w14:paraId="5769D050" w14:textId="77777777" w:rsidR="00C407C3" w:rsidRPr="00AD0647" w:rsidRDefault="00C407C3" w:rsidP="00C407C3">
      <w:pPr>
        <w:spacing w:after="3" w:line="361" w:lineRule="auto"/>
        <w:ind w:left="969" w:right="53" w:hanging="576"/>
        <w:rPr>
          <w:color w:val="auto"/>
        </w:rPr>
      </w:pPr>
    </w:p>
    <w:p w14:paraId="25C2BCAD" w14:textId="64679F0E" w:rsidR="00C407C3" w:rsidRPr="000851B6" w:rsidRDefault="002E1480" w:rsidP="000851B6">
      <w:pPr>
        <w:pStyle w:val="ListParagraph"/>
        <w:numPr>
          <w:ilvl w:val="1"/>
          <w:numId w:val="42"/>
        </w:numPr>
        <w:spacing w:after="3" w:line="361" w:lineRule="auto"/>
        <w:ind w:left="993" w:right="53" w:hanging="633"/>
        <w:rPr>
          <w:color w:val="auto"/>
        </w:rPr>
      </w:pPr>
      <w:r w:rsidRPr="000851B6">
        <w:rPr>
          <w:color w:val="auto"/>
        </w:rPr>
        <w:t xml:space="preserve">NITHC’s statutory duties </w:t>
      </w:r>
      <w:r w:rsidR="00CD07C7" w:rsidRPr="000851B6">
        <w:rPr>
          <w:color w:val="auto"/>
        </w:rPr>
        <w:t xml:space="preserve">and </w:t>
      </w:r>
      <w:r w:rsidR="00DB7DA3" w:rsidRPr="000851B6">
        <w:rPr>
          <w:color w:val="auto"/>
        </w:rPr>
        <w:t xml:space="preserve">responsibilities </w:t>
      </w:r>
      <w:r w:rsidRPr="000851B6">
        <w:rPr>
          <w:color w:val="auto"/>
        </w:rPr>
        <w:t>are to manage public transport properties</w:t>
      </w:r>
      <w:r w:rsidR="00DB7DA3" w:rsidRPr="000851B6">
        <w:rPr>
          <w:color w:val="auto"/>
        </w:rPr>
        <w:t xml:space="preserve"> and assets,</w:t>
      </w:r>
      <w:r w:rsidRPr="000851B6">
        <w:rPr>
          <w:color w:val="auto"/>
        </w:rPr>
        <w:t xml:space="preserve"> and to oversee the activities of </w:t>
      </w:r>
      <w:r w:rsidR="00492197" w:rsidRPr="000851B6">
        <w:rPr>
          <w:color w:val="auto"/>
        </w:rPr>
        <w:t>its subsi</w:t>
      </w:r>
      <w:r w:rsidR="00F73C6D" w:rsidRPr="000851B6">
        <w:rPr>
          <w:color w:val="auto"/>
        </w:rPr>
        <w:t xml:space="preserve">diaries (see 3.1) </w:t>
      </w:r>
      <w:r w:rsidR="00B350F3" w:rsidRPr="000851B6">
        <w:rPr>
          <w:color w:val="auto"/>
        </w:rPr>
        <w:t>(in terms of support, control and supervision)</w:t>
      </w:r>
      <w:r w:rsidR="00701EBE" w:rsidRPr="000851B6">
        <w:rPr>
          <w:color w:val="auto"/>
        </w:rPr>
        <w:t xml:space="preserve">. </w:t>
      </w:r>
      <w:r w:rsidR="00B350F3" w:rsidRPr="000851B6">
        <w:rPr>
          <w:color w:val="auto"/>
        </w:rPr>
        <w:t xml:space="preserve">NITHC </w:t>
      </w:r>
      <w:r w:rsidR="00FC1AE0" w:rsidRPr="000851B6">
        <w:rPr>
          <w:color w:val="auto"/>
        </w:rPr>
        <w:t>also</w:t>
      </w:r>
      <w:r w:rsidR="00C74E62" w:rsidRPr="000851B6">
        <w:rPr>
          <w:color w:val="auto"/>
        </w:rPr>
        <w:t xml:space="preserve"> </w:t>
      </w:r>
      <w:r w:rsidR="00DC2894" w:rsidRPr="000851B6">
        <w:rPr>
          <w:color w:val="auto"/>
        </w:rPr>
        <w:t>h</w:t>
      </w:r>
      <w:r w:rsidR="00C74E62" w:rsidRPr="000851B6">
        <w:rPr>
          <w:color w:val="auto"/>
        </w:rPr>
        <w:t>as a statutory duty</w:t>
      </w:r>
      <w:r w:rsidR="00EA7AD8" w:rsidRPr="000851B6">
        <w:rPr>
          <w:color w:val="auto"/>
        </w:rPr>
        <w:t xml:space="preserve"> to operate commercially and in line with Ministerial policy. </w:t>
      </w:r>
    </w:p>
    <w:p w14:paraId="6686D04D" w14:textId="77777777" w:rsidR="00C407C3" w:rsidRPr="00AD0647" w:rsidRDefault="00C407C3" w:rsidP="00C407C3">
      <w:pPr>
        <w:spacing w:after="3" w:line="361" w:lineRule="auto"/>
        <w:ind w:left="969" w:right="53" w:hanging="576"/>
        <w:rPr>
          <w:color w:val="auto"/>
        </w:rPr>
      </w:pPr>
    </w:p>
    <w:p w14:paraId="19CEDE09" w14:textId="4EC22F20" w:rsidR="004E63BE" w:rsidRPr="000851B6" w:rsidRDefault="00B956F9" w:rsidP="000851B6">
      <w:pPr>
        <w:pStyle w:val="ListParagraph"/>
        <w:numPr>
          <w:ilvl w:val="1"/>
          <w:numId w:val="42"/>
        </w:numPr>
        <w:spacing w:after="3" w:line="361" w:lineRule="auto"/>
        <w:ind w:left="993" w:right="53" w:hanging="633"/>
        <w:rPr>
          <w:color w:val="auto"/>
        </w:rPr>
      </w:pPr>
      <w:r w:rsidRPr="000851B6">
        <w:rPr>
          <w:color w:val="auto"/>
        </w:rPr>
        <w:t xml:space="preserve">Sections 1(2) and 1(3) of </w:t>
      </w:r>
      <w:r w:rsidR="000369B4" w:rsidRPr="000851B6">
        <w:rPr>
          <w:color w:val="auto"/>
        </w:rPr>
        <w:t xml:space="preserve">the </w:t>
      </w:r>
      <w:r w:rsidRPr="000851B6">
        <w:rPr>
          <w:color w:val="auto"/>
        </w:rPr>
        <w:t>Transport Act (NI) 2011 requires that DfI must secure that most public passenger transport services be provided by NITHC</w:t>
      </w:r>
      <w:r w:rsidR="002C3118" w:rsidRPr="000851B6">
        <w:rPr>
          <w:color w:val="auto"/>
        </w:rPr>
        <w:t>.</w:t>
      </w:r>
      <w:r w:rsidRPr="000851B6">
        <w:rPr>
          <w:color w:val="auto"/>
        </w:rPr>
        <w:t xml:space="preserve"> </w:t>
      </w:r>
      <w:r w:rsidR="002C3118" w:rsidRPr="000851B6">
        <w:rPr>
          <w:color w:val="auto"/>
        </w:rPr>
        <w:t>The</w:t>
      </w:r>
      <w:r w:rsidRPr="000851B6">
        <w:rPr>
          <w:color w:val="auto"/>
        </w:rPr>
        <w:t xml:space="preserve"> mechanism</w:t>
      </w:r>
      <w:r w:rsidR="002C3118" w:rsidRPr="000851B6">
        <w:rPr>
          <w:color w:val="auto"/>
        </w:rPr>
        <w:t xml:space="preserve"> which allows</w:t>
      </w:r>
      <w:r w:rsidRPr="000851B6">
        <w:rPr>
          <w:color w:val="auto"/>
        </w:rPr>
        <w:t xml:space="preserve"> for DfI to enter into a public service contract with NITHC for the provision of such public passenger transport services</w:t>
      </w:r>
      <w:r w:rsidR="002C3118" w:rsidRPr="000851B6">
        <w:rPr>
          <w:color w:val="auto"/>
        </w:rPr>
        <w:t xml:space="preserve"> is provided for in the 2011 Act and The Public Passenger Transport (Service Agreements and Service Permits) Regulations (Northern Ireland) 2015</w:t>
      </w:r>
      <w:r w:rsidR="004942C7" w:rsidRPr="000851B6">
        <w:rPr>
          <w:color w:val="auto"/>
        </w:rPr>
        <w:t xml:space="preserve">. </w:t>
      </w:r>
    </w:p>
    <w:p w14:paraId="3028B119" w14:textId="77777777" w:rsidR="00C673A9" w:rsidRPr="00AD0647" w:rsidRDefault="00C673A9" w:rsidP="00C673A9">
      <w:pPr>
        <w:spacing w:after="135" w:line="259" w:lineRule="auto"/>
        <w:ind w:left="0" w:firstLine="0"/>
        <w:jc w:val="left"/>
      </w:pPr>
    </w:p>
    <w:p w14:paraId="241EDDE8" w14:textId="160FD56F" w:rsidR="00C673A9" w:rsidRPr="000851B6" w:rsidRDefault="00421C36" w:rsidP="000851B6">
      <w:pPr>
        <w:pStyle w:val="ListParagraph"/>
        <w:numPr>
          <w:ilvl w:val="1"/>
          <w:numId w:val="42"/>
        </w:numPr>
        <w:spacing w:after="3" w:line="361" w:lineRule="auto"/>
        <w:ind w:left="993" w:right="53" w:hanging="633"/>
        <w:rPr>
          <w:color w:val="auto"/>
        </w:rPr>
      </w:pPr>
      <w:r w:rsidRPr="000851B6">
        <w:rPr>
          <w:color w:val="auto"/>
        </w:rPr>
        <w:t>As a public corporation</w:t>
      </w:r>
      <w:r w:rsidR="002D0361" w:rsidRPr="000851B6">
        <w:rPr>
          <w:color w:val="auto"/>
        </w:rPr>
        <w:t>,</w:t>
      </w:r>
      <w:r w:rsidRPr="000851B6">
        <w:rPr>
          <w:color w:val="auto"/>
        </w:rPr>
        <w:t xml:space="preserve"> </w:t>
      </w:r>
      <w:r w:rsidR="009A21C5" w:rsidRPr="000851B6">
        <w:rPr>
          <w:color w:val="auto"/>
        </w:rPr>
        <w:t>NITHC is a legal entity in its own right with its powers, duties and responsibilities discharged in accordance with the Transport Act (Northern Ireland) 1967</w:t>
      </w:r>
      <w:r w:rsidR="00B16D44" w:rsidRPr="000851B6">
        <w:rPr>
          <w:color w:val="auto"/>
        </w:rPr>
        <w:t xml:space="preserve">, the Transport (Amendment) Act (Northern Ireland) </w:t>
      </w:r>
      <w:r w:rsidR="00B16D44" w:rsidRPr="000851B6">
        <w:rPr>
          <w:color w:val="auto"/>
        </w:rPr>
        <w:lastRenderedPageBreak/>
        <w:t>1971</w:t>
      </w:r>
      <w:r w:rsidR="003159FF" w:rsidRPr="000851B6">
        <w:rPr>
          <w:color w:val="auto"/>
        </w:rPr>
        <w:t xml:space="preserve">; </w:t>
      </w:r>
      <w:r w:rsidR="00B16D44" w:rsidRPr="000851B6">
        <w:rPr>
          <w:color w:val="auto"/>
        </w:rPr>
        <w:t>The Northern Ireland Transport Holding Company (Extension of Powers</w:t>
      </w:r>
      <w:r w:rsidR="00F70027" w:rsidRPr="000851B6">
        <w:rPr>
          <w:color w:val="auto"/>
        </w:rPr>
        <w:t>) Order (Northern Ireland) 1972</w:t>
      </w:r>
      <w:r w:rsidR="003159FF" w:rsidRPr="000851B6">
        <w:rPr>
          <w:color w:val="auto"/>
        </w:rPr>
        <w:t>;</w:t>
      </w:r>
      <w:r w:rsidR="00F70027" w:rsidRPr="000851B6">
        <w:rPr>
          <w:color w:val="auto"/>
        </w:rPr>
        <w:t xml:space="preserve"> The Local Government (Transfer of Belfast Corporation Transport</w:t>
      </w:r>
      <w:r w:rsidR="003159FF" w:rsidRPr="000851B6">
        <w:rPr>
          <w:color w:val="auto"/>
        </w:rPr>
        <w:t xml:space="preserve"> functions) Order 1973; and </w:t>
      </w:r>
      <w:r w:rsidR="00BF5CD5" w:rsidRPr="000851B6">
        <w:rPr>
          <w:color w:val="auto"/>
        </w:rPr>
        <w:t>the Transport (Northern Ireland) Order 1977.</w:t>
      </w:r>
      <w:r w:rsidRPr="000851B6">
        <w:rPr>
          <w:color w:val="auto"/>
        </w:rPr>
        <w:t xml:space="preserve"> </w:t>
      </w:r>
      <w:r w:rsidR="00C673A9" w:rsidRPr="000851B6">
        <w:rPr>
          <w:color w:val="auto"/>
        </w:rPr>
        <w:t xml:space="preserve">NITHC and its subsidiaries are not to be regarded as servants or agents of the Crown, or as enjoying any status immunity or privilege of the Crown, or as exempt from any tax, duty, rate, levy or other charge whatsoever. </w:t>
      </w:r>
    </w:p>
    <w:p w14:paraId="4F33CE3E" w14:textId="77777777" w:rsidR="00C673A9" w:rsidRPr="00AD0647" w:rsidRDefault="00C673A9" w:rsidP="00C673A9">
      <w:pPr>
        <w:spacing w:after="115" w:line="259" w:lineRule="auto"/>
        <w:ind w:left="408" w:firstLine="0"/>
        <w:jc w:val="left"/>
      </w:pPr>
    </w:p>
    <w:p w14:paraId="117C0CDF" w14:textId="613973BE" w:rsidR="00C673A9" w:rsidRPr="00AD0647" w:rsidRDefault="008939A9" w:rsidP="000851B6">
      <w:pPr>
        <w:pStyle w:val="ListParagraph"/>
        <w:numPr>
          <w:ilvl w:val="1"/>
          <w:numId w:val="42"/>
        </w:numPr>
        <w:spacing w:after="3" w:line="361" w:lineRule="auto"/>
        <w:ind w:left="993" w:right="53" w:hanging="633"/>
      </w:pPr>
      <w:r w:rsidRPr="00AD0647">
        <w:t>The</w:t>
      </w:r>
      <w:r w:rsidR="00C673A9" w:rsidRPr="00AD0647">
        <w:t xml:space="preserve"> Minister</w:t>
      </w:r>
      <w:r w:rsidR="00B956F9" w:rsidRPr="00AD0647">
        <w:t xml:space="preserve"> for Infrastructure</w:t>
      </w:r>
      <w:r w:rsidR="00C673A9" w:rsidRPr="00AD0647">
        <w:t xml:space="preserve"> is answerable to the Assembly for the overall performance and delivery of both </w:t>
      </w:r>
      <w:r w:rsidR="009A21C5" w:rsidRPr="00AD0647">
        <w:t>DfI</w:t>
      </w:r>
      <w:r w:rsidR="00C673A9" w:rsidRPr="00AD0647">
        <w:t xml:space="preserve"> and NITHC. </w:t>
      </w:r>
    </w:p>
    <w:p w14:paraId="5F069383" w14:textId="77777777" w:rsidR="00C673A9" w:rsidRPr="00AD0647" w:rsidRDefault="00C673A9" w:rsidP="00C673A9">
      <w:pPr>
        <w:spacing w:after="121" w:line="259" w:lineRule="auto"/>
        <w:ind w:left="408" w:firstLine="0"/>
        <w:jc w:val="left"/>
      </w:pPr>
      <w:r w:rsidRPr="00AD0647">
        <w:t xml:space="preserve"> </w:t>
      </w:r>
    </w:p>
    <w:p w14:paraId="281923AB" w14:textId="77777777" w:rsidR="000851B6" w:rsidRDefault="00C673A9" w:rsidP="000851B6">
      <w:pPr>
        <w:pStyle w:val="ListParagraph"/>
        <w:numPr>
          <w:ilvl w:val="1"/>
          <w:numId w:val="42"/>
        </w:numPr>
        <w:spacing w:after="3" w:line="361" w:lineRule="auto"/>
        <w:ind w:left="993" w:right="53" w:hanging="633"/>
      </w:pPr>
      <w:r w:rsidRPr="00AD0647">
        <w:t>The Executive’s outcome-based approach to delivery recognises the importance of arm’s length bodies</w:t>
      </w:r>
      <w:r w:rsidR="00A37D0F" w:rsidRPr="00AD0647">
        <w:t xml:space="preserve"> </w:t>
      </w:r>
      <w:r w:rsidRPr="00AD0647">
        <w:t xml:space="preserve">and departments working collaboratively and together in a </w:t>
      </w:r>
      <w:r w:rsidR="00287D50" w:rsidRPr="00AD0647">
        <w:t>joined</w:t>
      </w:r>
      <w:r w:rsidR="00287D50">
        <w:t>-up</w:t>
      </w:r>
      <w:r w:rsidRPr="00AD0647">
        <w:t xml:space="preserve"> approach to improve overall outcomes and results.</w:t>
      </w:r>
    </w:p>
    <w:p w14:paraId="677A2019" w14:textId="77777777" w:rsidR="000851B6" w:rsidRDefault="000851B6" w:rsidP="000851B6">
      <w:pPr>
        <w:pStyle w:val="ListParagraph"/>
      </w:pPr>
    </w:p>
    <w:p w14:paraId="5F96EBC4" w14:textId="0A1FA0F6" w:rsidR="00C673A9" w:rsidRDefault="00C673A9" w:rsidP="000851B6">
      <w:pPr>
        <w:pStyle w:val="ListParagraph"/>
        <w:numPr>
          <w:ilvl w:val="1"/>
          <w:numId w:val="42"/>
        </w:numPr>
        <w:spacing w:after="3" w:line="361" w:lineRule="auto"/>
        <w:ind w:left="993" w:right="53" w:hanging="633"/>
      </w:pPr>
      <w:r w:rsidRPr="00AD0647">
        <w:t xml:space="preserve">To that end there is strategic alignment between the aims, objectives and expected outcomes and results of </w:t>
      </w:r>
      <w:r w:rsidRPr="000851B6">
        <w:t xml:space="preserve">NITHC </w:t>
      </w:r>
      <w:r w:rsidRPr="00AD0647">
        <w:t xml:space="preserve">and </w:t>
      </w:r>
      <w:r w:rsidR="009A21C5" w:rsidRPr="000851B6">
        <w:t>DfI.</w:t>
      </w:r>
    </w:p>
    <w:p w14:paraId="18411C93" w14:textId="77777777" w:rsidR="000851B6" w:rsidRDefault="000851B6" w:rsidP="000851B6">
      <w:pPr>
        <w:pStyle w:val="ListParagraph"/>
      </w:pPr>
    </w:p>
    <w:p w14:paraId="0BB63139" w14:textId="597AE70E" w:rsidR="00C673A9" w:rsidRPr="000851B6" w:rsidRDefault="00C673A9" w:rsidP="000851B6">
      <w:pPr>
        <w:pStyle w:val="ListParagraph"/>
        <w:numPr>
          <w:ilvl w:val="1"/>
          <w:numId w:val="42"/>
        </w:numPr>
        <w:spacing w:after="3" w:line="361" w:lineRule="auto"/>
        <w:ind w:left="993" w:right="53" w:hanging="633"/>
      </w:pPr>
      <w:r w:rsidRPr="00AD0647">
        <w:t>T</w:t>
      </w:r>
      <w:r w:rsidRPr="000851B6">
        <w:t xml:space="preserve">he strategic aims, objectives and targets of NITHC in support of </w:t>
      </w:r>
      <w:r w:rsidR="009A21C5" w:rsidRPr="000851B6">
        <w:t>DfI’s</w:t>
      </w:r>
      <w:r w:rsidR="004B59C4" w:rsidRPr="000851B6">
        <w:t xml:space="preserve"> </w:t>
      </w:r>
      <w:r w:rsidRPr="000851B6">
        <w:t>wider strategic aims</w:t>
      </w:r>
      <w:r w:rsidR="00B956F9" w:rsidRPr="000851B6">
        <w:t xml:space="preserve">, Programme for Government </w:t>
      </w:r>
      <w:r w:rsidRPr="000851B6">
        <w:t>outcomes and targets are contained</w:t>
      </w:r>
      <w:r w:rsidR="002D0361" w:rsidRPr="000851B6">
        <w:t xml:space="preserve"> within a variety of sources, including (but not limited to) this Partnership Agreement </w:t>
      </w:r>
      <w:r w:rsidR="004A68FF" w:rsidRPr="000851B6">
        <w:t>and the</w:t>
      </w:r>
      <w:r w:rsidRPr="000851B6">
        <w:t xml:space="preserve"> Public Service Agreement (PSA)</w:t>
      </w:r>
      <w:r w:rsidR="00720808" w:rsidRPr="000851B6">
        <w:t xml:space="preserve"> made between DfI and NITHC</w:t>
      </w:r>
      <w:r w:rsidRPr="000851B6">
        <w:t>.</w:t>
      </w:r>
    </w:p>
    <w:p w14:paraId="678B15D2" w14:textId="77777777" w:rsidR="00C673A9" w:rsidRPr="00AD0647" w:rsidRDefault="00C673A9" w:rsidP="00C673A9">
      <w:pPr>
        <w:ind w:left="979"/>
        <w:rPr>
          <w:color w:val="FF0000"/>
        </w:rPr>
      </w:pPr>
    </w:p>
    <w:p w14:paraId="5DD10961" w14:textId="77777777" w:rsidR="004D49F7" w:rsidRPr="00AD0647" w:rsidRDefault="004D49F7">
      <w:pPr>
        <w:spacing w:after="160" w:line="259" w:lineRule="auto"/>
        <w:ind w:left="0" w:firstLine="0"/>
        <w:jc w:val="left"/>
      </w:pPr>
      <w:r w:rsidRPr="00AD0647">
        <w:br w:type="page"/>
      </w:r>
    </w:p>
    <w:p w14:paraId="3761C440" w14:textId="77777777" w:rsidR="00C673A9" w:rsidRPr="00AD0647" w:rsidRDefault="00C673A9" w:rsidP="00C673A9">
      <w:pPr>
        <w:spacing w:after="3" w:line="361" w:lineRule="auto"/>
        <w:ind w:left="969" w:right="53" w:hanging="576"/>
      </w:pPr>
    </w:p>
    <w:p w14:paraId="3CB2A850" w14:textId="6CD3B9DF" w:rsidR="00C673A9" w:rsidRPr="00AD0647" w:rsidRDefault="00C673A9" w:rsidP="00C673A9">
      <w:pPr>
        <w:pStyle w:val="Heading1"/>
        <w:ind w:left="403"/>
      </w:pPr>
      <w:r w:rsidRPr="00AD0647">
        <w:t xml:space="preserve"> </w:t>
      </w:r>
      <w:bookmarkStart w:id="4" w:name="_Toc74642991"/>
      <w:r w:rsidRPr="00AD0647">
        <w:t>NITHC Governance Arrangements</w:t>
      </w:r>
      <w:bookmarkEnd w:id="4"/>
      <w:r w:rsidRPr="00AD0647">
        <w:t xml:space="preserve">  </w:t>
      </w:r>
    </w:p>
    <w:p w14:paraId="2CEFCF78"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0172D41D" wp14:editId="2D401B2D">
                <wp:extent cx="5769610" cy="6096"/>
                <wp:effectExtent l="0" t="0" r="0" b="0"/>
                <wp:docPr id="20" name="Group 20"/>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1" name="Shape 37938"/>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01301EBD" id="Group 20"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">
                <v:shape id="Shape 37938"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" path="m,l5769610,r,9144l,9144,,e" fillcolor="#4a66ac" stroked="f" strokeweight="0">
                  <v:stroke miterlimit="83231f" joinstyle="miter"/>
                  <v:path arrowok="t" textboxrect="0,0,5769610,9144"/>
                </v:shape>
                <w10:anchorlock/>
              </v:group>
            </w:pict>
          </mc:Fallback>
        </mc:AlternateContent>
      </w:r>
    </w:p>
    <w:p w14:paraId="06F6F03C" w14:textId="77777777" w:rsidR="00C673A9" w:rsidRPr="00AD0647" w:rsidRDefault="00C673A9" w:rsidP="004A68FF">
      <w:pPr>
        <w:spacing w:after="117" w:line="259" w:lineRule="auto"/>
        <w:ind w:left="0" w:firstLine="0"/>
        <w:jc w:val="left"/>
      </w:pPr>
      <w:r w:rsidRPr="00AD0647">
        <w:rPr>
          <w:b/>
          <w:i/>
          <w:color w:val="3476B1"/>
        </w:rPr>
        <w:t xml:space="preserve"> </w:t>
      </w:r>
    </w:p>
    <w:p w14:paraId="4A6AE5C5" w14:textId="6300147F" w:rsidR="00C673A9" w:rsidRPr="00AD0647" w:rsidRDefault="00C673A9" w:rsidP="000851B6">
      <w:pPr>
        <w:pStyle w:val="Heading2"/>
        <w:numPr>
          <w:ilvl w:val="0"/>
          <w:numId w:val="42"/>
        </w:numPr>
        <w:tabs>
          <w:tab w:val="center" w:pos="509"/>
          <w:tab w:val="center" w:pos="2215"/>
        </w:tabs>
      </w:pPr>
      <w:bookmarkStart w:id="5" w:name="_Toc74642992"/>
      <w:r w:rsidRPr="00AD0647">
        <w:t>Organisational Status</w:t>
      </w:r>
      <w:bookmarkEnd w:id="5"/>
      <w:r w:rsidRPr="00AD0647">
        <w:t xml:space="preserve">  </w:t>
      </w:r>
    </w:p>
    <w:p w14:paraId="01FD8459" w14:textId="77777777" w:rsidR="00C673A9" w:rsidRPr="00AD0647" w:rsidRDefault="00C673A9" w:rsidP="00C673A9">
      <w:pPr>
        <w:spacing w:after="115" w:line="259" w:lineRule="auto"/>
        <w:ind w:left="768" w:firstLine="0"/>
        <w:jc w:val="left"/>
      </w:pPr>
      <w:r w:rsidRPr="00AD0647">
        <w:rPr>
          <w:b/>
          <w:color w:val="374C80"/>
        </w:rPr>
        <w:t xml:space="preserve"> </w:t>
      </w:r>
    </w:p>
    <w:p w14:paraId="41E028CE" w14:textId="77777777" w:rsidR="000851B6" w:rsidRPr="000851B6" w:rsidRDefault="001A24DA" w:rsidP="00097490">
      <w:pPr>
        <w:pStyle w:val="ListParagraph"/>
        <w:numPr>
          <w:ilvl w:val="1"/>
          <w:numId w:val="42"/>
        </w:numPr>
        <w:spacing w:after="3" w:line="361" w:lineRule="auto"/>
        <w:ind w:left="959" w:right="60" w:hanging="566"/>
        <w:rPr>
          <w:color w:val="auto"/>
        </w:rPr>
      </w:pPr>
      <w:r w:rsidRPr="00AD0647">
        <w:t>As</w:t>
      </w:r>
      <w:r w:rsidR="00D6377C" w:rsidRPr="00AD0647">
        <w:t xml:space="preserve"> a Public Corporation, </w:t>
      </w:r>
      <w:r w:rsidR="00C673A9" w:rsidRPr="000851B6">
        <w:rPr>
          <w:color w:val="auto"/>
        </w:rPr>
        <w:t>NITHC</w:t>
      </w:r>
      <w:r w:rsidR="00C673A9" w:rsidRPr="000851B6">
        <w:rPr>
          <w:i/>
          <w:color w:val="FF0000"/>
        </w:rPr>
        <w:t xml:space="preserve"> </w:t>
      </w:r>
      <w:r w:rsidR="00C673A9" w:rsidRPr="00AD0647">
        <w:t>is a legal entity in its own right</w:t>
      </w:r>
      <w:r w:rsidR="00D6377C" w:rsidRPr="00AD0647">
        <w:t xml:space="preserve"> with substantial day to day operating independence</w:t>
      </w:r>
      <w:r w:rsidR="00C673A9" w:rsidRPr="00AD0647">
        <w:t>, employing its own staff and</w:t>
      </w:r>
      <w:r w:rsidR="00931D52" w:rsidRPr="00AD0647">
        <w:t xml:space="preserve"> </w:t>
      </w:r>
      <w:r w:rsidR="00C673A9" w:rsidRPr="00AD0647">
        <w:t>operating at arm’s-length from</w:t>
      </w:r>
      <w:r w:rsidR="000B246B" w:rsidRPr="00AD0647">
        <w:t xml:space="preserve"> </w:t>
      </w:r>
      <w:r w:rsidR="000600A5" w:rsidRPr="00AD0647">
        <w:t>DfI</w:t>
      </w:r>
      <w:r w:rsidR="008644DD" w:rsidRPr="00AD0647">
        <w:t>.</w:t>
      </w:r>
    </w:p>
    <w:p w14:paraId="2ED1D582" w14:textId="77777777" w:rsidR="000851B6" w:rsidRPr="000851B6" w:rsidRDefault="000851B6" w:rsidP="000851B6">
      <w:pPr>
        <w:pStyle w:val="ListParagraph"/>
        <w:spacing w:after="3" w:line="361" w:lineRule="auto"/>
        <w:ind w:left="959" w:right="60" w:firstLine="0"/>
        <w:rPr>
          <w:color w:val="auto"/>
        </w:rPr>
      </w:pPr>
    </w:p>
    <w:p w14:paraId="1142AB28" w14:textId="77777777" w:rsidR="000851B6" w:rsidRDefault="00720808" w:rsidP="00063C56">
      <w:pPr>
        <w:pStyle w:val="ListParagraph"/>
        <w:numPr>
          <w:ilvl w:val="1"/>
          <w:numId w:val="42"/>
        </w:numPr>
        <w:spacing w:after="120" w:line="259" w:lineRule="auto"/>
        <w:ind w:left="959" w:right="60" w:hanging="621"/>
        <w:rPr>
          <w:color w:val="auto"/>
        </w:rPr>
      </w:pPr>
      <w:r w:rsidRPr="000851B6">
        <w:rPr>
          <w:color w:val="auto"/>
        </w:rPr>
        <w:t>NITHC owns and controls seven private subsidiary companies, including Citybus Ltd (‘Metro’), Flexibus Ltd, Ulsterbus Ltd, Translink (NI) Ltd, Northern Ireland Railways Company Ltd, NIR Networks Ltd and NIR Operations Ltd, which collectively operate under the brand name ‘Translink' (also referred to as the ‘Group’).</w:t>
      </w:r>
    </w:p>
    <w:p w14:paraId="45ACC611" w14:textId="77777777" w:rsidR="000851B6" w:rsidRPr="000851B6" w:rsidRDefault="000851B6" w:rsidP="000851B6">
      <w:pPr>
        <w:pStyle w:val="ListParagraph"/>
        <w:rPr>
          <w:color w:val="auto"/>
        </w:rPr>
      </w:pPr>
    </w:p>
    <w:p w14:paraId="58B647FC" w14:textId="3E110328" w:rsidR="00BF16AE" w:rsidRPr="000851B6" w:rsidRDefault="00C1307C" w:rsidP="00063C56">
      <w:pPr>
        <w:pStyle w:val="ListParagraph"/>
        <w:numPr>
          <w:ilvl w:val="1"/>
          <w:numId w:val="42"/>
        </w:numPr>
        <w:spacing w:after="120" w:line="259" w:lineRule="auto"/>
        <w:ind w:left="959" w:right="60" w:hanging="621"/>
        <w:rPr>
          <w:color w:val="auto"/>
        </w:rPr>
      </w:pPr>
      <w:r w:rsidRPr="000851B6">
        <w:rPr>
          <w:color w:val="auto"/>
        </w:rPr>
        <w:t>As a legal entity, it must comply with all associated legislation relating to its employer status.</w:t>
      </w:r>
    </w:p>
    <w:p w14:paraId="63F47AF7" w14:textId="77777777" w:rsidR="00C673A9" w:rsidRPr="00AD0647" w:rsidRDefault="00C673A9" w:rsidP="00C673A9">
      <w:pPr>
        <w:spacing w:after="120" w:line="259" w:lineRule="auto"/>
        <w:ind w:left="975" w:firstLine="0"/>
        <w:jc w:val="left"/>
        <w:rPr>
          <w:color w:val="auto"/>
        </w:rPr>
      </w:pPr>
    </w:p>
    <w:p w14:paraId="351E4F91" w14:textId="0A60328F" w:rsidR="00C673A9" w:rsidRPr="00AD0647" w:rsidRDefault="00C673A9" w:rsidP="000851B6">
      <w:pPr>
        <w:pStyle w:val="Heading2"/>
        <w:numPr>
          <w:ilvl w:val="0"/>
          <w:numId w:val="42"/>
        </w:numPr>
        <w:tabs>
          <w:tab w:val="center" w:pos="509"/>
          <w:tab w:val="center" w:pos="2342"/>
        </w:tabs>
      </w:pPr>
      <w:bookmarkStart w:id="6" w:name="_Toc74642993"/>
      <w:r w:rsidRPr="00AD0647">
        <w:t>Governance Framework</w:t>
      </w:r>
      <w:bookmarkEnd w:id="6"/>
      <w:r w:rsidRPr="00AD0647">
        <w:t xml:space="preserve"> </w:t>
      </w:r>
    </w:p>
    <w:p w14:paraId="66DF2E7D" w14:textId="77777777" w:rsidR="00C673A9" w:rsidRPr="00AD0647" w:rsidRDefault="00C673A9" w:rsidP="00C673A9">
      <w:pPr>
        <w:spacing w:after="115" w:line="259" w:lineRule="auto"/>
        <w:ind w:left="408" w:firstLine="0"/>
        <w:jc w:val="left"/>
      </w:pPr>
      <w:r w:rsidRPr="00AD0647">
        <w:t xml:space="preserve"> </w:t>
      </w:r>
    </w:p>
    <w:p w14:paraId="1B074FD3" w14:textId="7D18CEDE" w:rsidR="00C673A9" w:rsidRPr="000851B6" w:rsidRDefault="00C673A9" w:rsidP="000851B6">
      <w:pPr>
        <w:pStyle w:val="ListParagraph"/>
        <w:numPr>
          <w:ilvl w:val="1"/>
          <w:numId w:val="42"/>
        </w:numPr>
        <w:spacing w:after="120" w:line="259" w:lineRule="auto"/>
        <w:ind w:left="959" w:right="60" w:hanging="621"/>
        <w:rPr>
          <w:color w:val="auto"/>
        </w:rPr>
      </w:pPr>
      <w:r w:rsidRPr="00AD0647">
        <w:rPr>
          <w:color w:val="auto"/>
        </w:rPr>
        <w:t>NITHC</w:t>
      </w:r>
      <w:r w:rsidRPr="000851B6">
        <w:rPr>
          <w:color w:val="auto"/>
        </w:rPr>
        <w:t xml:space="preserve"> </w:t>
      </w:r>
      <w:r w:rsidRPr="00AD0647">
        <w:rPr>
          <w:color w:val="auto"/>
        </w:rPr>
        <w:t xml:space="preserve">has an established Corporate Governance Framework which reflects all relevant good practice guidance, such as applicable provisions contained within the </w:t>
      </w:r>
      <w:r w:rsidR="001A1140">
        <w:rPr>
          <w:color w:val="auto"/>
        </w:rPr>
        <w:t xml:space="preserve">relevant </w:t>
      </w:r>
      <w:hyperlink r:id="rId16" w:history="1">
        <w:r w:rsidRPr="000851B6">
          <w:rPr>
            <w:color w:val="auto"/>
          </w:rPr>
          <w:t>UK Corporate Governance Code</w:t>
        </w:r>
        <w:r w:rsidR="001A1140" w:rsidRPr="000851B6">
          <w:rPr>
            <w:color w:val="auto"/>
          </w:rPr>
          <w:t>.</w:t>
        </w:r>
        <w:r w:rsidRPr="000851B6">
          <w:rPr>
            <w:color w:val="auto"/>
          </w:rPr>
          <w:t xml:space="preserve"> </w:t>
        </w:r>
      </w:hyperlink>
      <w:r w:rsidRPr="00AD0647">
        <w:rPr>
          <w:color w:val="auto"/>
        </w:rPr>
        <w:t xml:space="preserve">The framework includes the governance structures established within NITHC and the internal control and risk management arrangements in place. This includes its Board </w:t>
      </w:r>
      <w:r w:rsidR="006D4C02" w:rsidRPr="00AD0647">
        <w:rPr>
          <w:color w:val="auto"/>
        </w:rPr>
        <w:t>and Committee</w:t>
      </w:r>
      <w:r w:rsidRPr="00AD0647">
        <w:rPr>
          <w:color w:val="auto"/>
        </w:rPr>
        <w:t xml:space="preserve"> </w:t>
      </w:r>
      <w:r w:rsidR="00C1307C" w:rsidRPr="00AD0647">
        <w:rPr>
          <w:color w:val="auto"/>
        </w:rPr>
        <w:t>structures</w:t>
      </w:r>
      <w:r w:rsidR="00BF16AE" w:rsidRPr="00AD0647">
        <w:rPr>
          <w:color w:val="auto"/>
        </w:rPr>
        <w:t>.</w:t>
      </w:r>
    </w:p>
    <w:p w14:paraId="028E0009" w14:textId="77777777" w:rsidR="00C673A9" w:rsidRPr="00AD0647" w:rsidRDefault="00C673A9" w:rsidP="00C673A9">
      <w:pPr>
        <w:spacing w:after="116" w:line="259" w:lineRule="auto"/>
        <w:ind w:left="408" w:firstLine="0"/>
        <w:jc w:val="left"/>
      </w:pPr>
      <w:r w:rsidRPr="00AD0647">
        <w:t xml:space="preserve"> </w:t>
      </w:r>
    </w:p>
    <w:p w14:paraId="1CA41D75" w14:textId="598C168E" w:rsidR="00C673A9" w:rsidRPr="00AD0647" w:rsidRDefault="00C673A9" w:rsidP="000851B6">
      <w:pPr>
        <w:pStyle w:val="ListParagraph"/>
        <w:numPr>
          <w:ilvl w:val="1"/>
          <w:numId w:val="42"/>
        </w:numPr>
        <w:spacing w:after="120" w:line="259" w:lineRule="auto"/>
        <w:ind w:left="959" w:right="60" w:hanging="621"/>
      </w:pPr>
      <w:r w:rsidRPr="000851B6">
        <w:rPr>
          <w:color w:val="auto"/>
        </w:rPr>
        <w:t xml:space="preserve">An account of this is included in NITHC’s </w:t>
      </w:r>
      <w:r w:rsidR="0032461B" w:rsidRPr="000851B6">
        <w:rPr>
          <w:color w:val="auto"/>
        </w:rPr>
        <w:t xml:space="preserve">Annual </w:t>
      </w:r>
      <w:r w:rsidRPr="000851B6">
        <w:rPr>
          <w:color w:val="auto"/>
        </w:rPr>
        <w:t>Gover</w:t>
      </w:r>
      <w:r w:rsidR="00BF16AE" w:rsidRPr="000851B6">
        <w:rPr>
          <w:color w:val="auto"/>
        </w:rPr>
        <w:t>nance Statement together with NITHC’s</w:t>
      </w:r>
      <w:r w:rsidRPr="000851B6">
        <w:rPr>
          <w:color w:val="auto"/>
        </w:rPr>
        <w:t xml:space="preserve"> Board’s assessment of its compliance with the extant </w:t>
      </w:r>
      <w:hyperlink r:id="rId17" w:history="1">
        <w:r w:rsidRPr="00AD0647">
          <w:rPr>
            <w:rStyle w:val="Hyperlink"/>
          </w:rPr>
          <w:t>Corporate Governance Code of Good Practice (NI)</w:t>
        </w:r>
      </w:hyperlink>
      <w:r w:rsidR="00AA27C0" w:rsidRPr="00AD0647">
        <w:rPr>
          <w:vertAlign w:val="superscript"/>
        </w:rPr>
        <w:footnoteReference w:id="8"/>
      </w:r>
      <w:r w:rsidRPr="000851B6">
        <w:rPr>
          <w:color w:val="auto"/>
        </w:rPr>
        <w:t xml:space="preserve">.  Any departure from the Corporate Governance Code must be explained in the Governance Statement. </w:t>
      </w:r>
    </w:p>
    <w:p w14:paraId="5F0AD038" w14:textId="77777777" w:rsidR="00C673A9" w:rsidRPr="00AD0647" w:rsidRDefault="00C673A9" w:rsidP="00C673A9">
      <w:pPr>
        <w:spacing w:after="115" w:line="259" w:lineRule="auto"/>
        <w:ind w:left="771" w:firstLine="0"/>
        <w:jc w:val="left"/>
      </w:pPr>
      <w:r w:rsidRPr="00AD0647">
        <w:t xml:space="preserve"> </w:t>
      </w:r>
    </w:p>
    <w:p w14:paraId="5C19C3F9" w14:textId="77777777" w:rsidR="009743CB" w:rsidRPr="009743CB" w:rsidRDefault="00C673A9" w:rsidP="009A1A8B">
      <w:pPr>
        <w:pStyle w:val="ListParagraph"/>
        <w:numPr>
          <w:ilvl w:val="1"/>
          <w:numId w:val="42"/>
        </w:numPr>
        <w:spacing w:after="120" w:line="367" w:lineRule="auto"/>
        <w:ind w:left="958" w:right="62" w:hanging="567"/>
      </w:pPr>
      <w:r w:rsidRPr="009743CB">
        <w:rPr>
          <w:color w:val="auto"/>
        </w:rPr>
        <w:t>NITHC</w:t>
      </w:r>
      <w:r w:rsidRPr="009743CB">
        <w:rPr>
          <w:i/>
          <w:color w:val="auto"/>
        </w:rPr>
        <w:t xml:space="preserve"> </w:t>
      </w:r>
      <w:r w:rsidRPr="009743CB">
        <w:rPr>
          <w:color w:val="auto"/>
        </w:rPr>
        <w:t xml:space="preserve">is required to follow the principles, rules, guidance and advice in </w:t>
      </w:r>
      <w:r w:rsidR="001A1140" w:rsidRPr="009743CB">
        <w:rPr>
          <w:color w:val="auto"/>
        </w:rPr>
        <w:t xml:space="preserve">in </w:t>
      </w:r>
      <w:hyperlink r:id="rId18" w:anchor="toc-0" w:history="1">
        <w:r w:rsidR="001A1140" w:rsidRPr="00AD0647">
          <w:rPr>
            <w:rStyle w:val="Hyperlink"/>
          </w:rPr>
          <w:t>Managing Public Money Northern Ireland</w:t>
        </w:r>
      </w:hyperlink>
      <w:r w:rsidR="001470F5" w:rsidRPr="00AD0647">
        <w:rPr>
          <w:vertAlign w:val="superscript"/>
        </w:rPr>
        <w:footnoteReference w:id="9"/>
      </w:r>
      <w:r w:rsidR="00D406EC" w:rsidRPr="009743CB">
        <w:rPr>
          <w:rStyle w:val="Hyperlink"/>
          <w:u w:val="none"/>
        </w:rPr>
        <w:t xml:space="preserve"> </w:t>
      </w:r>
      <w:r w:rsidR="00D406EC" w:rsidRPr="009743CB">
        <w:rPr>
          <w:rStyle w:val="Hyperlink"/>
          <w:color w:val="auto"/>
          <w:u w:val="none"/>
        </w:rPr>
        <w:t>(</w:t>
      </w:r>
      <w:r w:rsidR="00D406EC" w:rsidRPr="009743CB">
        <w:rPr>
          <w:rStyle w:val="Hyperlink"/>
          <w:b/>
          <w:bCs/>
          <w:color w:val="auto"/>
          <w:u w:val="none"/>
        </w:rPr>
        <w:t>MPMN</w:t>
      </w:r>
      <w:r w:rsidR="00D406EC" w:rsidRPr="009743CB">
        <w:rPr>
          <w:rStyle w:val="Hyperlink"/>
          <w:color w:val="auto"/>
          <w:u w:val="none"/>
        </w:rPr>
        <w:t>I</w:t>
      </w:r>
      <w:r w:rsidR="00D406EC" w:rsidRPr="009743CB">
        <w:rPr>
          <w:rStyle w:val="Hyperlink"/>
          <w:bCs/>
          <w:color w:val="auto"/>
          <w:u w:val="none"/>
        </w:rPr>
        <w:t>)</w:t>
      </w:r>
      <w:r w:rsidRPr="009743CB">
        <w:rPr>
          <w:i/>
          <w:color w:val="auto"/>
        </w:rPr>
        <w:t xml:space="preserve"> </w:t>
      </w:r>
      <w:r w:rsidRPr="009743CB">
        <w:rPr>
          <w:color w:val="auto"/>
        </w:rPr>
        <w:t xml:space="preserve">(subject to Annex </w:t>
      </w:r>
      <w:r w:rsidR="00A656A5" w:rsidRPr="009743CB">
        <w:rPr>
          <w:color w:val="auto"/>
        </w:rPr>
        <w:t>8</w:t>
      </w:r>
      <w:r w:rsidRPr="009743CB">
        <w:rPr>
          <w:color w:val="auto"/>
        </w:rPr>
        <w:t xml:space="preserve"> of this document which contains derogations because of the nature of NITHC’s business). </w:t>
      </w:r>
    </w:p>
    <w:p w14:paraId="63801573" w14:textId="77777777" w:rsidR="009743CB" w:rsidRDefault="009743CB" w:rsidP="009743CB">
      <w:pPr>
        <w:pStyle w:val="ListParagraph"/>
      </w:pPr>
    </w:p>
    <w:p w14:paraId="010529EC" w14:textId="214B2D68" w:rsidR="008E4D7E" w:rsidRPr="009743CB" w:rsidRDefault="00C673A9" w:rsidP="009A1A8B">
      <w:pPr>
        <w:pStyle w:val="ListParagraph"/>
        <w:numPr>
          <w:ilvl w:val="1"/>
          <w:numId w:val="42"/>
        </w:numPr>
        <w:spacing w:after="120" w:line="367" w:lineRule="auto"/>
        <w:ind w:left="958" w:right="62" w:hanging="567"/>
      </w:pPr>
      <w:r w:rsidRPr="009743CB">
        <w:t>Good governance should also include positive stakeholder engagement, the building of positive relationships and a listening and learning culture.</w:t>
      </w:r>
      <w:r w:rsidR="008E4D7E" w:rsidRPr="009743CB">
        <w:t xml:space="preserve"> </w:t>
      </w:r>
      <w:r w:rsidR="008C3B6C" w:rsidRPr="009743CB">
        <w:t>NITHC</w:t>
      </w:r>
      <w:r w:rsidR="001C2A46" w:rsidRPr="009743CB">
        <w:t xml:space="preserve"> is required to follow </w:t>
      </w:r>
      <w:r w:rsidR="008E4D7E" w:rsidRPr="009743CB">
        <w:t>relevant guidance as published on the Accountability and Financial Management of the DoF website and any other relevant guidance and Best Practice applicable to NITHC.</w:t>
      </w:r>
    </w:p>
    <w:p w14:paraId="09027C38" w14:textId="77777777" w:rsidR="00A374A1" w:rsidRPr="009743CB" w:rsidRDefault="00A374A1" w:rsidP="009743CB">
      <w:pPr>
        <w:pStyle w:val="ListParagraph"/>
        <w:spacing w:after="120" w:line="367" w:lineRule="auto"/>
        <w:ind w:left="958" w:right="62" w:firstLine="0"/>
      </w:pPr>
    </w:p>
    <w:p w14:paraId="3F641FA0" w14:textId="124B6F99" w:rsidR="00A374A1" w:rsidRPr="009743CB" w:rsidRDefault="00A374A1" w:rsidP="009743CB">
      <w:pPr>
        <w:pStyle w:val="ListParagraph"/>
        <w:numPr>
          <w:ilvl w:val="1"/>
          <w:numId w:val="42"/>
        </w:numPr>
        <w:spacing w:after="120" w:line="367" w:lineRule="auto"/>
        <w:ind w:left="958" w:right="62" w:hanging="567"/>
      </w:pPr>
      <w:r w:rsidRPr="009743CB">
        <w:t>The Northern Ireland Fiscal Council was established in March 2021 to bring greater transparency and independent scrutiny to the current and future state of Northern Ireland’s public finances. To carry out in full the Council’s important work, it is vital that the Council has all the information it requires to robustly challenge and scrutinise. In this regard, the Department has a formal agreement for sharing information with the Council. In carrying out its role, the Fiscal Council may seek to engage with Translink. While full engagement with the Council is encouraged, the Department should be notified in advance to ensure any discussions or information provided represents the policy direction of the Minister</w:t>
      </w:r>
      <w:r w:rsidR="009C3371" w:rsidRPr="009743CB">
        <w:t>.</w:t>
      </w:r>
    </w:p>
    <w:p w14:paraId="7F1E0833" w14:textId="77777777" w:rsidR="00C673A9" w:rsidRPr="00AD0647" w:rsidRDefault="00C673A9" w:rsidP="00511B2F">
      <w:pPr>
        <w:spacing w:after="118" w:line="259" w:lineRule="auto"/>
        <w:ind w:left="771" w:firstLine="0"/>
        <w:jc w:val="left"/>
      </w:pPr>
      <w:r w:rsidRPr="00AD0647">
        <w:t xml:space="preserve">  </w:t>
      </w:r>
    </w:p>
    <w:p w14:paraId="7482736B" w14:textId="6CA57C4A" w:rsidR="00C673A9" w:rsidRDefault="00CD56D2" w:rsidP="009743CB">
      <w:pPr>
        <w:pStyle w:val="Heading2"/>
        <w:numPr>
          <w:ilvl w:val="0"/>
          <w:numId w:val="42"/>
        </w:numPr>
        <w:tabs>
          <w:tab w:val="center" w:pos="509"/>
          <w:tab w:val="center" w:pos="1601"/>
        </w:tabs>
        <w:rPr>
          <w:color w:val="auto"/>
        </w:rPr>
      </w:pPr>
      <w:bookmarkStart w:id="7" w:name="_Toc74642994"/>
      <w:r w:rsidRPr="00AD0647">
        <w:t xml:space="preserve">NITHC </w:t>
      </w:r>
      <w:r w:rsidR="00C673A9" w:rsidRPr="00AD0647">
        <w:t>Board</w:t>
      </w:r>
      <w:bookmarkEnd w:id="7"/>
      <w:r w:rsidR="00C673A9" w:rsidRPr="00AD0647">
        <w:rPr>
          <w:color w:val="auto"/>
        </w:rPr>
        <w:t xml:space="preserve">  </w:t>
      </w:r>
    </w:p>
    <w:p w14:paraId="27FE47DA" w14:textId="77777777" w:rsidR="009743CB" w:rsidRPr="009743CB" w:rsidRDefault="009743CB" w:rsidP="009743CB"/>
    <w:p w14:paraId="6ADC4170" w14:textId="1771DB49" w:rsidR="00C407C3" w:rsidRDefault="00D97ED9" w:rsidP="009743CB">
      <w:pPr>
        <w:pStyle w:val="ListParagraph"/>
        <w:numPr>
          <w:ilvl w:val="1"/>
          <w:numId w:val="42"/>
        </w:numPr>
        <w:spacing w:after="120" w:line="367" w:lineRule="auto"/>
        <w:ind w:left="958" w:right="62" w:hanging="567"/>
        <w:rPr>
          <w:color w:val="auto"/>
        </w:rPr>
      </w:pPr>
      <w:r w:rsidRPr="009743CB">
        <w:rPr>
          <w:color w:val="auto"/>
        </w:rPr>
        <w:t>As</w:t>
      </w:r>
      <w:r w:rsidR="00C5434C" w:rsidRPr="009743CB">
        <w:rPr>
          <w:color w:val="auto"/>
        </w:rPr>
        <w:t xml:space="preserve"> set out </w:t>
      </w:r>
      <w:r w:rsidR="0090677D" w:rsidRPr="009743CB">
        <w:rPr>
          <w:color w:val="auto"/>
        </w:rPr>
        <w:t xml:space="preserve">in </w:t>
      </w:r>
      <w:hyperlink r:id="rId19" w:history="1">
        <w:r w:rsidR="00C5434C" w:rsidRPr="00AD0647">
          <w:rPr>
            <w:rStyle w:val="Hyperlink"/>
          </w:rPr>
          <w:t xml:space="preserve">s.47 (2) and (3) of the Transport Act </w:t>
        </w:r>
        <w:r w:rsidR="00FC53FB" w:rsidRPr="00AD0647">
          <w:rPr>
            <w:rStyle w:val="Hyperlink"/>
          </w:rPr>
          <w:t>(</w:t>
        </w:r>
        <w:r w:rsidR="00C5434C" w:rsidRPr="00AD0647">
          <w:rPr>
            <w:rStyle w:val="Hyperlink"/>
          </w:rPr>
          <w:t>NI</w:t>
        </w:r>
        <w:r w:rsidR="00FC53FB" w:rsidRPr="00AD0647">
          <w:rPr>
            <w:rStyle w:val="Hyperlink"/>
          </w:rPr>
          <w:t>)</w:t>
        </w:r>
        <w:r w:rsidR="00C5434C" w:rsidRPr="00AD0647">
          <w:rPr>
            <w:rStyle w:val="Hyperlink"/>
          </w:rPr>
          <w:t xml:space="preserve"> 1967</w:t>
        </w:r>
      </w:hyperlink>
      <w:r w:rsidR="00C5434C" w:rsidRPr="00AD0647">
        <w:rPr>
          <w:vertAlign w:val="superscript"/>
        </w:rPr>
        <w:footnoteReference w:id="10"/>
      </w:r>
      <w:r w:rsidR="00511B2F" w:rsidRPr="009743CB">
        <w:rPr>
          <w:rStyle w:val="Hyperlink"/>
          <w:color w:val="auto"/>
          <w:u w:val="none"/>
        </w:rPr>
        <w:t>,</w:t>
      </w:r>
      <w:r w:rsidR="00C5434C" w:rsidRPr="009743CB">
        <w:rPr>
          <w:i/>
          <w:color w:val="auto"/>
        </w:rPr>
        <w:t xml:space="preserve"> </w:t>
      </w:r>
      <w:r w:rsidR="00C673A9" w:rsidRPr="009743CB">
        <w:rPr>
          <w:color w:val="auto"/>
        </w:rPr>
        <w:t>NITHC is led by a Boar</w:t>
      </w:r>
      <w:r w:rsidR="00511B2F" w:rsidRPr="009743CB">
        <w:rPr>
          <w:color w:val="auto"/>
        </w:rPr>
        <w:t>d, consisting of a Chair and</w:t>
      </w:r>
      <w:r w:rsidR="00AB6EA2" w:rsidRPr="009743CB">
        <w:rPr>
          <w:color w:val="auto"/>
        </w:rPr>
        <w:t xml:space="preserve"> not more than eight other directors (comprising executive and non-executive members) who shall be appointed by the Minister.</w:t>
      </w:r>
    </w:p>
    <w:p w14:paraId="78388A1F" w14:textId="77777777" w:rsidR="009743CB" w:rsidRPr="009743CB" w:rsidRDefault="009743CB" w:rsidP="009743CB">
      <w:pPr>
        <w:pStyle w:val="ListParagraph"/>
        <w:spacing w:after="120" w:line="367" w:lineRule="auto"/>
        <w:ind w:left="958" w:right="62" w:firstLine="0"/>
        <w:rPr>
          <w:color w:val="auto"/>
        </w:rPr>
      </w:pPr>
    </w:p>
    <w:p w14:paraId="6DD20775" w14:textId="7139527A" w:rsidR="00C407C3" w:rsidRDefault="00C673A9" w:rsidP="009743CB">
      <w:pPr>
        <w:pStyle w:val="ListParagraph"/>
        <w:numPr>
          <w:ilvl w:val="1"/>
          <w:numId w:val="42"/>
        </w:numPr>
        <w:spacing w:after="120" w:line="367" w:lineRule="auto"/>
        <w:ind w:left="958" w:right="62" w:hanging="567"/>
      </w:pPr>
      <w:r w:rsidRPr="00AD0647">
        <w:t xml:space="preserve">The appointment process for non-executive Board members complies with the </w:t>
      </w:r>
      <w:hyperlink r:id="rId20" w:history="1">
        <w:r w:rsidR="001A1140" w:rsidRPr="00AD0647">
          <w:rPr>
            <w:rStyle w:val="Hyperlink"/>
          </w:rPr>
          <w:t xml:space="preserve">Code of Practice </w:t>
        </w:r>
        <w:r w:rsidR="001A1140">
          <w:rPr>
            <w:rStyle w:val="Hyperlink"/>
          </w:rPr>
          <w:t xml:space="preserve">for Ministerial </w:t>
        </w:r>
        <w:r w:rsidR="001A1140" w:rsidRPr="00AD0647">
          <w:rPr>
            <w:rStyle w:val="Hyperlink"/>
          </w:rPr>
          <w:t xml:space="preserve"> Public Appointments </w:t>
        </w:r>
        <w:r w:rsidR="001A1140">
          <w:rPr>
            <w:rStyle w:val="Hyperlink"/>
          </w:rPr>
          <w:t>in</w:t>
        </w:r>
        <w:r w:rsidR="001A1140" w:rsidRPr="00AD0647">
          <w:rPr>
            <w:rStyle w:val="Hyperlink"/>
          </w:rPr>
          <w:t xml:space="preserve"> Northern Ireland</w:t>
        </w:r>
      </w:hyperlink>
      <w:r w:rsidR="001A1140" w:rsidRPr="00AD0647">
        <w:rPr>
          <w:rStyle w:val="Hyperlink"/>
        </w:rPr>
        <w:t xml:space="preserve"> (</w:t>
      </w:r>
      <w:hyperlink r:id="rId21" w:history="1">
        <w:r w:rsidR="001A1140" w:rsidRPr="00AD0647">
          <w:rPr>
            <w:rStyle w:val="Hyperlink"/>
          </w:rPr>
          <w:t>CPANI Code of Practice.</w:t>
        </w:r>
      </w:hyperlink>
      <w:r w:rsidR="001A1140" w:rsidRPr="00AD0647">
        <w:rPr>
          <w:rStyle w:val="Hyperlink"/>
        </w:rPr>
        <w:t>)</w:t>
      </w:r>
      <w:r w:rsidR="001A1140" w:rsidRPr="00AD0647">
        <w:rPr>
          <w:color w:val="auto"/>
          <w:vertAlign w:val="superscript"/>
        </w:rPr>
        <w:footnoteReference w:id="11"/>
      </w:r>
      <w:r w:rsidR="001A1140" w:rsidRPr="00AD0647">
        <w:t>.</w:t>
      </w:r>
    </w:p>
    <w:p w14:paraId="5B69C091" w14:textId="77777777" w:rsidR="00E659DD" w:rsidRPr="00AD0647" w:rsidRDefault="00E659DD" w:rsidP="00C407C3">
      <w:pPr>
        <w:spacing w:before="100" w:beforeAutospacing="1"/>
        <w:ind w:left="959" w:right="60" w:hanging="392"/>
      </w:pPr>
    </w:p>
    <w:p w14:paraId="33E7D186" w14:textId="5EEF9389" w:rsidR="00C407C3" w:rsidRPr="009743CB" w:rsidRDefault="00C673A9" w:rsidP="009743CB">
      <w:pPr>
        <w:pStyle w:val="ListParagraph"/>
        <w:numPr>
          <w:ilvl w:val="1"/>
          <w:numId w:val="42"/>
        </w:numPr>
        <w:spacing w:after="120" w:line="367" w:lineRule="auto"/>
        <w:ind w:left="958" w:right="62" w:hanging="567"/>
        <w:rPr>
          <w:color w:val="auto"/>
        </w:rPr>
      </w:pPr>
      <w:r w:rsidRPr="009743CB">
        <w:rPr>
          <w:color w:val="auto"/>
        </w:rPr>
        <w:lastRenderedPageBreak/>
        <w:t xml:space="preserve">The Sponsor </w:t>
      </w:r>
      <w:r w:rsidR="00906516" w:rsidRPr="009743CB">
        <w:rPr>
          <w:color w:val="auto"/>
        </w:rPr>
        <w:t>Directorate</w:t>
      </w:r>
      <w:r w:rsidRPr="009743CB">
        <w:rPr>
          <w:color w:val="auto"/>
        </w:rPr>
        <w:t xml:space="preserve"> </w:t>
      </w:r>
      <w:r w:rsidR="00807928" w:rsidRPr="009743CB">
        <w:rPr>
          <w:color w:val="auto"/>
        </w:rPr>
        <w:t xml:space="preserve">of DfI </w:t>
      </w:r>
      <w:r w:rsidRPr="009743CB">
        <w:rPr>
          <w:color w:val="auto"/>
        </w:rPr>
        <w:t>will manage and set the terms of the public appointment process</w:t>
      </w:r>
      <w:r w:rsidR="00605342" w:rsidRPr="009743CB">
        <w:rPr>
          <w:color w:val="auto"/>
        </w:rPr>
        <w:t xml:space="preserve"> in conjunction with</w:t>
      </w:r>
      <w:r w:rsidR="00347BFF" w:rsidRPr="009743CB">
        <w:rPr>
          <w:color w:val="auto"/>
        </w:rPr>
        <w:t xml:space="preserve"> DfI’s</w:t>
      </w:r>
      <w:r w:rsidR="00605342" w:rsidRPr="009743CB">
        <w:rPr>
          <w:color w:val="auto"/>
        </w:rPr>
        <w:t xml:space="preserve"> Public Appointment Unit</w:t>
      </w:r>
      <w:r w:rsidR="00112695" w:rsidRPr="009743CB">
        <w:rPr>
          <w:color w:val="auto"/>
        </w:rPr>
        <w:t xml:space="preserve"> </w:t>
      </w:r>
      <w:r w:rsidR="007B19E4" w:rsidRPr="009743CB">
        <w:rPr>
          <w:color w:val="auto"/>
        </w:rPr>
        <w:t xml:space="preserve">having </w:t>
      </w:r>
      <w:r w:rsidR="00FE4193" w:rsidRPr="009743CB">
        <w:rPr>
          <w:color w:val="auto"/>
        </w:rPr>
        <w:t xml:space="preserve">liaised with NITHC for input </w:t>
      </w:r>
      <w:r w:rsidR="00F052CE" w:rsidRPr="009743CB">
        <w:rPr>
          <w:color w:val="auto"/>
        </w:rPr>
        <w:t>to include a Skills Audit of the Board</w:t>
      </w:r>
      <w:r w:rsidR="00027EE3" w:rsidRPr="009743CB">
        <w:rPr>
          <w:color w:val="auto"/>
        </w:rPr>
        <w:t>.</w:t>
      </w:r>
      <w:r w:rsidR="00F052CE" w:rsidRPr="009743CB">
        <w:rPr>
          <w:color w:val="auto"/>
        </w:rPr>
        <w:t xml:space="preserve"> </w:t>
      </w:r>
      <w:r w:rsidR="005C4481" w:rsidRPr="009743CB">
        <w:rPr>
          <w:color w:val="auto"/>
        </w:rPr>
        <w:t xml:space="preserve">                                                                                                                                                                                                                                                                                              </w:t>
      </w:r>
    </w:p>
    <w:p w14:paraId="2563753D" w14:textId="77777777" w:rsidR="00204A20" w:rsidRPr="00AD0647" w:rsidRDefault="00204A20" w:rsidP="00C407C3">
      <w:pPr>
        <w:ind w:left="959" w:right="60" w:hanging="566"/>
        <w:rPr>
          <w:color w:val="auto"/>
        </w:rPr>
      </w:pPr>
    </w:p>
    <w:p w14:paraId="6A0F335D" w14:textId="0ACE4E67" w:rsidR="00C407C3" w:rsidRPr="00AD0647" w:rsidRDefault="002710CB" w:rsidP="009743CB">
      <w:pPr>
        <w:pStyle w:val="ListParagraph"/>
        <w:numPr>
          <w:ilvl w:val="1"/>
          <w:numId w:val="42"/>
        </w:numPr>
        <w:spacing w:after="120" w:line="367" w:lineRule="auto"/>
        <w:ind w:left="958" w:right="62" w:hanging="567"/>
        <w:rPr>
          <w:color w:val="auto"/>
        </w:rPr>
      </w:pPr>
      <w:r w:rsidRPr="00AD0647">
        <w:rPr>
          <w:color w:val="auto"/>
        </w:rPr>
        <w:t>The Minister</w:t>
      </w:r>
      <w:r w:rsidR="00267B0F" w:rsidRPr="00AD0647">
        <w:rPr>
          <w:color w:val="auto"/>
        </w:rPr>
        <w:t xml:space="preserve"> </w:t>
      </w:r>
      <w:r w:rsidRPr="00AD0647">
        <w:rPr>
          <w:color w:val="auto"/>
        </w:rPr>
        <w:t>is responsible for approving the terms and conditions of</w:t>
      </w:r>
      <w:r w:rsidR="00605342" w:rsidRPr="00AD0647">
        <w:rPr>
          <w:color w:val="auto"/>
        </w:rPr>
        <w:t xml:space="preserve"> </w:t>
      </w:r>
      <w:r w:rsidR="00BB5D3C" w:rsidRPr="00AD0647">
        <w:rPr>
          <w:color w:val="auto"/>
        </w:rPr>
        <w:t>n</w:t>
      </w:r>
      <w:r w:rsidR="0032461B" w:rsidRPr="00AD0647">
        <w:rPr>
          <w:color w:val="auto"/>
        </w:rPr>
        <w:t>on-</w:t>
      </w:r>
      <w:r w:rsidR="00BB5D3C" w:rsidRPr="00AD0647">
        <w:rPr>
          <w:color w:val="auto"/>
        </w:rPr>
        <w:t>e</w:t>
      </w:r>
      <w:r w:rsidR="0032461B" w:rsidRPr="00AD0647">
        <w:rPr>
          <w:color w:val="auto"/>
        </w:rPr>
        <w:t>xecutive</w:t>
      </w:r>
      <w:r w:rsidRPr="00AD0647">
        <w:rPr>
          <w:color w:val="auto"/>
        </w:rPr>
        <w:t xml:space="preserve"> Board members </w:t>
      </w:r>
      <w:hyperlink r:id="rId22" w:history="1">
        <w:r w:rsidRPr="00AD0647">
          <w:rPr>
            <w:rStyle w:val="Hyperlink"/>
          </w:rPr>
          <w:t>(Schedule1 para</w:t>
        </w:r>
        <w:r w:rsidR="00605342" w:rsidRPr="00AD0647">
          <w:rPr>
            <w:rStyle w:val="Hyperlink"/>
          </w:rPr>
          <w:t xml:space="preserve"> 1</w:t>
        </w:r>
        <w:r w:rsidR="00FB32BF" w:rsidRPr="00AD0647">
          <w:rPr>
            <w:rStyle w:val="Hyperlink"/>
          </w:rPr>
          <w:t xml:space="preserve"> </w:t>
        </w:r>
        <w:r w:rsidR="00605342" w:rsidRPr="00AD0647">
          <w:rPr>
            <w:rStyle w:val="Hyperlink"/>
          </w:rPr>
          <w:t>(1)</w:t>
        </w:r>
        <w:r w:rsidRPr="00AD0647">
          <w:rPr>
            <w:rStyle w:val="Hyperlink"/>
          </w:rPr>
          <w:t xml:space="preserve"> of the Transport (NI) Act 1967)</w:t>
        </w:r>
      </w:hyperlink>
      <w:r w:rsidR="00DC7167" w:rsidRPr="00AD0647">
        <w:rPr>
          <w:color w:val="auto"/>
          <w:vertAlign w:val="superscript"/>
        </w:rPr>
        <w:footnoteReference w:id="12"/>
      </w:r>
      <w:r w:rsidRPr="00AD0647">
        <w:rPr>
          <w:color w:val="auto"/>
        </w:rPr>
        <w:t>.</w:t>
      </w:r>
    </w:p>
    <w:p w14:paraId="0741F032" w14:textId="77777777" w:rsidR="00204A20" w:rsidRPr="00AD0647" w:rsidRDefault="00204A20" w:rsidP="00C407C3">
      <w:pPr>
        <w:ind w:left="959" w:right="60" w:hanging="566"/>
        <w:rPr>
          <w:color w:val="auto"/>
        </w:rPr>
      </w:pPr>
    </w:p>
    <w:p w14:paraId="63CE87BF" w14:textId="15A6AB57" w:rsidR="00C673A9" w:rsidRPr="00AD0647" w:rsidRDefault="00C673A9" w:rsidP="009743CB">
      <w:pPr>
        <w:pStyle w:val="ListParagraph"/>
        <w:numPr>
          <w:ilvl w:val="1"/>
          <w:numId w:val="42"/>
        </w:numPr>
        <w:spacing w:after="120" w:line="367" w:lineRule="auto"/>
        <w:ind w:left="958" w:right="62" w:hanging="567"/>
      </w:pPr>
      <w:r w:rsidRPr="00AD0647">
        <w:t xml:space="preserve">The appointment of the </w:t>
      </w:r>
      <w:r w:rsidR="004942C7" w:rsidRPr="00AD0647">
        <w:t>Chair</w:t>
      </w:r>
      <w:r w:rsidRPr="00AD0647">
        <w:t xml:space="preserve"> and the non-executive directors shall normally be for a period of four years. Existing</w:t>
      </w:r>
      <w:r w:rsidR="0032461B" w:rsidRPr="00AD0647">
        <w:t xml:space="preserve"> non-executive</w:t>
      </w:r>
      <w:r w:rsidRPr="00AD0647">
        <w:t xml:space="preserve"> board members who have completed their first terms will remain eligible to apply to serve a second term through public competition. This is in line with </w:t>
      </w:r>
      <w:r w:rsidR="00807928" w:rsidRPr="00AD0647">
        <w:t xml:space="preserve">DfI </w:t>
      </w:r>
      <w:r w:rsidRPr="00AD0647">
        <w:t xml:space="preserve">policy that all board reappointments shall be subject to public competition. </w:t>
      </w:r>
    </w:p>
    <w:p w14:paraId="40A25C9E" w14:textId="77777777" w:rsidR="00C407C3" w:rsidRPr="00AD0647" w:rsidRDefault="00C407C3" w:rsidP="00C407C3">
      <w:pPr>
        <w:ind w:left="959" w:right="60" w:hanging="566"/>
      </w:pPr>
    </w:p>
    <w:p w14:paraId="314892BC" w14:textId="431BDE53" w:rsidR="00C673A9" w:rsidRPr="00AD0647" w:rsidRDefault="00C673A9" w:rsidP="009743CB">
      <w:pPr>
        <w:pStyle w:val="ListParagraph"/>
        <w:numPr>
          <w:ilvl w:val="1"/>
          <w:numId w:val="42"/>
        </w:numPr>
        <w:spacing w:after="120" w:line="367" w:lineRule="auto"/>
        <w:ind w:left="958" w:right="62" w:hanging="567"/>
      </w:pPr>
      <w:r w:rsidRPr="00AD0647">
        <w:t xml:space="preserve">As Public Appointees, </w:t>
      </w:r>
      <w:r w:rsidR="0032461B" w:rsidRPr="00AD0647">
        <w:t>non-</w:t>
      </w:r>
      <w:r w:rsidR="00BB5D3C" w:rsidRPr="00AD0647">
        <w:t>e</w:t>
      </w:r>
      <w:r w:rsidR="0032461B" w:rsidRPr="00AD0647">
        <w:t xml:space="preserve">xecutive </w:t>
      </w:r>
      <w:r w:rsidRPr="00AD0647">
        <w:t>Board members are office holders rather than employees</w:t>
      </w:r>
      <w:r w:rsidR="00511B2F" w:rsidRPr="00AD0647">
        <w:t>,</w:t>
      </w:r>
      <w:r w:rsidRPr="00AD0647">
        <w:t xml:space="preserve"> they are not subject to employee terms and conditions. Board appraisal arrangements are set out in paras 15.1 and 15.2 and matters for consideration in dealing with concerns/complaints in respect of Board members are provided in Annex 5. </w:t>
      </w:r>
    </w:p>
    <w:p w14:paraId="48320306" w14:textId="77777777" w:rsidR="00C673A9" w:rsidRPr="00AD0647" w:rsidRDefault="00C673A9" w:rsidP="00C673A9">
      <w:pPr>
        <w:spacing w:after="118" w:line="259" w:lineRule="auto"/>
        <w:ind w:left="408" w:firstLine="0"/>
        <w:jc w:val="left"/>
      </w:pPr>
      <w:r w:rsidRPr="00AD0647">
        <w:t xml:space="preserve"> </w:t>
      </w:r>
    </w:p>
    <w:p w14:paraId="743175E4" w14:textId="42FAF131" w:rsidR="00C407C3" w:rsidRPr="009743CB" w:rsidRDefault="00C673A9" w:rsidP="009743CB">
      <w:pPr>
        <w:pStyle w:val="ListParagraph"/>
        <w:numPr>
          <w:ilvl w:val="1"/>
          <w:numId w:val="42"/>
        </w:numPr>
        <w:spacing w:after="120" w:line="367" w:lineRule="auto"/>
        <w:ind w:left="958" w:right="62" w:hanging="567"/>
      </w:pPr>
      <w:r w:rsidRPr="009743CB">
        <w:t xml:space="preserve">The Board’s operating framework/terms of reference provides further detail on roles and responsibilities and should align closely with this Partnership Agreement. </w:t>
      </w:r>
    </w:p>
    <w:p w14:paraId="03E28B01" w14:textId="77777777" w:rsidR="00C407C3" w:rsidRPr="00AD0647" w:rsidRDefault="00C407C3" w:rsidP="00C407C3">
      <w:pPr>
        <w:ind w:left="959" w:right="60" w:hanging="566"/>
        <w:rPr>
          <w:color w:val="auto"/>
        </w:rPr>
      </w:pPr>
    </w:p>
    <w:p w14:paraId="5312F44B" w14:textId="41E4CBDD" w:rsidR="00C407C3" w:rsidRPr="009743CB" w:rsidRDefault="00A648E2" w:rsidP="009743CB">
      <w:pPr>
        <w:pStyle w:val="ListParagraph"/>
        <w:numPr>
          <w:ilvl w:val="1"/>
          <w:numId w:val="42"/>
        </w:numPr>
        <w:spacing w:after="120" w:line="367" w:lineRule="auto"/>
        <w:ind w:left="958" w:right="62" w:hanging="567"/>
      </w:pPr>
      <w:r w:rsidRPr="009743CB">
        <w:t>A</w:t>
      </w:r>
      <w:r w:rsidRPr="00AD0647">
        <w:t xml:space="preserve">n Executive director is a member of the Board who also has management </w:t>
      </w:r>
      <w:r w:rsidRPr="009743CB">
        <w:t xml:space="preserve">responsibilities in addition to their duties as directors of the Board. They have executive responsibility for Translink’s operational and strategic business functions. </w:t>
      </w:r>
    </w:p>
    <w:p w14:paraId="49C4723A" w14:textId="77777777" w:rsidR="00C407C3" w:rsidRPr="00AD0647" w:rsidRDefault="00C407C3" w:rsidP="00C407C3">
      <w:pPr>
        <w:ind w:left="959" w:right="60" w:firstLine="0"/>
        <w:rPr>
          <w:color w:val="auto"/>
        </w:rPr>
      </w:pPr>
    </w:p>
    <w:p w14:paraId="08D2B0A3" w14:textId="622866BD" w:rsidR="00A648E2" w:rsidRPr="00AD0647" w:rsidRDefault="00A648E2" w:rsidP="009743CB">
      <w:pPr>
        <w:pStyle w:val="ListParagraph"/>
        <w:numPr>
          <w:ilvl w:val="1"/>
          <w:numId w:val="42"/>
        </w:numPr>
        <w:spacing w:after="120" w:line="367" w:lineRule="auto"/>
        <w:ind w:left="958" w:right="62" w:hanging="567"/>
      </w:pPr>
      <w:r w:rsidRPr="009743CB">
        <w:rPr>
          <w:color w:val="auto"/>
        </w:rPr>
        <w:lastRenderedPageBreak/>
        <w:t>In addition to the Group Chief Executive, the Board consists of two other Executive Directors,</w:t>
      </w:r>
      <w:r w:rsidR="008644DD" w:rsidRPr="00AD0647">
        <w:t xml:space="preserve"> appointed in accordance with Section 47(2)</w:t>
      </w:r>
      <w:r w:rsidR="00347BFF" w:rsidRPr="00AD0647">
        <w:t xml:space="preserve"> of the Transport Act (NI) 1967.</w:t>
      </w:r>
    </w:p>
    <w:p w14:paraId="15CF17BD" w14:textId="77777777" w:rsidR="00347BFF" w:rsidRPr="00AD0647" w:rsidRDefault="00347BFF" w:rsidP="00D4185C">
      <w:pPr>
        <w:ind w:left="959" w:right="60" w:firstLine="0"/>
        <w:rPr>
          <w:color w:val="auto"/>
        </w:rPr>
      </w:pPr>
    </w:p>
    <w:p w14:paraId="44CE5BD1" w14:textId="3719ACBB" w:rsidR="009A3990"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A copy of this document should be given to all newly appointed Board Members, senior executive</w:t>
      </w:r>
      <w:r w:rsidR="00813A4B">
        <w:rPr>
          <w:color w:val="auto"/>
        </w:rPr>
        <w:t xml:space="preserve"> team</w:t>
      </w:r>
      <w:r w:rsidRPr="00AD0647">
        <w:rPr>
          <w:color w:val="auto"/>
        </w:rPr>
        <w:t xml:space="preserve"> and</w:t>
      </w:r>
      <w:r w:rsidR="003F0D63" w:rsidRPr="00AD0647">
        <w:rPr>
          <w:color w:val="auto"/>
        </w:rPr>
        <w:t xml:space="preserve"> </w:t>
      </w:r>
      <w:r w:rsidR="00204A20" w:rsidRPr="00AD0647">
        <w:rPr>
          <w:color w:val="auto"/>
        </w:rPr>
        <w:t>Df</w:t>
      </w:r>
      <w:r w:rsidR="00D97ED9" w:rsidRPr="00AD0647">
        <w:rPr>
          <w:color w:val="auto"/>
        </w:rPr>
        <w:t>I Sponsor</w:t>
      </w:r>
      <w:r w:rsidRPr="00AD0647">
        <w:rPr>
          <w:color w:val="auto"/>
        </w:rPr>
        <w:t xml:space="preserve"> staff</w:t>
      </w:r>
      <w:r w:rsidR="0030649E" w:rsidRPr="00AD0647">
        <w:rPr>
          <w:color w:val="auto"/>
        </w:rPr>
        <w:t xml:space="preserve">. </w:t>
      </w:r>
    </w:p>
    <w:p w14:paraId="3BA53692" w14:textId="77777777" w:rsidR="00C673A9" w:rsidRPr="00AD0647" w:rsidRDefault="00C673A9" w:rsidP="00481ADD">
      <w:pPr>
        <w:spacing w:after="0" w:line="360" w:lineRule="auto"/>
        <w:jc w:val="left"/>
        <w:rPr>
          <w:color w:val="auto"/>
        </w:rPr>
      </w:pPr>
    </w:p>
    <w:p w14:paraId="4C2B4A1E" w14:textId="6CBD34DF"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The purpose of the NITHC Board is to provide effective leadership and strategic direction to the organisation and to ensure that the policies and priorities set by the Minister are imple</w:t>
      </w:r>
      <w:r w:rsidR="00A57C91" w:rsidRPr="00AD0647">
        <w:rPr>
          <w:color w:val="auto"/>
        </w:rPr>
        <w:t>mented.</w:t>
      </w:r>
      <w:r w:rsidRPr="00AD0647">
        <w:rPr>
          <w:color w:val="auto"/>
        </w:rPr>
        <w:t xml:space="preserve"> It is responsible for ensuring that the organisation has effective and proportionate governance arrangements in place and an internal control framework which allow risks to be effectively identified and managed. The Board will set the culture and values of the organisation and set the tone for the organisation’s engagement with stakeholders and customers. </w:t>
      </w:r>
    </w:p>
    <w:p w14:paraId="33C73AE3" w14:textId="77777777" w:rsidR="00C673A9" w:rsidRPr="00AD0647" w:rsidRDefault="00C673A9" w:rsidP="00C673A9">
      <w:pPr>
        <w:ind w:left="959" w:right="60" w:hanging="566"/>
        <w:rPr>
          <w:color w:val="FF0000"/>
        </w:rPr>
      </w:pPr>
    </w:p>
    <w:p w14:paraId="7D2AF612" w14:textId="53A279BA" w:rsidR="00C673A9" w:rsidRPr="009743CB" w:rsidRDefault="00C673A9" w:rsidP="009743CB">
      <w:pPr>
        <w:pStyle w:val="ListParagraph"/>
        <w:numPr>
          <w:ilvl w:val="1"/>
          <w:numId w:val="42"/>
        </w:numPr>
        <w:spacing w:after="120" w:line="367" w:lineRule="auto"/>
        <w:ind w:left="958" w:right="62" w:hanging="567"/>
        <w:rPr>
          <w:color w:val="auto"/>
        </w:rPr>
      </w:pPr>
      <w:r w:rsidRPr="009743CB">
        <w:rPr>
          <w:color w:val="auto"/>
        </w:rPr>
        <w:t>The Board is responsible for holding the Chief Executive to account for the management of the organisation and the delivery of agreed plans and outcomes. The Board should also however support the Chief Executive as appropriate in the exercise of their duties</w:t>
      </w:r>
      <w:r w:rsidR="004942C7" w:rsidRPr="009743CB">
        <w:rPr>
          <w:color w:val="auto"/>
        </w:rPr>
        <w:t xml:space="preserve">. </w:t>
      </w:r>
    </w:p>
    <w:p w14:paraId="742F080C" w14:textId="77777777" w:rsidR="00C673A9" w:rsidRPr="00AD0647" w:rsidRDefault="00C673A9" w:rsidP="00C673A9">
      <w:pPr>
        <w:spacing w:after="112" w:line="259" w:lineRule="auto"/>
        <w:ind w:left="771" w:firstLine="0"/>
        <w:jc w:val="left"/>
      </w:pPr>
      <w:r w:rsidRPr="00AD0647">
        <w:rPr>
          <w:color w:val="FF0000"/>
        </w:rPr>
        <w:t xml:space="preserve"> </w:t>
      </w:r>
    </w:p>
    <w:p w14:paraId="4B54A9C6" w14:textId="41628D3B" w:rsidR="00C673A9" w:rsidRPr="00AD0647" w:rsidRDefault="00C673A9" w:rsidP="009743CB">
      <w:pPr>
        <w:pStyle w:val="ListParagraph"/>
        <w:numPr>
          <w:ilvl w:val="1"/>
          <w:numId w:val="42"/>
        </w:numPr>
        <w:spacing w:after="120" w:line="367" w:lineRule="auto"/>
        <w:ind w:left="958" w:right="62" w:hanging="567"/>
      </w:pPr>
      <w:r w:rsidRPr="00AD0647">
        <w:rPr>
          <w:color w:val="auto"/>
        </w:rPr>
        <w:t xml:space="preserve">Board members act solely in the interests of NITHC and must not use the Board as a platform </w:t>
      </w:r>
      <w:r w:rsidR="00735E0B" w:rsidRPr="00AD0647">
        <w:rPr>
          <w:color w:val="auto"/>
        </w:rPr>
        <w:t>(</w:t>
      </w:r>
      <w:r w:rsidRPr="00AD0647">
        <w:rPr>
          <w:color w:val="auto"/>
        </w:rPr>
        <w:t>or misuse information gained in the course of their public service</w:t>
      </w:r>
      <w:r w:rsidR="00735E0B" w:rsidRPr="00AD0647">
        <w:rPr>
          <w:color w:val="auto"/>
        </w:rPr>
        <w:t>)</w:t>
      </w:r>
      <w:r w:rsidRPr="00AD0647">
        <w:rPr>
          <w:color w:val="auto"/>
        </w:rPr>
        <w:t xml:space="preserve"> to champion their own interests, pursue personal agendas or for political profit. They occupy a position of trust and their standards of action and behaviour must be exemplary and in line with the </w:t>
      </w:r>
      <w:hyperlink r:id="rId23" w:history="1">
        <w:r w:rsidRPr="00AD0647">
          <w:rPr>
            <w:rStyle w:val="Hyperlink"/>
          </w:rPr>
          <w:t>seven principles of public life (</w:t>
        </w:r>
        <w:r w:rsidRPr="00AD0647">
          <w:rPr>
            <w:rStyle w:val="Hyperlink"/>
            <w:b/>
            <w:bCs/>
            <w:u w:val="none"/>
          </w:rPr>
          <w:t xml:space="preserve">Nolan </w:t>
        </w:r>
        <w:r w:rsidR="00D7744F" w:rsidRPr="00AD0647">
          <w:rPr>
            <w:rStyle w:val="Hyperlink"/>
            <w:b/>
            <w:bCs/>
            <w:u w:val="none"/>
          </w:rPr>
          <w:t>P</w:t>
        </w:r>
        <w:r w:rsidRPr="00AD0647">
          <w:rPr>
            <w:rStyle w:val="Hyperlink"/>
            <w:b/>
            <w:bCs/>
            <w:u w:val="none"/>
          </w:rPr>
          <w:t>rinciples)</w:t>
        </w:r>
      </w:hyperlink>
      <w:r w:rsidR="0071329D" w:rsidRPr="00AD0647">
        <w:rPr>
          <w:color w:val="auto"/>
          <w:vertAlign w:val="superscript"/>
        </w:rPr>
        <w:footnoteReference w:id="13"/>
      </w:r>
      <w:r w:rsidRPr="00AD0647">
        <w:rPr>
          <w:color w:val="auto"/>
        </w:rPr>
        <w:t>.  NITHC</w:t>
      </w:r>
      <w:r w:rsidRPr="00AD0647">
        <w:rPr>
          <w:i/>
          <w:color w:val="auto"/>
        </w:rPr>
        <w:t xml:space="preserve"> </w:t>
      </w:r>
      <w:r w:rsidRPr="00AD0647">
        <w:rPr>
          <w:color w:val="auto"/>
        </w:rPr>
        <w:t>has a Board Code of Conduct and there are mechanisms in place to deal with any Board disputes/conflicts to ensure they do not become wider issues that impact on the effectiveness of the Board. A Board Register of Interests, detailing any private interests that may be perceived to conflict with their public duties, is maintained, kept up to date and is</w:t>
      </w:r>
      <w:r w:rsidR="00F61A6C" w:rsidRPr="00AD0647">
        <w:rPr>
          <w:color w:val="auto"/>
        </w:rPr>
        <w:t xml:space="preserve"> </w:t>
      </w:r>
      <w:r w:rsidRPr="00AD0647">
        <w:rPr>
          <w:color w:val="auto"/>
        </w:rPr>
        <w:t>available</w:t>
      </w:r>
      <w:r w:rsidR="008B36B8" w:rsidRPr="00AD0647">
        <w:rPr>
          <w:color w:val="auto"/>
        </w:rPr>
        <w:t xml:space="preserve"> on request</w:t>
      </w:r>
      <w:r w:rsidR="00B90CF4" w:rsidRPr="00AD0647">
        <w:rPr>
          <w:color w:val="auto"/>
        </w:rPr>
        <w:t>,</w:t>
      </w:r>
      <w:r w:rsidRPr="00AD0647">
        <w:rPr>
          <w:color w:val="auto"/>
        </w:rPr>
        <w:t xml:space="preserve"> to help provide transparency and promote public confidence in NITHC</w:t>
      </w:r>
      <w:r w:rsidR="004942C7" w:rsidRPr="00AD0647">
        <w:rPr>
          <w:color w:val="auto"/>
        </w:rPr>
        <w:t xml:space="preserve">. </w:t>
      </w:r>
    </w:p>
    <w:p w14:paraId="0A01DCB0" w14:textId="77777777" w:rsidR="00C673A9" w:rsidRPr="00AD0647" w:rsidRDefault="00C673A9" w:rsidP="00C673A9">
      <w:pPr>
        <w:spacing w:after="115" w:line="259" w:lineRule="auto"/>
        <w:ind w:left="771" w:firstLine="0"/>
        <w:jc w:val="left"/>
      </w:pPr>
      <w:r w:rsidRPr="00AD0647">
        <w:lastRenderedPageBreak/>
        <w:t xml:space="preserve"> </w:t>
      </w:r>
    </w:p>
    <w:p w14:paraId="047BF18E" w14:textId="1C11EB39" w:rsidR="00C673A9" w:rsidRPr="00AD0647" w:rsidRDefault="004A68FF" w:rsidP="009743CB">
      <w:pPr>
        <w:pStyle w:val="ListParagraph"/>
        <w:numPr>
          <w:ilvl w:val="1"/>
          <w:numId w:val="42"/>
        </w:numPr>
        <w:spacing w:after="120" w:line="367" w:lineRule="auto"/>
        <w:ind w:left="958" w:right="62" w:hanging="567"/>
      </w:pPr>
      <w:r w:rsidRPr="00AD0647">
        <w:t>Communication</w:t>
      </w:r>
      <w:r w:rsidR="00C673A9" w:rsidRPr="00AD0647">
        <w:t xml:space="preserve"> and relationships within the Board are underpinned by a spirit of trust and professional respect. The Board recognises that using consensus to avoid conflict or encouraging members to consistently express similar views or consider only a few alternative views does not encourage constructive debate and does not give rise to an effective Board dynamic</w:t>
      </w:r>
      <w:r w:rsidR="004942C7" w:rsidRPr="00AD0647">
        <w:t xml:space="preserve">. </w:t>
      </w:r>
    </w:p>
    <w:p w14:paraId="21EE8F1B" w14:textId="77777777" w:rsidR="00C673A9" w:rsidRPr="00AD0647" w:rsidRDefault="00C673A9" w:rsidP="00C673A9">
      <w:pPr>
        <w:spacing w:after="115" w:line="259" w:lineRule="auto"/>
        <w:ind w:left="771" w:firstLine="0"/>
        <w:jc w:val="left"/>
      </w:pPr>
      <w:r w:rsidRPr="00AD0647">
        <w:t xml:space="preserve"> </w:t>
      </w:r>
    </w:p>
    <w:p w14:paraId="57F4D354" w14:textId="0EF2E59B" w:rsidR="00C673A9" w:rsidRPr="00AD0647" w:rsidRDefault="00C673A9" w:rsidP="009743CB">
      <w:pPr>
        <w:pStyle w:val="ListParagraph"/>
        <w:numPr>
          <w:ilvl w:val="1"/>
          <w:numId w:val="42"/>
        </w:numPr>
        <w:spacing w:after="120" w:line="367" w:lineRule="auto"/>
        <w:ind w:left="958" w:right="62" w:hanging="567"/>
      </w:pPr>
      <w:r w:rsidRPr="00AD0647">
        <w:t>It is for the Board to decide what information it needs, and in what format, for its meetings/effective operation. If the Board is not confident that it is being fully informed about the organisation this will be addressed by the Chair of the Board as the Board cannot be effective with out-of-date or only partial knowledge.</w:t>
      </w:r>
      <w:r w:rsidRPr="00AD0647">
        <w:rPr>
          <w:color w:val="FF0000"/>
        </w:rPr>
        <w:t xml:space="preserve"> </w:t>
      </w:r>
    </w:p>
    <w:p w14:paraId="665C1328" w14:textId="77777777" w:rsidR="00C673A9" w:rsidRPr="00AD0647" w:rsidRDefault="00C673A9" w:rsidP="00C673A9">
      <w:pPr>
        <w:spacing w:after="117" w:line="259" w:lineRule="auto"/>
        <w:ind w:left="0" w:firstLine="0"/>
        <w:jc w:val="right"/>
      </w:pPr>
      <w:r w:rsidRPr="00AD0647">
        <w:rPr>
          <w:color w:val="FF0000"/>
        </w:rPr>
        <w:t xml:space="preserve"> </w:t>
      </w:r>
    </w:p>
    <w:p w14:paraId="45DEE872" w14:textId="05DFB41D" w:rsidR="00C673A9" w:rsidRPr="00AD0647" w:rsidRDefault="00C673A9" w:rsidP="009743CB">
      <w:pPr>
        <w:pStyle w:val="ListParagraph"/>
        <w:numPr>
          <w:ilvl w:val="1"/>
          <w:numId w:val="42"/>
        </w:numPr>
        <w:spacing w:after="120" w:line="367" w:lineRule="auto"/>
        <w:ind w:left="958" w:right="62" w:hanging="567"/>
      </w:pPr>
      <w:r w:rsidRPr="00AD0647">
        <w:t xml:space="preserve">In order to fulfil their duties, Board members must undertake initial training and regular ongoing training and development. Review of Board skills and development will be a key part of the annual </w:t>
      </w:r>
      <w:r w:rsidR="006A3675" w:rsidRPr="00AD0647">
        <w:t xml:space="preserve">review of Board effectiveness. </w:t>
      </w:r>
    </w:p>
    <w:p w14:paraId="13883D1A" w14:textId="77777777" w:rsidR="006A3675" w:rsidRPr="00AD0647" w:rsidRDefault="006A3675" w:rsidP="00C673A9">
      <w:pPr>
        <w:spacing w:after="0" w:line="259" w:lineRule="auto"/>
        <w:ind w:left="771" w:firstLine="0"/>
        <w:jc w:val="left"/>
      </w:pPr>
    </w:p>
    <w:p w14:paraId="6C9CC032" w14:textId="0714FF2B" w:rsidR="00C673A9" w:rsidRPr="00AD0647" w:rsidRDefault="00C673A9" w:rsidP="009743CB">
      <w:pPr>
        <w:pStyle w:val="Heading2"/>
        <w:numPr>
          <w:ilvl w:val="0"/>
          <w:numId w:val="42"/>
        </w:numPr>
        <w:tabs>
          <w:tab w:val="center" w:pos="509"/>
          <w:tab w:val="center" w:pos="1601"/>
        </w:tabs>
      </w:pPr>
      <w:bookmarkStart w:id="8" w:name="_Toc74642995"/>
      <w:r w:rsidRPr="00AD0647">
        <w:t>Audit and Risk Committee</w:t>
      </w:r>
      <w:bookmarkEnd w:id="8"/>
      <w:r w:rsidRPr="00AD0647">
        <w:t xml:space="preserve">  </w:t>
      </w:r>
    </w:p>
    <w:p w14:paraId="54862F61" w14:textId="77777777" w:rsidR="00C673A9" w:rsidRPr="00AD0647" w:rsidRDefault="00C673A9" w:rsidP="00C673A9">
      <w:pPr>
        <w:spacing w:after="116" w:line="259" w:lineRule="auto"/>
        <w:ind w:left="408" w:firstLine="0"/>
        <w:jc w:val="left"/>
      </w:pPr>
      <w:r w:rsidRPr="00AD0647">
        <w:t xml:space="preserve"> </w:t>
      </w:r>
    </w:p>
    <w:p w14:paraId="3AD487C3" w14:textId="3CCBD0F2"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A further important aspect of NITHC’s</w:t>
      </w:r>
      <w:r w:rsidRPr="00AD0647">
        <w:rPr>
          <w:i/>
          <w:color w:val="auto"/>
        </w:rPr>
        <w:t xml:space="preserve"> </w:t>
      </w:r>
      <w:r w:rsidRPr="00AD0647">
        <w:rPr>
          <w:color w:val="auto"/>
        </w:rPr>
        <w:t xml:space="preserve">governance framework is its Board Audit and Risk Committee, established in line with the extant </w:t>
      </w:r>
      <w:hyperlink r:id="rId24" w:history="1">
        <w:r w:rsidRPr="00AD0647">
          <w:rPr>
            <w:rStyle w:val="Hyperlink"/>
          </w:rPr>
          <w:t>Audit and Risk Assurance Committee Handbook (NI)</w:t>
        </w:r>
      </w:hyperlink>
      <w:r w:rsidR="0055637D" w:rsidRPr="00AD0647">
        <w:rPr>
          <w:color w:val="auto"/>
          <w:vertAlign w:val="superscript"/>
        </w:rPr>
        <w:footnoteReference w:id="14"/>
      </w:r>
      <w:r w:rsidRPr="00AD0647">
        <w:rPr>
          <w:color w:val="auto"/>
        </w:rPr>
        <w:t xml:space="preserve">. </w:t>
      </w:r>
    </w:p>
    <w:p w14:paraId="0669106C" w14:textId="77777777" w:rsidR="00C673A9" w:rsidRPr="00AD0647" w:rsidRDefault="00C673A9" w:rsidP="00C673A9">
      <w:pPr>
        <w:spacing w:after="148" w:line="259" w:lineRule="auto"/>
        <w:ind w:left="408" w:firstLine="0"/>
        <w:jc w:val="left"/>
        <w:rPr>
          <w:color w:val="auto"/>
        </w:rPr>
      </w:pPr>
    </w:p>
    <w:p w14:paraId="07A7A4C7" w14:textId="284CB297"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 xml:space="preserve">The Audit and Risk Committee’s purpose/role is to support the Accounting Officer and Board on governance issues. In line with the handbook the Audit and Risk Committees focuses on:  </w:t>
      </w:r>
    </w:p>
    <w:p w14:paraId="456919D8" w14:textId="77777777" w:rsidR="00D773BB" w:rsidRPr="00AD0647" w:rsidRDefault="00D773BB" w:rsidP="00C673A9">
      <w:pPr>
        <w:ind w:left="959" w:right="60" w:hanging="566"/>
        <w:rPr>
          <w:color w:val="auto"/>
        </w:rPr>
      </w:pPr>
    </w:p>
    <w:p w14:paraId="6C114C1B" w14:textId="77777777" w:rsidR="00C673A9" w:rsidRPr="00AD0647" w:rsidRDefault="00D773BB" w:rsidP="00C673A9">
      <w:pPr>
        <w:numPr>
          <w:ilvl w:val="0"/>
          <w:numId w:val="2"/>
        </w:numPr>
        <w:ind w:right="60" w:hanging="360"/>
        <w:rPr>
          <w:color w:val="auto"/>
        </w:rPr>
      </w:pPr>
      <w:r w:rsidRPr="00AD0647">
        <w:rPr>
          <w:color w:val="auto"/>
        </w:rPr>
        <w:t>A</w:t>
      </w:r>
      <w:r w:rsidR="00C673A9" w:rsidRPr="00AD0647">
        <w:rPr>
          <w:color w:val="auto"/>
        </w:rPr>
        <w:t xml:space="preserve">ssurance arrangements over governance; financial reporting; annual reports and accounts, including the Governance Statement; and   </w:t>
      </w:r>
    </w:p>
    <w:p w14:paraId="6EA1A370" w14:textId="2E7376FC" w:rsidR="00C673A9" w:rsidRPr="00AD0647" w:rsidRDefault="00D773BB" w:rsidP="00C673A9">
      <w:pPr>
        <w:numPr>
          <w:ilvl w:val="0"/>
          <w:numId w:val="2"/>
        </w:numPr>
        <w:ind w:right="60" w:hanging="360"/>
        <w:rPr>
          <w:color w:val="auto"/>
        </w:rPr>
      </w:pPr>
      <w:r w:rsidRPr="00AD0647">
        <w:rPr>
          <w:color w:val="auto"/>
        </w:rPr>
        <w:t>E</w:t>
      </w:r>
      <w:r w:rsidR="00C673A9" w:rsidRPr="00AD0647">
        <w:rPr>
          <w:color w:val="auto"/>
        </w:rPr>
        <w:t>nsuring there is an adequate and effective risk management and assurance framework in place</w:t>
      </w:r>
      <w:r w:rsidR="004942C7" w:rsidRPr="00AD0647">
        <w:rPr>
          <w:color w:val="auto"/>
        </w:rPr>
        <w:t xml:space="preserve">. </w:t>
      </w:r>
    </w:p>
    <w:p w14:paraId="4A07F4CD" w14:textId="77777777" w:rsidR="00C673A9" w:rsidRPr="00AD0647" w:rsidRDefault="00C673A9" w:rsidP="00C673A9">
      <w:pPr>
        <w:spacing w:after="112" w:line="259" w:lineRule="auto"/>
        <w:ind w:left="408" w:firstLine="0"/>
        <w:jc w:val="left"/>
      </w:pPr>
      <w:r w:rsidRPr="00AD0647">
        <w:t xml:space="preserve"> </w:t>
      </w:r>
    </w:p>
    <w:p w14:paraId="2E4732B7" w14:textId="5F618E1A" w:rsidR="00C673A9" w:rsidRPr="00AD0647" w:rsidRDefault="005E5721" w:rsidP="009743CB">
      <w:pPr>
        <w:pStyle w:val="ListParagraph"/>
        <w:numPr>
          <w:ilvl w:val="1"/>
          <w:numId w:val="42"/>
        </w:numPr>
        <w:spacing w:after="120" w:line="367" w:lineRule="auto"/>
        <w:ind w:left="958" w:right="62" w:hanging="567"/>
        <w:rPr>
          <w:color w:val="auto"/>
        </w:rPr>
      </w:pPr>
      <w:r w:rsidRPr="00AD0647">
        <w:lastRenderedPageBreak/>
        <w:t>NITHC</w:t>
      </w:r>
      <w:r w:rsidR="00C673A9" w:rsidRPr="00AD0647">
        <w:rPr>
          <w:color w:val="auto"/>
        </w:rPr>
        <w:t xml:space="preserve"> and </w:t>
      </w:r>
      <w:r w:rsidR="00735E0B" w:rsidRPr="00AD0647">
        <w:rPr>
          <w:color w:val="auto"/>
        </w:rPr>
        <w:t xml:space="preserve">DfI </w:t>
      </w:r>
      <w:r w:rsidR="00C673A9" w:rsidRPr="00AD0647">
        <w:rPr>
          <w:color w:val="auto"/>
        </w:rPr>
        <w:t xml:space="preserve">have agreed arrangements in respect of the Audit and Risk Committee which include: </w:t>
      </w:r>
    </w:p>
    <w:p w14:paraId="7C7172F0" w14:textId="77777777" w:rsidR="00F61A6C" w:rsidRPr="00AD0647" w:rsidRDefault="00F61A6C" w:rsidP="00C673A9">
      <w:pPr>
        <w:ind w:left="959" w:right="60" w:hanging="566"/>
        <w:rPr>
          <w:color w:val="auto"/>
        </w:rPr>
      </w:pPr>
    </w:p>
    <w:p w14:paraId="275366F0" w14:textId="77777777" w:rsidR="00C673A9" w:rsidRPr="00AD0647" w:rsidRDefault="005C3986" w:rsidP="00C673A9">
      <w:pPr>
        <w:numPr>
          <w:ilvl w:val="0"/>
          <w:numId w:val="2"/>
        </w:numPr>
        <w:ind w:right="60" w:hanging="360"/>
        <w:rPr>
          <w:color w:val="auto"/>
        </w:rPr>
      </w:pPr>
      <w:r w:rsidRPr="00AD0647">
        <w:rPr>
          <w:color w:val="auto"/>
        </w:rPr>
        <w:t>A</w:t>
      </w:r>
      <w:r w:rsidR="00C673A9" w:rsidRPr="00AD0647">
        <w:rPr>
          <w:color w:val="auto"/>
        </w:rPr>
        <w:t xml:space="preserve">ttendance by </w:t>
      </w:r>
      <w:r w:rsidR="00781F51" w:rsidRPr="00AD0647">
        <w:rPr>
          <w:color w:val="auto"/>
        </w:rPr>
        <w:t>the</w:t>
      </w:r>
      <w:r w:rsidR="00F61A6C" w:rsidRPr="00AD0647">
        <w:rPr>
          <w:color w:val="auto"/>
        </w:rPr>
        <w:t xml:space="preserve"> </w:t>
      </w:r>
      <w:r w:rsidR="00C673A9" w:rsidRPr="00AD0647">
        <w:rPr>
          <w:color w:val="auto"/>
        </w:rPr>
        <w:t xml:space="preserve">Director of the Sponsor </w:t>
      </w:r>
      <w:r w:rsidR="00906516" w:rsidRPr="00AD0647">
        <w:rPr>
          <w:color w:val="auto"/>
        </w:rPr>
        <w:t>Directorate</w:t>
      </w:r>
      <w:r w:rsidR="00781F51" w:rsidRPr="00AD0647">
        <w:rPr>
          <w:color w:val="auto"/>
        </w:rPr>
        <w:t xml:space="preserve"> for DfI</w:t>
      </w:r>
      <w:r w:rsidR="00C673A9" w:rsidRPr="00AD0647">
        <w:rPr>
          <w:color w:val="auto"/>
        </w:rPr>
        <w:t xml:space="preserve"> in an observer capacity at NITHC’s Audit and Risk Committee meetings; </w:t>
      </w:r>
    </w:p>
    <w:p w14:paraId="45A0C181" w14:textId="77777777" w:rsidR="00C673A9" w:rsidRPr="00AD0647" w:rsidRDefault="00C673A9" w:rsidP="00C673A9">
      <w:pPr>
        <w:numPr>
          <w:ilvl w:val="0"/>
          <w:numId w:val="2"/>
        </w:numPr>
        <w:spacing w:after="31"/>
        <w:ind w:right="60" w:hanging="360"/>
        <w:rPr>
          <w:color w:val="auto"/>
        </w:rPr>
      </w:pPr>
      <w:r w:rsidRPr="00AD0647">
        <w:rPr>
          <w:color w:val="auto"/>
        </w:rPr>
        <w:t>Access to NITHC</w:t>
      </w:r>
      <w:r w:rsidR="00CD56D2" w:rsidRPr="00AD0647">
        <w:rPr>
          <w:color w:val="auto"/>
        </w:rPr>
        <w:t>’s</w:t>
      </w:r>
      <w:r w:rsidRPr="00AD0647">
        <w:rPr>
          <w:i/>
          <w:color w:val="auto"/>
        </w:rPr>
        <w:t xml:space="preserve"> </w:t>
      </w:r>
      <w:r w:rsidRPr="00AD0647">
        <w:rPr>
          <w:color w:val="auto"/>
        </w:rPr>
        <w:t xml:space="preserve">Audit and Risk Committee Terms of Reference, papers and </w:t>
      </w:r>
      <w:r w:rsidR="00342297" w:rsidRPr="00AD0647">
        <w:rPr>
          <w:color w:val="auto"/>
        </w:rPr>
        <w:t>minutes; and</w:t>
      </w:r>
    </w:p>
    <w:p w14:paraId="432C542B" w14:textId="77777777" w:rsidR="00C673A9" w:rsidRPr="00AD0647" w:rsidRDefault="00C673A9" w:rsidP="00C673A9">
      <w:pPr>
        <w:numPr>
          <w:ilvl w:val="0"/>
          <w:numId w:val="2"/>
        </w:numPr>
        <w:ind w:right="60" w:hanging="360"/>
        <w:rPr>
          <w:color w:val="auto"/>
        </w:rPr>
      </w:pPr>
      <w:r w:rsidRPr="00AD0647">
        <w:rPr>
          <w:color w:val="auto"/>
        </w:rPr>
        <w:t xml:space="preserve">Any input required from NITHC’s Audit and Risk Assurance Committee to the departmental Audit and Risk Committee. </w:t>
      </w:r>
    </w:p>
    <w:p w14:paraId="16A5DB74" w14:textId="77777777" w:rsidR="00C673A9" w:rsidRPr="00AD0647" w:rsidRDefault="00C673A9" w:rsidP="00C673A9">
      <w:pPr>
        <w:spacing w:after="118" w:line="259" w:lineRule="auto"/>
        <w:ind w:left="975" w:firstLine="0"/>
        <w:jc w:val="left"/>
        <w:rPr>
          <w:color w:val="auto"/>
        </w:rPr>
      </w:pPr>
      <w:r w:rsidRPr="00AD0647">
        <w:rPr>
          <w:color w:val="auto"/>
        </w:rPr>
        <w:t xml:space="preserve"> </w:t>
      </w:r>
    </w:p>
    <w:p w14:paraId="0B3ABD08" w14:textId="3D92D92B" w:rsidR="00C673A9" w:rsidRPr="004A68FF" w:rsidRDefault="00C673A9" w:rsidP="009743CB">
      <w:pPr>
        <w:pStyle w:val="ListParagraph"/>
        <w:numPr>
          <w:ilvl w:val="1"/>
          <w:numId w:val="42"/>
        </w:numPr>
        <w:spacing w:after="120" w:line="367" w:lineRule="auto"/>
        <w:ind w:left="958" w:right="62" w:hanging="567"/>
        <w:rPr>
          <w:color w:val="auto"/>
        </w:rPr>
      </w:pPr>
      <w:r w:rsidRPr="00AD0647">
        <w:rPr>
          <w:color w:val="auto"/>
        </w:rPr>
        <w:t xml:space="preserve">Full compliance with the </w:t>
      </w:r>
      <w:hyperlink r:id="rId25" w:history="1">
        <w:r w:rsidRPr="00AD0647">
          <w:rPr>
            <w:rStyle w:val="Hyperlink"/>
          </w:rPr>
          <w:t>Audit and Risk Assurance Committee Handbook (NI)</w:t>
        </w:r>
      </w:hyperlink>
      <w:r w:rsidRPr="00AD0647">
        <w:rPr>
          <w:color w:val="auto"/>
        </w:rPr>
        <w:t xml:space="preserve"> is an essential requirement.  In the event of significant non-compliance with the handbook’s five good practice principles (or other non-compliance) discussion will be required with </w:t>
      </w:r>
      <w:r w:rsidR="007D404F" w:rsidRPr="00AD0647">
        <w:rPr>
          <w:color w:val="auto"/>
        </w:rPr>
        <w:t xml:space="preserve">DfI </w:t>
      </w:r>
      <w:r w:rsidRPr="00AD0647">
        <w:rPr>
          <w:color w:val="auto"/>
        </w:rPr>
        <w:t>and a full explanation provided in the annual Governance Statement</w:t>
      </w:r>
      <w:r w:rsidR="004942C7" w:rsidRPr="00AD0647">
        <w:rPr>
          <w:color w:val="auto"/>
        </w:rPr>
        <w:t xml:space="preserve">. </w:t>
      </w:r>
    </w:p>
    <w:p w14:paraId="6772996C" w14:textId="77777777" w:rsidR="00C673A9" w:rsidRPr="00AD0647" w:rsidRDefault="00C673A9" w:rsidP="00C673A9">
      <w:pPr>
        <w:spacing w:after="0" w:line="259" w:lineRule="auto"/>
        <w:ind w:left="771" w:firstLine="0"/>
        <w:jc w:val="left"/>
        <w:rPr>
          <w:b/>
          <w:color w:val="374C80"/>
        </w:rPr>
      </w:pPr>
      <w:r w:rsidRPr="00AD0647">
        <w:rPr>
          <w:b/>
          <w:color w:val="374C80"/>
        </w:rPr>
        <w:t xml:space="preserve"> </w:t>
      </w:r>
    </w:p>
    <w:p w14:paraId="3274A2F2" w14:textId="4FBDE258" w:rsidR="00C673A9" w:rsidRPr="00AD0647" w:rsidRDefault="00C673A9" w:rsidP="009743CB">
      <w:pPr>
        <w:pStyle w:val="Heading2"/>
        <w:numPr>
          <w:ilvl w:val="0"/>
          <w:numId w:val="42"/>
        </w:numPr>
        <w:tabs>
          <w:tab w:val="center" w:pos="509"/>
          <w:tab w:val="left" w:pos="993"/>
          <w:tab w:val="center" w:pos="1561"/>
        </w:tabs>
      </w:pPr>
      <w:bookmarkStart w:id="9" w:name="_Toc74642996"/>
      <w:r w:rsidRPr="00AD0647">
        <w:t>NITHC Chair</w:t>
      </w:r>
      <w:bookmarkEnd w:id="9"/>
    </w:p>
    <w:p w14:paraId="3F9BE82B" w14:textId="77777777" w:rsidR="00C673A9" w:rsidRPr="00AD0647" w:rsidRDefault="00C673A9" w:rsidP="00C673A9">
      <w:pPr>
        <w:spacing w:after="117" w:line="259" w:lineRule="auto"/>
        <w:ind w:left="768" w:firstLine="0"/>
        <w:jc w:val="left"/>
      </w:pPr>
      <w:r w:rsidRPr="00AD0647">
        <w:rPr>
          <w:b/>
          <w:color w:val="374C80"/>
        </w:rPr>
        <w:t xml:space="preserve"> </w:t>
      </w:r>
    </w:p>
    <w:p w14:paraId="5B2693AF" w14:textId="75DE5664" w:rsidR="00C673A9" w:rsidRPr="00AD0647" w:rsidRDefault="00C673A9" w:rsidP="009743CB">
      <w:pPr>
        <w:pStyle w:val="ListParagraph"/>
        <w:numPr>
          <w:ilvl w:val="1"/>
          <w:numId w:val="42"/>
        </w:numPr>
        <w:spacing w:after="120" w:line="367" w:lineRule="auto"/>
        <w:ind w:left="958" w:right="62" w:hanging="567"/>
      </w:pPr>
      <w:r w:rsidRPr="00AD0647">
        <w:t>The Chair is responsible for setting the agenda and managing the Board to enable collaborative and robust discussion of issues</w:t>
      </w:r>
      <w:r w:rsidR="004942C7" w:rsidRPr="00AD0647">
        <w:t xml:space="preserve">. </w:t>
      </w:r>
      <w:r w:rsidRPr="00AD0647">
        <w:t xml:space="preserve">The Chair’s role is to develop and motivate the Board and ensure effective relationships in order that the Board can work collaboratively to reach a consensus on decisions. To achieve this, </w:t>
      </w:r>
      <w:r w:rsidR="00041101" w:rsidRPr="00AD0647">
        <w:t xml:space="preserve">the Chair </w:t>
      </w:r>
      <w:r w:rsidRPr="00AD0647">
        <w:t xml:space="preserve">should ensure: </w:t>
      </w:r>
    </w:p>
    <w:p w14:paraId="71FC8726" w14:textId="77777777" w:rsidR="001F2368" w:rsidRPr="00AD0647" w:rsidRDefault="001F2368" w:rsidP="00C673A9">
      <w:pPr>
        <w:ind w:left="959" w:right="60" w:hanging="566"/>
      </w:pPr>
    </w:p>
    <w:p w14:paraId="7FD9B031" w14:textId="77777777" w:rsidR="00C673A9" w:rsidRPr="00AD0647" w:rsidRDefault="00C673A9" w:rsidP="00C673A9">
      <w:pPr>
        <w:numPr>
          <w:ilvl w:val="0"/>
          <w:numId w:val="4"/>
        </w:numPr>
        <w:spacing w:after="91" w:line="259" w:lineRule="auto"/>
        <w:ind w:right="60" w:hanging="360"/>
        <w:rPr>
          <w:color w:val="auto"/>
        </w:rPr>
      </w:pPr>
      <w:r w:rsidRPr="00AD0647">
        <w:t xml:space="preserve">The Board has an appropriate balance of skills appropriate to its business; </w:t>
      </w:r>
    </w:p>
    <w:p w14:paraId="5D493D83" w14:textId="6827D9A6" w:rsidR="00F61A6C" w:rsidRPr="00AD0647" w:rsidRDefault="00C673A9" w:rsidP="007E6496">
      <w:pPr>
        <w:numPr>
          <w:ilvl w:val="0"/>
          <w:numId w:val="10"/>
        </w:numPr>
        <w:spacing w:line="360" w:lineRule="auto"/>
        <w:ind w:left="1701" w:hanging="366"/>
        <w:rPr>
          <w:color w:val="auto"/>
        </w:rPr>
      </w:pPr>
      <w:r w:rsidRPr="00AD0647">
        <w:rPr>
          <w:color w:val="auto"/>
        </w:rPr>
        <w:t xml:space="preserve">Board members are fully briefed on terms of appointment, duties, rights and </w:t>
      </w:r>
      <w:r w:rsidR="004A68FF" w:rsidRPr="00AD0647">
        <w:rPr>
          <w:color w:val="auto"/>
        </w:rPr>
        <w:t>responsibilities.</w:t>
      </w:r>
      <w:r w:rsidRPr="00AD0647">
        <w:rPr>
          <w:color w:val="auto"/>
        </w:rPr>
        <w:t xml:space="preserve"> </w:t>
      </w:r>
    </w:p>
    <w:p w14:paraId="5DC9B237" w14:textId="77777777" w:rsidR="00C673A9" w:rsidRPr="00AD0647" w:rsidRDefault="007B0BBB" w:rsidP="007E6496">
      <w:pPr>
        <w:numPr>
          <w:ilvl w:val="0"/>
          <w:numId w:val="10"/>
        </w:numPr>
        <w:spacing w:line="360" w:lineRule="auto"/>
        <w:ind w:left="1701" w:hanging="366"/>
        <w:rPr>
          <w:color w:val="auto"/>
        </w:rPr>
      </w:pPr>
      <w:r w:rsidRPr="00AD0647">
        <w:rPr>
          <w:color w:val="auto"/>
        </w:rPr>
        <w:t>T</w:t>
      </w:r>
      <w:r w:rsidR="00C673A9" w:rsidRPr="00AD0647">
        <w:rPr>
          <w:color w:val="auto"/>
        </w:rPr>
        <w:t>he Board, in reaching decisions, takes proper account of guidance provided by the Minister</w:t>
      </w:r>
      <w:r w:rsidRPr="00AD0647">
        <w:rPr>
          <w:color w:val="auto"/>
        </w:rPr>
        <w:t xml:space="preserve"> </w:t>
      </w:r>
      <w:r w:rsidR="00C673A9" w:rsidRPr="00AD0647">
        <w:rPr>
          <w:color w:val="auto"/>
        </w:rPr>
        <w:t xml:space="preserve">or </w:t>
      </w:r>
      <w:r w:rsidRPr="00AD0647">
        <w:rPr>
          <w:color w:val="auto"/>
        </w:rPr>
        <w:t>DfI;</w:t>
      </w:r>
    </w:p>
    <w:p w14:paraId="1DC6C9D7" w14:textId="77777777" w:rsidR="00C673A9" w:rsidRPr="00AD0647" w:rsidRDefault="00C673A9" w:rsidP="007E6496">
      <w:pPr>
        <w:numPr>
          <w:ilvl w:val="0"/>
          <w:numId w:val="10"/>
        </w:numPr>
        <w:spacing w:line="360" w:lineRule="auto"/>
        <w:ind w:left="1701" w:hanging="366"/>
        <w:rPr>
          <w:color w:val="auto"/>
        </w:rPr>
      </w:pPr>
      <w:r w:rsidRPr="00AD0647">
        <w:rPr>
          <w:color w:val="auto"/>
        </w:rPr>
        <w:t xml:space="preserve">Board members receive and maintain appropriate training; </w:t>
      </w:r>
    </w:p>
    <w:p w14:paraId="6E39F91F" w14:textId="77777777" w:rsidR="002515C1" w:rsidRPr="00AD0647" w:rsidRDefault="00C673A9" w:rsidP="007E6496">
      <w:pPr>
        <w:numPr>
          <w:ilvl w:val="0"/>
          <w:numId w:val="10"/>
        </w:numPr>
        <w:spacing w:line="360" w:lineRule="auto"/>
        <w:ind w:left="1701" w:hanging="366"/>
        <w:rPr>
          <w:color w:val="FF0000"/>
        </w:rPr>
      </w:pPr>
      <w:r w:rsidRPr="00AD0647">
        <w:rPr>
          <w:color w:val="auto"/>
        </w:rPr>
        <w:t xml:space="preserve">The Minister </w:t>
      </w:r>
      <w:r w:rsidR="00A57C91" w:rsidRPr="00AD0647">
        <w:rPr>
          <w:color w:val="auto"/>
        </w:rPr>
        <w:t>is</w:t>
      </w:r>
      <w:r w:rsidRPr="00AD0647">
        <w:rPr>
          <w:color w:val="auto"/>
        </w:rPr>
        <w:t xml:space="preserve"> advised of NITHC’s needs when board vacancies arise;</w:t>
      </w:r>
    </w:p>
    <w:p w14:paraId="4117070F" w14:textId="77777777" w:rsidR="00C673A9" w:rsidRPr="00AD0647" w:rsidRDefault="00C673A9" w:rsidP="007E6496">
      <w:pPr>
        <w:numPr>
          <w:ilvl w:val="0"/>
          <w:numId w:val="10"/>
        </w:numPr>
        <w:spacing w:line="360" w:lineRule="auto"/>
        <w:ind w:left="1701" w:hanging="366"/>
        <w:rPr>
          <w:color w:val="FF0000"/>
        </w:rPr>
      </w:pPr>
      <w:r w:rsidRPr="00AD0647">
        <w:rPr>
          <w:color w:val="auto"/>
        </w:rPr>
        <w:t xml:space="preserve">There is a Board Operating Framework/terms of reference in place setting out the roles and responsibilities of the Board in line with relevant </w:t>
      </w:r>
      <w:r w:rsidRPr="00AD0647">
        <w:t xml:space="preserve">guidance; </w:t>
      </w:r>
    </w:p>
    <w:p w14:paraId="2B769A66" w14:textId="77777777" w:rsidR="00C673A9" w:rsidRPr="00AD0647" w:rsidRDefault="00C673A9" w:rsidP="007E6496">
      <w:pPr>
        <w:numPr>
          <w:ilvl w:val="0"/>
          <w:numId w:val="10"/>
        </w:numPr>
        <w:spacing w:line="360" w:lineRule="auto"/>
        <w:ind w:left="1701" w:hanging="366"/>
        <w:rPr>
          <w:color w:val="auto"/>
        </w:rPr>
      </w:pPr>
      <w:r w:rsidRPr="00AD0647">
        <w:lastRenderedPageBreak/>
        <w:t xml:space="preserve">There is a code of practice for Board members in place, consistent with </w:t>
      </w:r>
      <w:r w:rsidRPr="00AD0647">
        <w:rPr>
          <w:color w:val="auto"/>
        </w:rPr>
        <w:t>relevant guidance.</w:t>
      </w:r>
    </w:p>
    <w:p w14:paraId="000E0DA1" w14:textId="48E8ACE8" w:rsidR="00C673A9" w:rsidRPr="00AD0647" w:rsidRDefault="003F6624" w:rsidP="007E6496">
      <w:pPr>
        <w:numPr>
          <w:ilvl w:val="0"/>
          <w:numId w:val="10"/>
        </w:numPr>
        <w:spacing w:line="360" w:lineRule="auto"/>
        <w:ind w:left="1701" w:hanging="366"/>
        <w:rPr>
          <w:color w:val="auto"/>
        </w:rPr>
      </w:pPr>
      <w:r w:rsidRPr="00AD0647">
        <w:rPr>
          <w:color w:val="auto"/>
        </w:rPr>
        <w:t>W</w:t>
      </w:r>
      <w:r w:rsidR="00C673A9" w:rsidRPr="00AD0647">
        <w:rPr>
          <w:color w:val="auto"/>
        </w:rPr>
        <w:t xml:space="preserve">hen appropriate, </w:t>
      </w:r>
      <w:r w:rsidR="0059210D" w:rsidRPr="00AD0647">
        <w:rPr>
          <w:color w:val="auto"/>
        </w:rPr>
        <w:t>the</w:t>
      </w:r>
      <w:r w:rsidR="0091438A" w:rsidRPr="00AD0647">
        <w:rPr>
          <w:color w:val="auto"/>
        </w:rPr>
        <w:t xml:space="preserve"> Chair</w:t>
      </w:r>
      <w:r w:rsidR="0059210D" w:rsidRPr="00AD0647">
        <w:rPr>
          <w:color w:val="auto"/>
        </w:rPr>
        <w:t xml:space="preserve"> </w:t>
      </w:r>
      <w:r w:rsidR="00C673A9" w:rsidRPr="00AD0647">
        <w:rPr>
          <w:color w:val="auto"/>
        </w:rPr>
        <w:t>represent</w:t>
      </w:r>
      <w:r w:rsidR="0091438A" w:rsidRPr="00AD0647">
        <w:rPr>
          <w:color w:val="auto"/>
        </w:rPr>
        <w:t>s</w:t>
      </w:r>
      <w:r w:rsidR="00C673A9" w:rsidRPr="00AD0647">
        <w:rPr>
          <w:color w:val="auto"/>
        </w:rPr>
        <w:t xml:space="preserve"> the views of the Board to the general public;</w:t>
      </w:r>
      <w:r w:rsidR="00287D50">
        <w:rPr>
          <w:color w:val="auto"/>
        </w:rPr>
        <w:t xml:space="preserve"> and</w:t>
      </w:r>
    </w:p>
    <w:p w14:paraId="362D9369" w14:textId="77777777" w:rsidR="00C673A9" w:rsidRPr="00AD0647" w:rsidRDefault="00E33F3D" w:rsidP="007E6496">
      <w:pPr>
        <w:numPr>
          <w:ilvl w:val="0"/>
          <w:numId w:val="10"/>
        </w:numPr>
        <w:spacing w:line="360" w:lineRule="auto"/>
        <w:ind w:left="1701" w:hanging="366"/>
        <w:rPr>
          <w:color w:val="auto"/>
        </w:rPr>
      </w:pPr>
      <w:r w:rsidRPr="00AD0647">
        <w:rPr>
          <w:color w:val="auto"/>
        </w:rPr>
        <w:t>T</w:t>
      </w:r>
      <w:r w:rsidR="00C673A9" w:rsidRPr="00AD0647">
        <w:rPr>
          <w:color w:val="auto"/>
        </w:rPr>
        <w:t>he Board meets at regular intervals throughout the year and that the minutes of meetings accurately record the decisions taken and, where appropriate, the views of individual Board members</w:t>
      </w:r>
      <w:r w:rsidR="0080203F" w:rsidRPr="00AD0647">
        <w:rPr>
          <w:color w:val="auto"/>
        </w:rPr>
        <w:t>.</w:t>
      </w:r>
      <w:r w:rsidR="00C673A9" w:rsidRPr="00AD0647">
        <w:rPr>
          <w:color w:val="auto"/>
        </w:rPr>
        <w:t xml:space="preserve"> </w:t>
      </w:r>
    </w:p>
    <w:p w14:paraId="0D7CE649" w14:textId="77777777" w:rsidR="00C673A9" w:rsidRPr="00AD0647" w:rsidRDefault="00C673A9" w:rsidP="00C673A9">
      <w:pPr>
        <w:spacing w:after="117" w:line="259" w:lineRule="auto"/>
        <w:ind w:left="771" w:firstLine="0"/>
        <w:jc w:val="left"/>
      </w:pPr>
      <w:r w:rsidRPr="00AD0647">
        <w:rPr>
          <w:color w:val="374C80"/>
        </w:rPr>
        <w:t xml:space="preserve"> </w:t>
      </w:r>
    </w:p>
    <w:p w14:paraId="0B9B360C" w14:textId="77951BA2" w:rsidR="00C673A9" w:rsidRPr="00AD0647" w:rsidRDefault="00C673A9" w:rsidP="009743CB">
      <w:pPr>
        <w:pStyle w:val="ListParagraph"/>
        <w:numPr>
          <w:ilvl w:val="1"/>
          <w:numId w:val="42"/>
        </w:numPr>
        <w:spacing w:after="120" w:line="367" w:lineRule="auto"/>
        <w:ind w:left="958" w:right="62" w:hanging="567"/>
      </w:pPr>
      <w:r w:rsidRPr="00AD0647">
        <w:t xml:space="preserve">The role also requires the establishment of an effective working relationship with the Chief Executive that is simultaneously collaborative and challenging. It is important that the Chair and Chief Executive act in accordance with their distinct roles and responsibilities as laid out in </w:t>
      </w:r>
      <w:r w:rsidR="00AC5871" w:rsidRPr="00AD0647">
        <w:t xml:space="preserve">MPMNI </w:t>
      </w:r>
      <w:r w:rsidRPr="00AD0647">
        <w:t>and their appointment letters</w:t>
      </w:r>
      <w:r w:rsidR="004942C7" w:rsidRPr="00AD0647">
        <w:t xml:space="preserve">. </w:t>
      </w:r>
    </w:p>
    <w:p w14:paraId="5C750E53" w14:textId="77777777" w:rsidR="00C673A9" w:rsidRPr="00AD0647" w:rsidRDefault="00C673A9" w:rsidP="00C673A9">
      <w:pPr>
        <w:spacing w:after="118" w:line="259" w:lineRule="auto"/>
        <w:ind w:left="408" w:firstLine="0"/>
        <w:jc w:val="left"/>
      </w:pPr>
      <w:r w:rsidRPr="00AD0647">
        <w:rPr>
          <w:color w:val="374C80"/>
        </w:rPr>
        <w:t xml:space="preserve"> </w:t>
      </w:r>
    </w:p>
    <w:p w14:paraId="11B36730" w14:textId="1EFF5F02" w:rsidR="00C673A9" w:rsidRPr="00AD0647" w:rsidRDefault="00C673A9" w:rsidP="009743CB">
      <w:pPr>
        <w:pStyle w:val="ListParagraph"/>
        <w:numPr>
          <w:ilvl w:val="1"/>
          <w:numId w:val="42"/>
        </w:numPr>
        <w:spacing w:after="120" w:line="367" w:lineRule="auto"/>
        <w:ind w:left="958" w:right="62" w:hanging="567"/>
      </w:pPr>
      <w:r w:rsidRPr="00AD0647">
        <w:t xml:space="preserve">The Chair has a presence in the organisation and cultivates external relationships which provide useful links for the organisation while being mindful of overstepping boundaries and becoming too involved in </w:t>
      </w:r>
      <w:r w:rsidR="004A68FF" w:rsidRPr="00AD0647">
        <w:t>day-to-day</w:t>
      </w:r>
      <w:r w:rsidRPr="00AD0647">
        <w:t xml:space="preserve"> operations or executive activities</w:t>
      </w:r>
      <w:r w:rsidR="004942C7" w:rsidRPr="00AD0647">
        <w:t xml:space="preserve">. </w:t>
      </w:r>
    </w:p>
    <w:p w14:paraId="2A8A5888" w14:textId="77777777" w:rsidR="004E2C36" w:rsidRPr="00AD0647" w:rsidRDefault="004E2C36" w:rsidP="004E2C36">
      <w:pPr>
        <w:pStyle w:val="ListParagraph"/>
      </w:pPr>
    </w:p>
    <w:p w14:paraId="187326CF" w14:textId="6613A4FC" w:rsidR="00C673A9" w:rsidRPr="00AD0647" w:rsidRDefault="00C673A9" w:rsidP="009743CB">
      <w:pPr>
        <w:pStyle w:val="Heading2"/>
        <w:numPr>
          <w:ilvl w:val="0"/>
          <w:numId w:val="42"/>
        </w:numPr>
        <w:tabs>
          <w:tab w:val="center" w:pos="509"/>
          <w:tab w:val="left" w:pos="993"/>
          <w:tab w:val="center" w:pos="1561"/>
        </w:tabs>
        <w:rPr>
          <w:color w:val="auto"/>
        </w:rPr>
      </w:pPr>
      <w:r w:rsidRPr="00AD0647">
        <w:rPr>
          <w:rFonts w:ascii="Calibri" w:eastAsia="Calibri" w:hAnsi="Calibri" w:cs="Calibri"/>
          <w:b w:val="0"/>
          <w:color w:val="auto"/>
          <w:sz w:val="22"/>
        </w:rPr>
        <w:tab/>
      </w:r>
      <w:bookmarkStart w:id="10" w:name="_Toc74642997"/>
      <w:r w:rsidR="004E2C36" w:rsidRPr="00AD0647">
        <w:t xml:space="preserve"> </w:t>
      </w:r>
      <w:r w:rsidR="0029683F" w:rsidRPr="00AD0647">
        <w:t>NITHC</w:t>
      </w:r>
      <w:r w:rsidR="00B90CF4" w:rsidRPr="00AD0647">
        <w:t xml:space="preserve"> </w:t>
      </w:r>
      <w:r w:rsidRPr="00AD0647">
        <w:t>Group Chief Executive</w:t>
      </w:r>
      <w:bookmarkEnd w:id="10"/>
      <w:r w:rsidRPr="00AD0647">
        <w:rPr>
          <w:color w:val="auto"/>
        </w:rPr>
        <w:t xml:space="preserve"> </w:t>
      </w:r>
    </w:p>
    <w:p w14:paraId="14A49F08" w14:textId="77777777" w:rsidR="00C673A9" w:rsidRPr="00AD0647" w:rsidRDefault="00C673A9" w:rsidP="00C673A9">
      <w:pPr>
        <w:spacing w:after="113" w:line="259" w:lineRule="auto"/>
        <w:ind w:left="768" w:firstLine="0"/>
        <w:jc w:val="left"/>
      </w:pPr>
      <w:r w:rsidRPr="00AD0647">
        <w:rPr>
          <w:b/>
          <w:color w:val="374C80"/>
        </w:rPr>
        <w:t xml:space="preserve"> </w:t>
      </w:r>
    </w:p>
    <w:p w14:paraId="0A75A27E" w14:textId="1D7AD32D"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 xml:space="preserve">The role of the </w:t>
      </w:r>
      <w:r w:rsidR="0029683F" w:rsidRPr="00AD0647">
        <w:rPr>
          <w:color w:val="auto"/>
        </w:rPr>
        <w:t>NITHC</w:t>
      </w:r>
      <w:r w:rsidR="00B90CF4" w:rsidRPr="00AD0647">
        <w:rPr>
          <w:color w:val="auto"/>
        </w:rPr>
        <w:t xml:space="preserve"> </w:t>
      </w:r>
      <w:r w:rsidRPr="00AD0647">
        <w:rPr>
          <w:color w:val="auto"/>
        </w:rPr>
        <w:t>Group Chief Executive is to run the Group business. The Chief Executive is responsible for all executive management matters affecting the organisation and for leadership of the executive management team</w:t>
      </w:r>
      <w:r w:rsidR="004942C7" w:rsidRPr="00AD0647">
        <w:rPr>
          <w:color w:val="auto"/>
        </w:rPr>
        <w:t xml:space="preserve">. </w:t>
      </w:r>
    </w:p>
    <w:p w14:paraId="5DE7722B" w14:textId="77777777" w:rsidR="00C673A9" w:rsidRPr="00AD0647" w:rsidRDefault="00C673A9" w:rsidP="00C673A9">
      <w:pPr>
        <w:ind w:left="959" w:right="60" w:hanging="566"/>
        <w:rPr>
          <w:color w:val="auto"/>
        </w:rPr>
      </w:pPr>
    </w:p>
    <w:p w14:paraId="1313D6E2" w14:textId="180D5C3A" w:rsidR="00C673A9" w:rsidRPr="00AD0647" w:rsidRDefault="00C673A9" w:rsidP="009743CB">
      <w:pPr>
        <w:pStyle w:val="ListParagraph"/>
        <w:numPr>
          <w:ilvl w:val="1"/>
          <w:numId w:val="42"/>
        </w:numPr>
        <w:spacing w:after="120" w:line="367" w:lineRule="auto"/>
        <w:ind w:left="958" w:right="62" w:hanging="567"/>
      </w:pPr>
      <w:r w:rsidRPr="00AD0647">
        <w:rPr>
          <w:color w:val="auto"/>
        </w:rPr>
        <w:t xml:space="preserve">The Group Chief Executive is designated as Accounting Officer for the Group by </w:t>
      </w:r>
      <w:r w:rsidR="00933FD6" w:rsidRPr="00AD0647">
        <w:rPr>
          <w:color w:val="auto"/>
        </w:rPr>
        <w:t xml:space="preserve">DfI’s </w:t>
      </w:r>
      <w:r w:rsidRPr="00AD0647">
        <w:rPr>
          <w:color w:val="auto"/>
        </w:rPr>
        <w:t xml:space="preserve">Accounting Officer (see section 12). As Accounting </w:t>
      </w:r>
      <w:r w:rsidR="004A68FF" w:rsidRPr="00AD0647">
        <w:rPr>
          <w:color w:val="auto"/>
        </w:rPr>
        <w:t>Officer,</w:t>
      </w:r>
      <w:r w:rsidRPr="00AD0647">
        <w:rPr>
          <w:color w:val="auto"/>
        </w:rPr>
        <w:t xml:space="preserve"> they are responsible for safeguarding the public funds in </w:t>
      </w:r>
      <w:r w:rsidRPr="00AD0647">
        <w:t>their charge and ensuring they are applied only to the purposes for which they were voted and more generally for efficient and economical administration</w:t>
      </w:r>
      <w:r w:rsidR="004942C7" w:rsidRPr="00AD0647">
        <w:t xml:space="preserve">. </w:t>
      </w:r>
    </w:p>
    <w:p w14:paraId="7B2747DB" w14:textId="77777777" w:rsidR="00C673A9" w:rsidRPr="00AD0647" w:rsidRDefault="00C673A9" w:rsidP="00C673A9">
      <w:pPr>
        <w:spacing w:after="116" w:line="259" w:lineRule="auto"/>
        <w:ind w:left="406" w:firstLine="0"/>
        <w:jc w:val="center"/>
      </w:pPr>
      <w:r w:rsidRPr="00AD0647">
        <w:t xml:space="preserve"> </w:t>
      </w:r>
    </w:p>
    <w:p w14:paraId="2CFC9FC2" w14:textId="3FAEC968" w:rsidR="00C673A9" w:rsidRPr="00AD0647" w:rsidRDefault="00C673A9" w:rsidP="009743CB">
      <w:pPr>
        <w:pStyle w:val="ListParagraph"/>
        <w:numPr>
          <w:ilvl w:val="1"/>
          <w:numId w:val="42"/>
        </w:numPr>
        <w:spacing w:after="120" w:line="367" w:lineRule="auto"/>
        <w:ind w:left="958" w:right="62" w:hanging="567"/>
      </w:pPr>
      <w:r w:rsidRPr="00AD0647">
        <w:rPr>
          <w:color w:val="auto"/>
        </w:rPr>
        <w:t xml:space="preserve">The Chief Executive is accountable to the Board for NITHC’s performance and delivery of outcomes and targets and is responsible for implementing the decisions of the Board and its Committees. </w:t>
      </w:r>
      <w:r w:rsidR="00B90CF4" w:rsidRPr="00FA0ED5">
        <w:rPr>
          <w:color w:val="auto"/>
        </w:rPr>
        <w:t>The Chief Executive</w:t>
      </w:r>
      <w:r w:rsidRPr="00FA0ED5">
        <w:rPr>
          <w:color w:val="auto"/>
        </w:rPr>
        <w:t xml:space="preserve"> maintains a dialogue with the Chair on the important strategic issues facing the organisation </w:t>
      </w:r>
      <w:r w:rsidRPr="00FA0ED5">
        <w:rPr>
          <w:color w:val="auto"/>
        </w:rPr>
        <w:lastRenderedPageBreak/>
        <w:t xml:space="preserve">and for proposing Board agendas to the Chair to reflect these. </w:t>
      </w:r>
      <w:r w:rsidR="00B90CF4" w:rsidRPr="00FA0ED5">
        <w:rPr>
          <w:color w:val="auto"/>
        </w:rPr>
        <w:t>The Chief Executive</w:t>
      </w:r>
      <w:r w:rsidRPr="00FA0ED5">
        <w:rPr>
          <w:color w:val="auto"/>
        </w:rPr>
        <w:t xml:space="preserve"> ensures effective communication with stakeholders and communication on this to the Board. </w:t>
      </w:r>
      <w:r w:rsidR="00B90CF4" w:rsidRPr="00FA0ED5">
        <w:rPr>
          <w:color w:val="auto"/>
        </w:rPr>
        <w:t>The Chief Executive</w:t>
      </w:r>
      <w:r w:rsidRPr="00FA0ED5">
        <w:rPr>
          <w:color w:val="auto"/>
        </w:rPr>
        <w:t xml:space="preserve"> also ensures that</w:t>
      </w:r>
      <w:r w:rsidRPr="00AD0647">
        <w:rPr>
          <w:color w:val="auto"/>
        </w:rPr>
        <w:t xml:space="preserve"> the Chair is alerted to forthcoming complex, contentious or sensitive issues, including risks affecting the organisation. </w:t>
      </w:r>
    </w:p>
    <w:p w14:paraId="7289B169" w14:textId="77777777" w:rsidR="00C673A9" w:rsidRPr="00AD0647" w:rsidRDefault="00C673A9" w:rsidP="00C673A9">
      <w:pPr>
        <w:spacing w:after="115" w:line="259" w:lineRule="auto"/>
        <w:ind w:left="408" w:firstLine="0"/>
        <w:jc w:val="left"/>
      </w:pPr>
      <w:r w:rsidRPr="00AD0647">
        <w:t xml:space="preserve"> </w:t>
      </w:r>
    </w:p>
    <w:p w14:paraId="2768047A" w14:textId="556297E6" w:rsidR="002E7BEF" w:rsidRPr="00AD0647" w:rsidRDefault="00C673A9" w:rsidP="009743CB">
      <w:pPr>
        <w:pStyle w:val="ListParagraph"/>
        <w:numPr>
          <w:ilvl w:val="1"/>
          <w:numId w:val="42"/>
        </w:numPr>
        <w:spacing w:after="120" w:line="367" w:lineRule="auto"/>
        <w:ind w:left="958" w:right="62" w:hanging="567"/>
      </w:pPr>
      <w:r w:rsidRPr="00AD0647">
        <w:t>The Chief Executive acts as a role model to other executives by exhibiting open support for the Chair and Board members and the contribution they make. The Chair and Chief Executive have agreed how they will work together in practice, understanding and respecting each other’s role</w:t>
      </w:r>
      <w:r w:rsidR="00435C57" w:rsidRPr="00AD0647">
        <w:t>, including the Chief Executive’s responsibility as Accounting Officer.</w:t>
      </w:r>
    </w:p>
    <w:p w14:paraId="5C80958F" w14:textId="77777777" w:rsidR="002E7BEF" w:rsidRPr="00AD0647" w:rsidRDefault="002E7BEF" w:rsidP="002E7BEF">
      <w:pPr>
        <w:ind w:left="959" w:right="60" w:hanging="566"/>
      </w:pPr>
    </w:p>
    <w:p w14:paraId="4BF6759A" w14:textId="28F838BB" w:rsidR="00C673A9" w:rsidRPr="00AD0647" w:rsidRDefault="00C673A9" w:rsidP="009743CB">
      <w:pPr>
        <w:pStyle w:val="ListParagraph"/>
        <w:numPr>
          <w:ilvl w:val="1"/>
          <w:numId w:val="42"/>
        </w:numPr>
        <w:spacing w:after="120" w:line="367" w:lineRule="auto"/>
        <w:ind w:left="958" w:right="62" w:hanging="567"/>
      </w:pPr>
      <w:r w:rsidRPr="00AD0647">
        <w:rPr>
          <w:color w:val="auto"/>
        </w:rPr>
        <w:t xml:space="preserve">Further detail on the role and responsibilities of the Chief Executive are as laid out in </w:t>
      </w:r>
      <w:r w:rsidR="00AC5871" w:rsidRPr="00AD0647">
        <w:rPr>
          <w:color w:val="auto"/>
        </w:rPr>
        <w:t xml:space="preserve">MPMNI </w:t>
      </w:r>
      <w:r w:rsidRPr="00AD0647">
        <w:t xml:space="preserve">and their Accounting Officer appointment letter. </w:t>
      </w:r>
    </w:p>
    <w:p w14:paraId="490A68F1" w14:textId="77777777" w:rsidR="00C673A9" w:rsidRPr="00AD0647" w:rsidRDefault="00C673A9" w:rsidP="00DA37C0">
      <w:pPr>
        <w:spacing w:after="159" w:line="259" w:lineRule="auto"/>
        <w:ind w:left="408" w:firstLine="0"/>
        <w:jc w:val="left"/>
        <w:rPr>
          <w:color w:val="auto"/>
        </w:rPr>
      </w:pPr>
      <w:r w:rsidRPr="00AD0647">
        <w:t xml:space="preserve"> </w:t>
      </w:r>
    </w:p>
    <w:p w14:paraId="2F68B0C8" w14:textId="6117E022" w:rsidR="00D97ED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The Chief Executive, or</w:t>
      </w:r>
      <w:r w:rsidR="00EE2355" w:rsidRPr="00AD0647">
        <w:rPr>
          <w:color w:val="auto"/>
        </w:rPr>
        <w:t xml:space="preserve"> a</w:t>
      </w:r>
      <w:r w:rsidRPr="00AD0647">
        <w:rPr>
          <w:color w:val="auto"/>
        </w:rPr>
        <w:t xml:space="preserve"> designated officer</w:t>
      </w:r>
      <w:r w:rsidR="00EE2355" w:rsidRPr="00AD0647">
        <w:rPr>
          <w:color w:val="auto"/>
        </w:rPr>
        <w:t xml:space="preserve"> withi</w:t>
      </w:r>
      <w:r w:rsidR="00E16B41" w:rsidRPr="00AD0647">
        <w:rPr>
          <w:color w:val="auto"/>
        </w:rPr>
        <w:t>n the Group</w:t>
      </w:r>
      <w:r w:rsidRPr="00AD0647">
        <w:rPr>
          <w:color w:val="auto"/>
        </w:rPr>
        <w:t xml:space="preserve">, </w:t>
      </w:r>
      <w:r w:rsidR="00C01B77" w:rsidRPr="00AD0647">
        <w:rPr>
          <w:color w:val="auto"/>
        </w:rPr>
        <w:t>has responsibility</w:t>
      </w:r>
      <w:r w:rsidR="00204A20" w:rsidRPr="00AD0647">
        <w:rPr>
          <w:color w:val="auto"/>
        </w:rPr>
        <w:t xml:space="preserve"> </w:t>
      </w:r>
      <w:r w:rsidR="002E7BEF" w:rsidRPr="00AD0647">
        <w:rPr>
          <w:color w:val="auto"/>
        </w:rPr>
        <w:t xml:space="preserve">for handling </w:t>
      </w:r>
      <w:r w:rsidRPr="00AD0647">
        <w:rPr>
          <w:color w:val="auto"/>
        </w:rPr>
        <w:t>cases involving the Consumer Council for Northern Ireland</w:t>
      </w:r>
      <w:r w:rsidR="00C648C7" w:rsidRPr="00AD0647">
        <w:rPr>
          <w:color w:val="auto"/>
        </w:rPr>
        <w:t xml:space="preserve"> (</w:t>
      </w:r>
      <w:r w:rsidR="00C648C7" w:rsidRPr="00AD0647">
        <w:rPr>
          <w:b/>
          <w:bCs/>
          <w:color w:val="auto"/>
        </w:rPr>
        <w:t>CCNI</w:t>
      </w:r>
      <w:r w:rsidR="00C648C7" w:rsidRPr="00AD0647">
        <w:rPr>
          <w:color w:val="auto"/>
        </w:rPr>
        <w:t>)</w:t>
      </w:r>
      <w:r w:rsidR="00B14E4D" w:rsidRPr="00AD0647">
        <w:rPr>
          <w:color w:val="auto"/>
        </w:rPr>
        <w:t xml:space="preserve"> and</w:t>
      </w:r>
      <w:r w:rsidR="00C40E9E" w:rsidRPr="00AD0647">
        <w:rPr>
          <w:color w:val="auto"/>
        </w:rPr>
        <w:t xml:space="preserve"> </w:t>
      </w:r>
      <w:r w:rsidRPr="00AD0647">
        <w:rPr>
          <w:color w:val="auto"/>
        </w:rPr>
        <w:t xml:space="preserve">shall advise </w:t>
      </w:r>
      <w:r w:rsidR="0070270D" w:rsidRPr="00AD0647">
        <w:rPr>
          <w:color w:val="auto"/>
        </w:rPr>
        <w:t xml:space="preserve">DfI </w:t>
      </w:r>
      <w:r w:rsidR="00D97ED9" w:rsidRPr="00AD0647">
        <w:rPr>
          <w:color w:val="auto"/>
        </w:rPr>
        <w:t>of</w:t>
      </w:r>
      <w:r w:rsidRPr="00AD0647">
        <w:rPr>
          <w:color w:val="auto"/>
        </w:rPr>
        <w:t xml:space="preserve"> any</w:t>
      </w:r>
      <w:r w:rsidR="003D3DFC" w:rsidRPr="00AD0647">
        <w:rPr>
          <w:color w:val="auto"/>
        </w:rPr>
        <w:t xml:space="preserve"> Translink</w:t>
      </w:r>
      <w:r w:rsidRPr="00AD0647">
        <w:rPr>
          <w:color w:val="auto"/>
        </w:rPr>
        <w:t xml:space="preserve"> complaints </w:t>
      </w:r>
      <w:r w:rsidR="002E617D" w:rsidRPr="00AD0647">
        <w:rPr>
          <w:color w:val="auto"/>
        </w:rPr>
        <w:t xml:space="preserve">escalated </w:t>
      </w:r>
      <w:r w:rsidR="00D97ED9" w:rsidRPr="00AD0647">
        <w:rPr>
          <w:color w:val="auto"/>
        </w:rPr>
        <w:t>to CCNI</w:t>
      </w:r>
      <w:r w:rsidR="00C867A9" w:rsidRPr="00AD0647">
        <w:rPr>
          <w:color w:val="auto"/>
        </w:rPr>
        <w:t>.</w:t>
      </w:r>
    </w:p>
    <w:p w14:paraId="5E52AA38" w14:textId="77777777" w:rsidR="00D97ED9" w:rsidRPr="00AD0647" w:rsidRDefault="00D97ED9" w:rsidP="00D97ED9">
      <w:pPr>
        <w:ind w:left="959" w:right="60" w:hanging="566"/>
        <w:rPr>
          <w:color w:val="auto"/>
        </w:rPr>
      </w:pPr>
    </w:p>
    <w:p w14:paraId="2458FDB6" w14:textId="77777777" w:rsidR="00C673A9" w:rsidRPr="00AD0647" w:rsidRDefault="00C673A9" w:rsidP="00C673A9">
      <w:pPr>
        <w:ind w:left="730"/>
        <w:rPr>
          <w:color w:val="auto"/>
        </w:rPr>
      </w:pPr>
    </w:p>
    <w:p w14:paraId="050A0105" w14:textId="77777777" w:rsidR="004D49F7" w:rsidRPr="00AD0647" w:rsidRDefault="00C673A9" w:rsidP="00C673A9">
      <w:pPr>
        <w:spacing w:after="0" w:line="259" w:lineRule="auto"/>
        <w:ind w:left="771" w:firstLine="0"/>
        <w:jc w:val="left"/>
      </w:pPr>
      <w:r w:rsidRPr="00AD0647">
        <w:t xml:space="preserve"> </w:t>
      </w:r>
    </w:p>
    <w:p w14:paraId="6BD5BE62" w14:textId="77777777" w:rsidR="004D49F7" w:rsidRPr="00AD0647" w:rsidRDefault="004D49F7">
      <w:pPr>
        <w:spacing w:after="160" w:line="259" w:lineRule="auto"/>
        <w:ind w:left="0" w:firstLine="0"/>
        <w:jc w:val="left"/>
      </w:pPr>
      <w:r w:rsidRPr="00AD0647">
        <w:br w:type="page"/>
      </w:r>
    </w:p>
    <w:p w14:paraId="01F59DD5" w14:textId="77777777" w:rsidR="00C673A9" w:rsidRPr="00AD0647" w:rsidRDefault="00C673A9" w:rsidP="00C673A9">
      <w:pPr>
        <w:spacing w:after="0" w:line="259" w:lineRule="auto"/>
        <w:ind w:left="771" w:firstLine="0"/>
        <w:jc w:val="left"/>
      </w:pPr>
    </w:p>
    <w:p w14:paraId="46B49AF8" w14:textId="344492BA" w:rsidR="00C673A9" w:rsidRPr="00AD0647" w:rsidRDefault="00C673A9" w:rsidP="00C673A9">
      <w:pPr>
        <w:pStyle w:val="Heading1"/>
        <w:ind w:left="403"/>
      </w:pPr>
      <w:bookmarkStart w:id="11" w:name="_Toc74642998"/>
      <w:r w:rsidRPr="00AD0647">
        <w:t>Role of the Department for Infrastructure</w:t>
      </w:r>
      <w:bookmarkEnd w:id="11"/>
      <w:r w:rsidRPr="00AD0647">
        <w:t xml:space="preserve">   </w:t>
      </w:r>
    </w:p>
    <w:p w14:paraId="19A9E47B"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0F5F617F" wp14:editId="592C0370">
                <wp:extent cx="5769610" cy="6096"/>
                <wp:effectExtent l="0" t="0" r="0" b="0"/>
                <wp:docPr id="22" name="Group 22"/>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3" name="Shape 37939"/>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607CAD28" id="Group 22"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">
                <v:shape id="Shape 37939"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" path="m,l5769610,r,9144l,9144,,e" fillcolor="#4a66ac" stroked="f" strokeweight="0">
                  <v:stroke miterlimit="83231f" joinstyle="miter"/>
                  <v:path arrowok="t" textboxrect="0,0,5769610,9144"/>
                </v:shape>
                <w10:anchorlock/>
              </v:group>
            </w:pict>
          </mc:Fallback>
        </mc:AlternateContent>
      </w:r>
    </w:p>
    <w:p w14:paraId="25AEF8A2" w14:textId="77777777" w:rsidR="00C673A9" w:rsidRPr="00AD0647" w:rsidRDefault="00C673A9" w:rsidP="00C673A9">
      <w:pPr>
        <w:spacing w:after="117" w:line="259" w:lineRule="auto"/>
        <w:ind w:left="478" w:firstLine="0"/>
        <w:jc w:val="left"/>
      </w:pPr>
      <w:r w:rsidRPr="00AD0647">
        <w:rPr>
          <w:b/>
          <w:i/>
          <w:color w:val="3476B1"/>
        </w:rPr>
        <w:t xml:space="preserve"> </w:t>
      </w:r>
    </w:p>
    <w:p w14:paraId="4485304C" w14:textId="3E2C29AC" w:rsidR="00C673A9" w:rsidRPr="00AD0647" w:rsidRDefault="00C673A9" w:rsidP="009743CB">
      <w:pPr>
        <w:pStyle w:val="Heading2"/>
        <w:numPr>
          <w:ilvl w:val="0"/>
          <w:numId w:val="42"/>
        </w:numPr>
        <w:tabs>
          <w:tab w:val="center" w:pos="509"/>
          <w:tab w:val="left" w:pos="993"/>
          <w:tab w:val="center" w:pos="1561"/>
        </w:tabs>
      </w:pPr>
      <w:r w:rsidRPr="00AD0647">
        <w:rPr>
          <w:rFonts w:ascii="Calibri" w:eastAsia="Calibri" w:hAnsi="Calibri" w:cs="Calibri"/>
          <w:b w:val="0"/>
          <w:color w:val="000000"/>
          <w:sz w:val="22"/>
        </w:rPr>
        <w:tab/>
      </w:r>
      <w:bookmarkStart w:id="12" w:name="_Toc74642999"/>
      <w:r w:rsidRPr="00AD0647">
        <w:t>Partnership Working with NITHC</w:t>
      </w:r>
      <w:bookmarkEnd w:id="12"/>
      <w:r w:rsidRPr="00AD0647">
        <w:t xml:space="preserve"> </w:t>
      </w:r>
    </w:p>
    <w:p w14:paraId="449ABE75" w14:textId="77777777" w:rsidR="00C673A9" w:rsidRPr="00AD0647" w:rsidRDefault="00C673A9" w:rsidP="00C673A9">
      <w:pPr>
        <w:spacing w:after="115" w:line="259" w:lineRule="auto"/>
        <w:ind w:left="478" w:firstLine="0"/>
        <w:jc w:val="left"/>
      </w:pPr>
      <w:r w:rsidRPr="00AD0647">
        <w:rPr>
          <w:b/>
          <w:i/>
          <w:color w:val="3476B1"/>
        </w:rPr>
        <w:t xml:space="preserve"> </w:t>
      </w:r>
    </w:p>
    <w:p w14:paraId="7F896917" w14:textId="0153A307" w:rsidR="00C673A9" w:rsidRPr="00AD0647" w:rsidRDefault="0070270D" w:rsidP="009743CB">
      <w:pPr>
        <w:pStyle w:val="ListParagraph"/>
        <w:numPr>
          <w:ilvl w:val="1"/>
          <w:numId w:val="42"/>
        </w:numPr>
        <w:spacing w:after="120" w:line="367" w:lineRule="auto"/>
        <w:ind w:left="958" w:right="62" w:hanging="567"/>
      </w:pPr>
      <w:r w:rsidRPr="00AD0647">
        <w:rPr>
          <w:color w:val="auto"/>
        </w:rPr>
        <w:t>DfI</w:t>
      </w:r>
      <w:r w:rsidR="008B49A3" w:rsidRPr="00AD0647">
        <w:rPr>
          <w:color w:val="auto"/>
        </w:rPr>
        <w:t xml:space="preserve"> and </w:t>
      </w:r>
      <w:r w:rsidR="00C673A9" w:rsidRPr="00AD0647">
        <w:rPr>
          <w:color w:val="auto"/>
        </w:rPr>
        <w:t xml:space="preserve">NITHC are part of a total delivery system, within the same Ministerial portfolio. The partnership between </w:t>
      </w:r>
      <w:r w:rsidRPr="00AD0647">
        <w:rPr>
          <w:color w:val="auto"/>
        </w:rPr>
        <w:t xml:space="preserve">DfI </w:t>
      </w:r>
      <w:r w:rsidR="00C673A9" w:rsidRPr="00AD0647">
        <w:rPr>
          <w:color w:val="auto"/>
        </w:rPr>
        <w:t xml:space="preserve">and NITHC is open, honest, constructive and based on trust. There is mutual understanding of each other’s objectives and clear expectations on the terms of engagement. </w:t>
      </w:r>
    </w:p>
    <w:p w14:paraId="55918859" w14:textId="77777777" w:rsidR="00C673A9" w:rsidRPr="00AD0647" w:rsidRDefault="00C673A9" w:rsidP="00C673A9">
      <w:pPr>
        <w:spacing w:after="112" w:line="259" w:lineRule="auto"/>
        <w:ind w:left="975" w:firstLine="0"/>
        <w:jc w:val="left"/>
      </w:pPr>
      <w:r w:rsidRPr="00AD0647">
        <w:t xml:space="preserve"> </w:t>
      </w:r>
    </w:p>
    <w:p w14:paraId="4B2894E0" w14:textId="12221B5D"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In exercising its functions NITHC has absolute clarity on how its purpose and objectives align with those of</w:t>
      </w:r>
      <w:r w:rsidR="008B49A3" w:rsidRPr="00AD0647">
        <w:rPr>
          <w:color w:val="auto"/>
        </w:rPr>
        <w:t xml:space="preserve"> </w:t>
      </w:r>
      <w:r w:rsidR="0070270D" w:rsidRPr="00AD0647">
        <w:rPr>
          <w:color w:val="auto"/>
        </w:rPr>
        <w:t>DfI</w:t>
      </w:r>
      <w:r w:rsidR="0030649E" w:rsidRPr="00AD0647">
        <w:rPr>
          <w:color w:val="auto"/>
        </w:rPr>
        <w:t xml:space="preserve">. </w:t>
      </w:r>
      <w:r w:rsidRPr="00AD0647">
        <w:rPr>
          <w:color w:val="auto"/>
        </w:rPr>
        <w:t xml:space="preserve">There is also a shared understanding of the risks that may impact on </w:t>
      </w:r>
      <w:r w:rsidR="003E5315" w:rsidRPr="00AD0647">
        <w:rPr>
          <w:color w:val="auto"/>
        </w:rPr>
        <w:t>each other,</w:t>
      </w:r>
      <w:r w:rsidRPr="00AD0647">
        <w:rPr>
          <w:color w:val="auto"/>
        </w:rPr>
        <w:t xml:space="preserve"> and these are reflected in respective Risk Registers. </w:t>
      </w:r>
    </w:p>
    <w:p w14:paraId="6EE42758" w14:textId="77777777" w:rsidR="00C673A9" w:rsidRPr="00AD0647" w:rsidRDefault="00C673A9" w:rsidP="003E5315">
      <w:pPr>
        <w:spacing w:after="115" w:line="259" w:lineRule="auto"/>
        <w:jc w:val="left"/>
        <w:rPr>
          <w:color w:val="auto"/>
        </w:rPr>
      </w:pPr>
      <w:r w:rsidRPr="00AD0647">
        <w:rPr>
          <w:color w:val="auto"/>
        </w:rPr>
        <w:t xml:space="preserve"> </w:t>
      </w:r>
      <w:bookmarkStart w:id="13" w:name="_Hlk86136286"/>
    </w:p>
    <w:p w14:paraId="41C6503B" w14:textId="5DE000CB"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 xml:space="preserve">There is a regular exchange of skills and experience between </w:t>
      </w:r>
      <w:r w:rsidR="0070270D" w:rsidRPr="00AD0647">
        <w:rPr>
          <w:color w:val="auto"/>
        </w:rPr>
        <w:t xml:space="preserve">DfI </w:t>
      </w:r>
      <w:r w:rsidRPr="00AD0647">
        <w:rPr>
          <w:color w:val="auto"/>
        </w:rPr>
        <w:t>and NITHC and where possible joint programme</w:t>
      </w:r>
      <w:r w:rsidR="00813A4B">
        <w:rPr>
          <w:color w:val="auto"/>
        </w:rPr>
        <w:t xml:space="preserve"> </w:t>
      </w:r>
      <w:r w:rsidRPr="00AD0647">
        <w:rPr>
          <w:color w:val="auto"/>
        </w:rPr>
        <w:t>/</w:t>
      </w:r>
      <w:r w:rsidR="00813A4B">
        <w:rPr>
          <w:color w:val="auto"/>
        </w:rPr>
        <w:t xml:space="preserve"> </w:t>
      </w:r>
      <w:r w:rsidRPr="00AD0647">
        <w:rPr>
          <w:color w:val="auto"/>
        </w:rPr>
        <w:t>project delivery boards</w:t>
      </w:r>
      <w:r w:rsidR="00813A4B">
        <w:rPr>
          <w:color w:val="auto"/>
        </w:rPr>
        <w:t xml:space="preserve"> </w:t>
      </w:r>
      <w:r w:rsidRPr="00AD0647">
        <w:rPr>
          <w:color w:val="auto"/>
        </w:rPr>
        <w:t>/ arrangements</w:t>
      </w:r>
      <w:bookmarkEnd w:id="13"/>
      <w:r w:rsidR="0030649E" w:rsidRPr="00AD0647">
        <w:rPr>
          <w:color w:val="auto"/>
        </w:rPr>
        <w:t xml:space="preserve">. </w:t>
      </w:r>
      <w:r w:rsidRPr="00AD0647">
        <w:rPr>
          <w:color w:val="auto"/>
        </w:rPr>
        <w:t>NITHC may also be involved as a partner in policy/strategy development and provides advice on policy implementation</w:t>
      </w:r>
      <w:r w:rsidR="00813A4B">
        <w:rPr>
          <w:color w:val="auto"/>
        </w:rPr>
        <w:t xml:space="preserve"> </w:t>
      </w:r>
      <w:r w:rsidRPr="00AD0647">
        <w:rPr>
          <w:color w:val="auto"/>
        </w:rPr>
        <w:t xml:space="preserve">/ the impact of policies in practice. </w:t>
      </w:r>
    </w:p>
    <w:p w14:paraId="7000CB9C" w14:textId="77777777" w:rsidR="00C673A9" w:rsidRPr="00AD0647" w:rsidRDefault="00C673A9" w:rsidP="00C673A9">
      <w:pPr>
        <w:spacing w:after="117" w:line="259" w:lineRule="auto"/>
        <w:ind w:left="771" w:firstLine="0"/>
        <w:jc w:val="left"/>
      </w:pPr>
      <w:r w:rsidRPr="00AD0647">
        <w:t xml:space="preserve"> </w:t>
      </w:r>
    </w:p>
    <w:p w14:paraId="69901A41" w14:textId="043664DE" w:rsidR="00C673A9" w:rsidRPr="00AD0647" w:rsidRDefault="00C673A9" w:rsidP="009743CB">
      <w:pPr>
        <w:pStyle w:val="ListParagraph"/>
        <w:numPr>
          <w:ilvl w:val="1"/>
          <w:numId w:val="42"/>
        </w:numPr>
        <w:spacing w:after="120" w:line="367" w:lineRule="auto"/>
        <w:ind w:left="958" w:right="62" w:hanging="567"/>
        <w:rPr>
          <w:color w:val="auto"/>
        </w:rPr>
      </w:pPr>
      <w:r w:rsidRPr="00AD0647">
        <w:rPr>
          <w:color w:val="auto"/>
        </w:rPr>
        <w:t xml:space="preserve">The Department of Finance </w:t>
      </w:r>
      <w:r w:rsidR="00DA37C0" w:rsidRPr="00AD0647">
        <w:rPr>
          <w:bCs/>
          <w:color w:val="auto"/>
        </w:rPr>
        <w:t>(</w:t>
      </w:r>
      <w:r w:rsidR="00DA37C0" w:rsidRPr="00AD0647">
        <w:rPr>
          <w:b/>
          <w:color w:val="auto"/>
        </w:rPr>
        <w:t>DoF</w:t>
      </w:r>
      <w:r w:rsidR="00DA37C0" w:rsidRPr="00AD0647">
        <w:rPr>
          <w:bCs/>
          <w:color w:val="auto"/>
        </w:rPr>
        <w:t>)</w:t>
      </w:r>
      <w:r w:rsidRPr="00AD0647">
        <w:rPr>
          <w:color w:val="auto"/>
        </w:rPr>
        <w:t xml:space="preserve"> has established, on behalf of the Assembly, a delegated authority framework which sets out the circumstances where prior DoF approval is required before expenditure can be occurred or commitments entered into</w:t>
      </w:r>
      <w:r w:rsidR="0030649E" w:rsidRPr="00AD0647">
        <w:rPr>
          <w:color w:val="auto"/>
        </w:rPr>
        <w:t xml:space="preserve">. </w:t>
      </w:r>
      <w:r w:rsidRPr="00AD0647">
        <w:rPr>
          <w:color w:val="auto"/>
        </w:rPr>
        <w:t xml:space="preserve">The Accounting Officer of </w:t>
      </w:r>
      <w:r w:rsidR="00550C19" w:rsidRPr="00AD0647">
        <w:rPr>
          <w:color w:val="auto"/>
        </w:rPr>
        <w:t xml:space="preserve">DfI </w:t>
      </w:r>
      <w:r w:rsidRPr="00AD0647">
        <w:rPr>
          <w:color w:val="auto"/>
        </w:rPr>
        <w:t xml:space="preserve">has established an internal framework of delegated authority for </w:t>
      </w:r>
      <w:r w:rsidR="00DA7EF8" w:rsidRPr="00AD0647">
        <w:rPr>
          <w:color w:val="auto"/>
        </w:rPr>
        <w:t xml:space="preserve">DfI </w:t>
      </w:r>
      <w:r w:rsidRPr="00AD0647">
        <w:rPr>
          <w:color w:val="auto"/>
        </w:rPr>
        <w:t>and its ALBs which apply to NITHC</w:t>
      </w:r>
      <w:r w:rsidR="0030649E" w:rsidRPr="00AD0647">
        <w:rPr>
          <w:i/>
          <w:color w:val="auto"/>
        </w:rPr>
        <w:t xml:space="preserve">. </w:t>
      </w:r>
      <w:r w:rsidRPr="00AD0647">
        <w:rPr>
          <w:color w:val="auto"/>
        </w:rPr>
        <w:t>Other specific approval requirements established in respect of NITHC</w:t>
      </w:r>
      <w:r w:rsidRPr="00AD0647">
        <w:rPr>
          <w:i/>
          <w:color w:val="auto"/>
        </w:rPr>
        <w:t xml:space="preserve"> </w:t>
      </w:r>
      <w:r w:rsidR="00435C57" w:rsidRPr="00AD0647">
        <w:rPr>
          <w:color w:val="auto"/>
        </w:rPr>
        <w:t>are</w:t>
      </w:r>
      <w:r w:rsidRPr="00AD0647">
        <w:rPr>
          <w:color w:val="auto"/>
        </w:rPr>
        <w:t xml:space="preserve"> set out at Annex </w:t>
      </w:r>
      <w:r w:rsidR="00AC076D">
        <w:rPr>
          <w:color w:val="auto"/>
        </w:rPr>
        <w:t>2</w:t>
      </w:r>
      <w:r w:rsidR="004942C7" w:rsidRPr="00AD0647">
        <w:rPr>
          <w:color w:val="auto"/>
        </w:rPr>
        <w:t xml:space="preserve">. </w:t>
      </w:r>
    </w:p>
    <w:p w14:paraId="584C0FBF" w14:textId="77777777" w:rsidR="001A2C91" w:rsidRPr="00AD0647" w:rsidRDefault="001A2C91" w:rsidP="00C673A9">
      <w:pPr>
        <w:ind w:left="959" w:right="60" w:hanging="566"/>
        <w:rPr>
          <w:color w:val="auto"/>
        </w:rPr>
      </w:pPr>
    </w:p>
    <w:p w14:paraId="4508EE14" w14:textId="6B202F0C" w:rsidR="00102FDA" w:rsidRPr="008851F8" w:rsidRDefault="001A2C91" w:rsidP="009743CB">
      <w:pPr>
        <w:pStyle w:val="ListParagraph"/>
        <w:numPr>
          <w:ilvl w:val="1"/>
          <w:numId w:val="42"/>
        </w:numPr>
        <w:spacing w:after="120" w:line="367" w:lineRule="auto"/>
        <w:ind w:left="958" w:right="62" w:hanging="567"/>
      </w:pPr>
      <w:r w:rsidRPr="0010571B">
        <w:t>NITHC shall agree with D</w:t>
      </w:r>
      <w:r w:rsidR="00641B4E" w:rsidRPr="0010571B">
        <w:t>fI</w:t>
      </w:r>
      <w:r w:rsidRPr="0010571B">
        <w:t xml:space="preserve"> the issues to be addressed in the </w:t>
      </w:r>
      <w:r w:rsidR="00FD5956" w:rsidRPr="0010571B">
        <w:t>Corporate and Business Plan</w:t>
      </w:r>
      <w:r w:rsidRPr="0010571B">
        <w:t xml:space="preserve"> and the timetable </w:t>
      </w:r>
      <w:r w:rsidR="006D2289" w:rsidRPr="0010571B">
        <w:t xml:space="preserve">(as indicated in Annex </w:t>
      </w:r>
      <w:r w:rsidR="00AC076D">
        <w:t>1</w:t>
      </w:r>
      <w:r w:rsidR="006D2289" w:rsidRPr="0010571B">
        <w:t xml:space="preserve"> of this agreement) </w:t>
      </w:r>
      <w:r w:rsidRPr="0010571B">
        <w:t xml:space="preserve">for its preparation. </w:t>
      </w:r>
    </w:p>
    <w:p w14:paraId="4D295BC4" w14:textId="77777777" w:rsidR="00641B4E" w:rsidRPr="005C5283" w:rsidRDefault="00641B4E" w:rsidP="00C40E9E">
      <w:pPr>
        <w:ind w:left="959" w:right="60" w:hanging="566"/>
      </w:pPr>
    </w:p>
    <w:p w14:paraId="46B25BF9" w14:textId="6439F728" w:rsidR="001A2C91" w:rsidRPr="005C5283" w:rsidRDefault="00EB34C4" w:rsidP="009743CB">
      <w:pPr>
        <w:pStyle w:val="ListParagraph"/>
        <w:numPr>
          <w:ilvl w:val="1"/>
          <w:numId w:val="42"/>
        </w:numPr>
        <w:spacing w:after="120" w:line="367" w:lineRule="auto"/>
        <w:ind w:left="958" w:right="62" w:hanging="567"/>
      </w:pPr>
      <w:r w:rsidRPr="005C5283">
        <w:t>T</w:t>
      </w:r>
      <w:r w:rsidR="00A9699D" w:rsidRPr="005C5283">
        <w:t xml:space="preserve">he process of preparing the </w:t>
      </w:r>
      <w:r w:rsidR="00FD5956" w:rsidRPr="005C5283">
        <w:t>Corporate and Business Plan</w:t>
      </w:r>
      <w:r w:rsidR="00A9699D" w:rsidRPr="005C5283">
        <w:t xml:space="preserve"> provides an opportunity for agreeing with the Minister the policy </w:t>
      </w:r>
      <w:r w:rsidR="006D2289" w:rsidRPr="005C5283">
        <w:t xml:space="preserve">framework </w:t>
      </w:r>
      <w:r w:rsidR="00A9699D" w:rsidRPr="005C5283">
        <w:t xml:space="preserve">and resources </w:t>
      </w:r>
      <w:r w:rsidR="00A9699D" w:rsidRPr="005C5283">
        <w:lastRenderedPageBreak/>
        <w:t>within which NITHC will discharge its statutory duties and, within those duties, the strategic priorities, aims and objectives set by the Minister</w:t>
      </w:r>
      <w:r w:rsidR="0030649E" w:rsidRPr="005C5283">
        <w:t xml:space="preserve">. </w:t>
      </w:r>
      <w:r w:rsidR="00A9699D" w:rsidRPr="005C5283">
        <w:t xml:space="preserve">In particular, the </w:t>
      </w:r>
      <w:r w:rsidR="00FD5956" w:rsidRPr="005C5283">
        <w:t>Corporate and Business Plan</w:t>
      </w:r>
      <w:r w:rsidR="00A9699D" w:rsidRPr="005C5283">
        <w:t xml:space="preserve"> shall demonstrate how NITHC contributes to the achievement of</w:t>
      </w:r>
      <w:r w:rsidR="00C40E9E" w:rsidRPr="005C5283">
        <w:t xml:space="preserve"> </w:t>
      </w:r>
      <w:r w:rsidR="00A9699D" w:rsidRPr="005C5283">
        <w:t>D</w:t>
      </w:r>
      <w:r w:rsidR="00EC5F03" w:rsidRPr="005C5283">
        <w:t>fI</w:t>
      </w:r>
      <w:r w:rsidR="00A9699D" w:rsidRPr="005C5283">
        <w:t xml:space="preserve">’s strategic aims and </w:t>
      </w:r>
      <w:r w:rsidR="009F11B4" w:rsidRPr="005C5283">
        <w:t xml:space="preserve">the Executive’s </w:t>
      </w:r>
      <w:r w:rsidR="00A9699D" w:rsidRPr="005C5283">
        <w:t xml:space="preserve">Programme for Government </w:t>
      </w:r>
      <w:r w:rsidR="006D2289" w:rsidRPr="005C5283">
        <w:t>outcomes</w:t>
      </w:r>
      <w:r w:rsidR="00A9699D" w:rsidRPr="005C5283">
        <w:t xml:space="preserve">, as well as achieving agreed financial targets. </w:t>
      </w:r>
    </w:p>
    <w:p w14:paraId="437F3D44" w14:textId="77777777" w:rsidR="007E3F4D" w:rsidRPr="005C5283" w:rsidRDefault="007E3F4D" w:rsidP="001A2C91">
      <w:pPr>
        <w:pStyle w:val="1"/>
        <w:ind w:left="393" w:firstLine="0"/>
        <w:jc w:val="both"/>
        <w:rPr>
          <w:rFonts w:cs="Arial"/>
          <w:szCs w:val="24"/>
        </w:rPr>
      </w:pPr>
    </w:p>
    <w:p w14:paraId="035E436E" w14:textId="7DC8DB66" w:rsidR="006D2289" w:rsidRPr="005C5283" w:rsidRDefault="008F263D" w:rsidP="005418FE">
      <w:pPr>
        <w:pStyle w:val="ListParagraph"/>
        <w:numPr>
          <w:ilvl w:val="1"/>
          <w:numId w:val="42"/>
        </w:numPr>
        <w:spacing w:after="120" w:line="367" w:lineRule="auto"/>
        <w:ind w:left="958" w:right="62" w:hanging="567"/>
        <w:rPr>
          <w:szCs w:val="24"/>
        </w:rPr>
      </w:pPr>
      <w:r w:rsidRPr="005C5283">
        <w:rPr>
          <w:szCs w:val="24"/>
        </w:rPr>
        <w:t xml:space="preserve">The </w:t>
      </w:r>
      <w:r w:rsidR="00FD5956" w:rsidRPr="005C5283">
        <w:rPr>
          <w:szCs w:val="24"/>
        </w:rPr>
        <w:t>Corporate and Business Plan</w:t>
      </w:r>
      <w:r w:rsidRPr="005C5283">
        <w:rPr>
          <w:szCs w:val="24"/>
        </w:rPr>
        <w:t xml:space="preserve"> shall set out</w:t>
      </w:r>
      <w:r w:rsidR="006D2289" w:rsidRPr="005C5283">
        <w:rPr>
          <w:szCs w:val="24"/>
        </w:rPr>
        <w:t>:</w:t>
      </w:r>
    </w:p>
    <w:p w14:paraId="524D91C0" w14:textId="77777777" w:rsidR="006D2289" w:rsidRPr="005C5283" w:rsidRDefault="006D2289" w:rsidP="008F263D">
      <w:pPr>
        <w:pStyle w:val="1"/>
        <w:tabs>
          <w:tab w:val="left" w:pos="720"/>
        </w:tabs>
        <w:ind w:left="0" w:firstLine="0"/>
        <w:jc w:val="both"/>
        <w:rPr>
          <w:rFonts w:cs="Arial"/>
          <w:szCs w:val="24"/>
        </w:rPr>
      </w:pPr>
    </w:p>
    <w:p w14:paraId="04DD54D6" w14:textId="4D9D3114" w:rsidR="008F263D" w:rsidRPr="005C5283" w:rsidRDefault="006D2289" w:rsidP="007E6496">
      <w:pPr>
        <w:pStyle w:val="ListParagraph"/>
        <w:numPr>
          <w:ilvl w:val="0"/>
          <w:numId w:val="21"/>
        </w:numPr>
        <w:ind w:right="60"/>
      </w:pPr>
      <w:r w:rsidRPr="005C5283">
        <w:t xml:space="preserve">the information detailed in </w:t>
      </w:r>
      <w:r w:rsidR="00612270" w:rsidRPr="005C5283">
        <w:t>Clause 4.5</w:t>
      </w:r>
      <w:r w:rsidRPr="005C5283">
        <w:t xml:space="preserve"> and Schedule </w:t>
      </w:r>
      <w:r w:rsidR="00612270" w:rsidRPr="005C5283">
        <w:t>K</w:t>
      </w:r>
      <w:r w:rsidR="006A4D03" w:rsidRPr="005C5283">
        <w:t xml:space="preserve"> </w:t>
      </w:r>
      <w:r w:rsidRPr="005C5283">
        <w:t xml:space="preserve">of the Public Service </w:t>
      </w:r>
      <w:r w:rsidR="00975FC4" w:rsidRPr="005C5283">
        <w:t>A</w:t>
      </w:r>
      <w:r w:rsidRPr="005C5283">
        <w:t xml:space="preserve">greement between the Department and NITHC; and </w:t>
      </w:r>
    </w:p>
    <w:p w14:paraId="030BAA69" w14:textId="61286A89" w:rsidR="008F263D" w:rsidRPr="005C5283" w:rsidRDefault="008F263D" w:rsidP="007E6496">
      <w:pPr>
        <w:pStyle w:val="ListParagraph"/>
        <w:numPr>
          <w:ilvl w:val="0"/>
          <w:numId w:val="21"/>
        </w:numPr>
        <w:ind w:right="60"/>
      </w:pPr>
      <w:r w:rsidRPr="005C5283">
        <w:t xml:space="preserve">other matters as agreed </w:t>
      </w:r>
      <w:r w:rsidR="006578CB" w:rsidRPr="005C5283">
        <w:t>between DfI</w:t>
      </w:r>
      <w:r w:rsidRPr="005C5283">
        <w:t xml:space="preserve"> and NITHC.</w:t>
      </w:r>
    </w:p>
    <w:p w14:paraId="719528DA" w14:textId="77777777" w:rsidR="007E3F4D" w:rsidRPr="00AD0647" w:rsidRDefault="007E3F4D" w:rsidP="00605FC4">
      <w:pPr>
        <w:pStyle w:val="1"/>
        <w:ind w:left="393" w:firstLine="0"/>
        <w:jc w:val="both"/>
        <w:rPr>
          <w:rFonts w:cs="Arial"/>
          <w:szCs w:val="24"/>
        </w:rPr>
      </w:pPr>
    </w:p>
    <w:p w14:paraId="640D9782" w14:textId="5B442644" w:rsidR="00C673A9" w:rsidRPr="00001320" w:rsidRDefault="004E7B40" w:rsidP="005418FE">
      <w:pPr>
        <w:pStyle w:val="ListParagraph"/>
        <w:numPr>
          <w:ilvl w:val="1"/>
          <w:numId w:val="42"/>
        </w:numPr>
        <w:spacing w:after="120" w:line="367" w:lineRule="auto"/>
        <w:ind w:left="958" w:right="62" w:hanging="567"/>
        <w:rPr>
          <w:szCs w:val="24"/>
        </w:rPr>
      </w:pPr>
      <w:r w:rsidRPr="00AD0647">
        <w:rPr>
          <w:szCs w:val="24"/>
        </w:rPr>
        <w:t xml:space="preserve">The Corporate and Business Plan </w:t>
      </w:r>
      <w:r w:rsidR="006D2289" w:rsidRPr="00AD0647">
        <w:rPr>
          <w:szCs w:val="24"/>
        </w:rPr>
        <w:t>must</w:t>
      </w:r>
      <w:r w:rsidRPr="00AD0647">
        <w:rPr>
          <w:szCs w:val="24"/>
        </w:rPr>
        <w:t xml:space="preserve"> be formally approved by the Minister</w:t>
      </w:r>
      <w:r w:rsidR="004F67CE">
        <w:rPr>
          <w:szCs w:val="24"/>
        </w:rPr>
        <w:t xml:space="preserve"> </w:t>
      </w:r>
      <w:r w:rsidR="00AE6D93">
        <w:rPr>
          <w:szCs w:val="24"/>
        </w:rPr>
        <w:t>or via such other legal mechanism as may be in place in the absence of a Minister</w:t>
      </w:r>
      <w:r w:rsidRPr="00AD0647">
        <w:rPr>
          <w:szCs w:val="24"/>
        </w:rPr>
        <w:t>.</w:t>
      </w:r>
      <w:r w:rsidR="00CE59AD" w:rsidRPr="00AD0647">
        <w:rPr>
          <w:szCs w:val="24"/>
        </w:rPr>
        <w:tab/>
      </w:r>
    </w:p>
    <w:p w14:paraId="787A3C47" w14:textId="00477385" w:rsidR="00C673A9" w:rsidRPr="00AD0647" w:rsidRDefault="00C673A9" w:rsidP="005418FE">
      <w:pPr>
        <w:pStyle w:val="ListParagraph"/>
        <w:numPr>
          <w:ilvl w:val="1"/>
          <w:numId w:val="42"/>
        </w:numPr>
        <w:spacing w:after="120" w:line="367" w:lineRule="auto"/>
        <w:ind w:left="958" w:right="62" w:hanging="567"/>
        <w:rPr>
          <w:lang w:val="en-US"/>
        </w:rPr>
      </w:pPr>
      <w:r w:rsidRPr="00AD0647">
        <w:rPr>
          <w:color w:val="auto"/>
        </w:rPr>
        <w:t xml:space="preserve">Once NITHC’s budget has been approved by </w:t>
      </w:r>
      <w:r w:rsidR="00550C19" w:rsidRPr="00AD0647">
        <w:rPr>
          <w:color w:val="auto"/>
        </w:rPr>
        <w:t xml:space="preserve">DfI </w:t>
      </w:r>
      <w:r w:rsidRPr="00AD0647">
        <w:rPr>
          <w:color w:val="auto"/>
        </w:rPr>
        <w:t xml:space="preserve">and subject to any restrictions imposed by statute, NITHC shall have authority to incur expenditure approved in the budget without further reference to </w:t>
      </w:r>
      <w:r w:rsidR="00377B11" w:rsidRPr="00AD0647">
        <w:rPr>
          <w:color w:val="auto"/>
        </w:rPr>
        <w:t>DfI</w:t>
      </w:r>
      <w:r w:rsidR="0030649E" w:rsidRPr="00AD0647">
        <w:rPr>
          <w:color w:val="auto"/>
        </w:rPr>
        <w:t xml:space="preserve">. </w:t>
      </w:r>
      <w:r w:rsidRPr="00AD0647">
        <w:rPr>
          <w:color w:val="auto"/>
        </w:rPr>
        <w:t xml:space="preserve">Inclusion of any planned and approved expenditure in the budget shall not however remove the need to seek formal </w:t>
      </w:r>
      <w:r w:rsidR="00931D52" w:rsidRPr="00AD0647">
        <w:rPr>
          <w:color w:val="auto"/>
        </w:rPr>
        <w:t>DfI approval</w:t>
      </w:r>
      <w:r w:rsidRPr="00AD0647">
        <w:rPr>
          <w:color w:val="auto"/>
        </w:rPr>
        <w:t xml:space="preserve"> where proposed expenditure is outside the delegated limits (as laid out in Annex </w:t>
      </w:r>
      <w:r w:rsidR="00AC076D">
        <w:rPr>
          <w:color w:val="auto"/>
        </w:rPr>
        <w:t>2</w:t>
      </w:r>
      <w:r w:rsidRPr="00AD0647">
        <w:rPr>
          <w:color w:val="auto"/>
        </w:rPr>
        <w:t xml:space="preserve">) or is for new schemes not previously agreed. Nor does it negate the need to follow due processes laid out in guidance contained in </w:t>
      </w:r>
      <w:r w:rsidR="00AC5871" w:rsidRPr="00AD0647">
        <w:rPr>
          <w:color w:val="auto"/>
        </w:rPr>
        <w:t xml:space="preserve">MPMNI </w:t>
      </w:r>
      <w:r w:rsidRPr="00AD0647">
        <w:rPr>
          <w:color w:val="auto"/>
        </w:rPr>
        <w:t xml:space="preserve">and the </w:t>
      </w:r>
      <w:hyperlink r:id="rId26" w:history="1">
        <w:r w:rsidR="00FF3FAA" w:rsidRPr="00EB34C4">
          <w:rPr>
            <w:rStyle w:val="Hyperlink"/>
          </w:rPr>
          <w:t>Better Business Cases (NI)</w:t>
        </w:r>
      </w:hyperlink>
      <w:r w:rsidR="00EB34C4">
        <w:rPr>
          <w:rStyle w:val="FootnoteReference"/>
          <w:color w:val="auto"/>
        </w:rPr>
        <w:footnoteReference w:id="15"/>
      </w:r>
      <w:r w:rsidR="00F92CEE">
        <w:rPr>
          <w:color w:val="auto"/>
        </w:rPr>
        <w:t>.</w:t>
      </w:r>
    </w:p>
    <w:p w14:paraId="04676FC6" w14:textId="77777777" w:rsidR="00C673A9" w:rsidRPr="00AD0647" w:rsidRDefault="00C673A9" w:rsidP="00331DE0">
      <w:pPr>
        <w:ind w:left="959" w:right="60" w:hanging="566"/>
      </w:pPr>
      <w:r w:rsidRPr="00AD0647">
        <w:t xml:space="preserve"> </w:t>
      </w:r>
    </w:p>
    <w:p w14:paraId="0F37BBB3" w14:textId="2FDE8660" w:rsidR="00C673A9" w:rsidRPr="00AD0647" w:rsidRDefault="00C673A9" w:rsidP="005418FE">
      <w:pPr>
        <w:pStyle w:val="Heading2"/>
        <w:numPr>
          <w:ilvl w:val="0"/>
          <w:numId w:val="42"/>
        </w:numPr>
        <w:tabs>
          <w:tab w:val="center" w:pos="509"/>
          <w:tab w:val="left" w:pos="993"/>
          <w:tab w:val="center" w:pos="1561"/>
        </w:tabs>
      </w:pPr>
      <w:bookmarkStart w:id="14" w:name="_Toc74643000"/>
      <w:r w:rsidRPr="00AD0647">
        <w:t>Lead Official</w:t>
      </w:r>
      <w:bookmarkEnd w:id="14"/>
      <w:r w:rsidRPr="00AD0647">
        <w:t xml:space="preserve">  </w:t>
      </w:r>
    </w:p>
    <w:p w14:paraId="6828816A" w14:textId="77777777" w:rsidR="00C673A9" w:rsidRPr="00AD0647" w:rsidRDefault="00C673A9" w:rsidP="00C673A9">
      <w:pPr>
        <w:spacing w:after="115" w:line="259" w:lineRule="auto"/>
        <w:ind w:left="408" w:firstLine="0"/>
        <w:jc w:val="left"/>
      </w:pPr>
      <w:r w:rsidRPr="00AD0647">
        <w:t xml:space="preserve"> </w:t>
      </w:r>
    </w:p>
    <w:p w14:paraId="5D96E41B" w14:textId="387D8CA4" w:rsidR="00B45D32" w:rsidRPr="00871966" w:rsidRDefault="00550C19" w:rsidP="005418FE">
      <w:pPr>
        <w:pStyle w:val="ListParagraph"/>
        <w:numPr>
          <w:ilvl w:val="1"/>
          <w:numId w:val="42"/>
        </w:numPr>
        <w:spacing w:after="120" w:line="367" w:lineRule="auto"/>
        <w:ind w:left="958" w:right="62" w:hanging="567"/>
        <w:rPr>
          <w:szCs w:val="24"/>
        </w:rPr>
      </w:pPr>
      <w:r w:rsidRPr="00871966">
        <w:rPr>
          <w:szCs w:val="24"/>
        </w:rPr>
        <w:t xml:space="preserve">DfI </w:t>
      </w:r>
      <w:r w:rsidR="00C673A9" w:rsidRPr="00871966">
        <w:rPr>
          <w:szCs w:val="24"/>
        </w:rPr>
        <w:t>has appointed a lead senior official</w:t>
      </w:r>
      <w:r w:rsidR="00906516" w:rsidRPr="00871966">
        <w:rPr>
          <w:szCs w:val="24"/>
        </w:rPr>
        <w:t xml:space="preserve">, </w:t>
      </w:r>
      <w:r w:rsidR="00C673A9" w:rsidRPr="00871966">
        <w:rPr>
          <w:szCs w:val="24"/>
        </w:rPr>
        <w:t>the Director of Public Transport</w:t>
      </w:r>
      <w:r w:rsidR="00906516" w:rsidRPr="00871966">
        <w:rPr>
          <w:szCs w:val="24"/>
        </w:rPr>
        <w:t xml:space="preserve"> </w:t>
      </w:r>
      <w:r w:rsidR="00114077" w:rsidRPr="00871966">
        <w:rPr>
          <w:szCs w:val="24"/>
        </w:rPr>
        <w:t xml:space="preserve">Operations </w:t>
      </w:r>
      <w:r w:rsidR="00906516" w:rsidRPr="00871966">
        <w:rPr>
          <w:szCs w:val="24"/>
        </w:rPr>
        <w:t>(PT</w:t>
      </w:r>
      <w:r w:rsidR="00114077" w:rsidRPr="00871966">
        <w:rPr>
          <w:szCs w:val="24"/>
        </w:rPr>
        <w:t>O</w:t>
      </w:r>
      <w:r w:rsidR="00906516" w:rsidRPr="00871966">
        <w:rPr>
          <w:szCs w:val="24"/>
        </w:rPr>
        <w:t>)</w:t>
      </w:r>
      <w:r w:rsidR="00C673A9" w:rsidRPr="00871966">
        <w:rPr>
          <w:szCs w:val="24"/>
        </w:rPr>
        <w:t xml:space="preserve">, to manage the relationship with NITHC and ensure effective partnership working. Engagement between </w:t>
      </w:r>
      <w:r w:rsidR="00BE1252" w:rsidRPr="00871966">
        <w:rPr>
          <w:szCs w:val="24"/>
        </w:rPr>
        <w:t xml:space="preserve">DfI </w:t>
      </w:r>
      <w:r w:rsidR="00C673A9" w:rsidRPr="00871966">
        <w:rPr>
          <w:szCs w:val="24"/>
        </w:rPr>
        <w:t>and NITHC will be co-ordinated, collaborative and consistent</w:t>
      </w:r>
      <w:r w:rsidR="0030649E" w:rsidRPr="00871966">
        <w:rPr>
          <w:szCs w:val="24"/>
        </w:rPr>
        <w:t xml:space="preserve">. </w:t>
      </w:r>
      <w:r w:rsidR="00C673A9" w:rsidRPr="00871966">
        <w:rPr>
          <w:szCs w:val="24"/>
        </w:rPr>
        <w:t xml:space="preserve">A clear sense of collaboration and partnership will be communicated to staff in both </w:t>
      </w:r>
      <w:r w:rsidR="00E21D54" w:rsidRPr="00871966">
        <w:rPr>
          <w:szCs w:val="24"/>
        </w:rPr>
        <w:t>DfI and</w:t>
      </w:r>
      <w:r w:rsidR="00C673A9" w:rsidRPr="00871966">
        <w:rPr>
          <w:szCs w:val="24"/>
        </w:rPr>
        <w:t xml:space="preserve"> NITHC in order to promote mutual understanding and support. </w:t>
      </w:r>
      <w:r w:rsidR="00C673A9" w:rsidRPr="00871966">
        <w:rPr>
          <w:szCs w:val="24"/>
        </w:rPr>
        <w:tab/>
      </w:r>
    </w:p>
    <w:p w14:paraId="2A53D0C7" w14:textId="6EE4E0F4" w:rsidR="00C673A9" w:rsidRPr="003E5315" w:rsidRDefault="00C673A9" w:rsidP="003E5315">
      <w:pPr>
        <w:ind w:left="959" w:right="60" w:hanging="566"/>
        <w:rPr>
          <w:i/>
          <w:color w:val="0070C0"/>
        </w:rPr>
      </w:pPr>
      <w:r w:rsidRPr="00AD0647">
        <w:rPr>
          <w:color w:val="auto"/>
        </w:rPr>
        <w:t xml:space="preserve">  </w:t>
      </w:r>
    </w:p>
    <w:p w14:paraId="346A3F5E" w14:textId="52D52338" w:rsidR="005C693B" w:rsidRDefault="00C673A9" w:rsidP="00871966">
      <w:pPr>
        <w:pStyle w:val="ListParagraph"/>
        <w:numPr>
          <w:ilvl w:val="1"/>
          <w:numId w:val="42"/>
        </w:numPr>
        <w:spacing w:after="120" w:line="367" w:lineRule="auto"/>
        <w:ind w:left="958" w:right="62" w:hanging="567"/>
        <w:rPr>
          <w:color w:val="auto"/>
        </w:rPr>
      </w:pPr>
      <w:r w:rsidRPr="00AD0647">
        <w:rPr>
          <w:color w:val="auto"/>
        </w:rPr>
        <w:lastRenderedPageBreak/>
        <w:t xml:space="preserve">The </w:t>
      </w:r>
      <w:r w:rsidR="00A57C91" w:rsidRPr="00AD0647">
        <w:rPr>
          <w:color w:val="auto"/>
        </w:rPr>
        <w:t xml:space="preserve">Director of </w:t>
      </w:r>
      <w:r w:rsidR="00CB2208" w:rsidRPr="00CB2208">
        <w:rPr>
          <w:color w:val="auto"/>
        </w:rPr>
        <w:t>Transport Regulation &amp; Public Transport Policy</w:t>
      </w:r>
      <w:r w:rsidR="00CB2208" w:rsidRPr="00CB2208" w:rsidDel="00CB2208">
        <w:rPr>
          <w:color w:val="auto"/>
        </w:rPr>
        <w:t xml:space="preserve"> </w:t>
      </w:r>
      <w:r w:rsidR="00CB2208">
        <w:rPr>
          <w:color w:val="auto"/>
        </w:rPr>
        <w:t xml:space="preserve">Division </w:t>
      </w:r>
      <w:r w:rsidR="001568B3">
        <w:rPr>
          <w:color w:val="auto"/>
        </w:rPr>
        <w:t xml:space="preserve">(TRPTD) </w:t>
      </w:r>
      <w:r w:rsidRPr="00AD0647">
        <w:rPr>
          <w:color w:val="auto"/>
        </w:rPr>
        <w:t xml:space="preserve">is the policy lead for the policy </w:t>
      </w:r>
      <w:r w:rsidR="00B90CF4" w:rsidRPr="00AD0647">
        <w:rPr>
          <w:color w:val="auto"/>
        </w:rPr>
        <w:t xml:space="preserve">area </w:t>
      </w:r>
      <w:r w:rsidRPr="00AD0647">
        <w:rPr>
          <w:color w:val="auto"/>
        </w:rPr>
        <w:t>relating to NITHC’s business</w:t>
      </w:r>
      <w:r w:rsidR="005C693B">
        <w:rPr>
          <w:color w:val="auto"/>
        </w:rPr>
        <w:t>.</w:t>
      </w:r>
    </w:p>
    <w:p w14:paraId="6C7D1F5B" w14:textId="350B292B" w:rsidR="00C673A9" w:rsidRPr="005C5283" w:rsidRDefault="005C693B" w:rsidP="005C5283">
      <w:pPr>
        <w:ind w:left="959" w:right="60" w:firstLine="0"/>
      </w:pPr>
      <w:r w:rsidRPr="005C5283">
        <w:t xml:space="preserve">The Director of </w:t>
      </w:r>
      <w:r w:rsidR="003537A8" w:rsidRPr="005C5283">
        <w:t xml:space="preserve">PTO </w:t>
      </w:r>
      <w:r w:rsidRPr="005C5283">
        <w:t xml:space="preserve">is the operational lead </w:t>
      </w:r>
      <w:r w:rsidR="00C673A9" w:rsidRPr="005C5283">
        <w:t>and has a clear understanding of NITHC’s responsibilities for policy implementation</w:t>
      </w:r>
      <w:r w:rsidR="00813A4B" w:rsidRPr="005C5283">
        <w:t xml:space="preserve"> </w:t>
      </w:r>
      <w:r w:rsidR="00C673A9" w:rsidRPr="005C5283">
        <w:t>/</w:t>
      </w:r>
      <w:r w:rsidR="00813A4B" w:rsidRPr="005C5283">
        <w:t xml:space="preserve"> </w:t>
      </w:r>
      <w:r w:rsidR="00C673A9" w:rsidRPr="005C5283">
        <w:t>operational delivery and the relevant audiences</w:t>
      </w:r>
      <w:r w:rsidR="00813A4B" w:rsidRPr="005C5283">
        <w:t xml:space="preserve"> </w:t>
      </w:r>
      <w:r w:rsidR="00C673A9" w:rsidRPr="005C5283">
        <w:t>/</w:t>
      </w:r>
      <w:r w:rsidR="00813A4B" w:rsidRPr="005C5283">
        <w:t xml:space="preserve"> </w:t>
      </w:r>
      <w:r w:rsidR="00C673A9" w:rsidRPr="005C5283">
        <w:t>stakeholders involved</w:t>
      </w:r>
      <w:r w:rsidR="004942C7" w:rsidRPr="005C5283">
        <w:t xml:space="preserve">. </w:t>
      </w:r>
    </w:p>
    <w:p w14:paraId="1728E7B0" w14:textId="77777777" w:rsidR="00C673A9" w:rsidRPr="00AD0647" w:rsidRDefault="00C673A9" w:rsidP="00C673A9">
      <w:pPr>
        <w:spacing w:after="117" w:line="259" w:lineRule="auto"/>
        <w:ind w:left="771" w:firstLine="0"/>
        <w:jc w:val="left"/>
      </w:pPr>
      <w:r w:rsidRPr="00AD0647">
        <w:t xml:space="preserve"> </w:t>
      </w:r>
    </w:p>
    <w:p w14:paraId="174D07B5" w14:textId="4A50AA7E" w:rsidR="00C673A9" w:rsidRPr="00AD0647" w:rsidRDefault="00C673A9" w:rsidP="00871966">
      <w:pPr>
        <w:pStyle w:val="ListParagraph"/>
        <w:numPr>
          <w:ilvl w:val="1"/>
          <w:numId w:val="42"/>
        </w:numPr>
        <w:spacing w:after="120" w:line="367" w:lineRule="auto"/>
        <w:ind w:left="958" w:right="62" w:hanging="567"/>
      </w:pPr>
      <w:r w:rsidRPr="00871966">
        <w:rPr>
          <w:color w:val="auto"/>
        </w:rPr>
        <w:t xml:space="preserve">The </w:t>
      </w:r>
      <w:r w:rsidR="00B90CF4" w:rsidRPr="00871966">
        <w:rPr>
          <w:color w:val="auto"/>
        </w:rPr>
        <w:t xml:space="preserve">Director of </w:t>
      </w:r>
      <w:r w:rsidR="00906516" w:rsidRPr="00871966">
        <w:rPr>
          <w:color w:val="auto"/>
        </w:rPr>
        <w:t>PT</w:t>
      </w:r>
      <w:r w:rsidR="00114077" w:rsidRPr="00871966">
        <w:rPr>
          <w:color w:val="auto"/>
        </w:rPr>
        <w:t>O</w:t>
      </w:r>
      <w:r w:rsidRPr="00871966">
        <w:rPr>
          <w:color w:val="auto"/>
        </w:rPr>
        <w:t xml:space="preserve"> will ensure that where there are </w:t>
      </w:r>
      <w:r w:rsidR="008352A1" w:rsidRPr="00871966">
        <w:rPr>
          <w:color w:val="auto"/>
        </w:rPr>
        <w:t xml:space="preserve">DfI </w:t>
      </w:r>
      <w:r w:rsidRPr="00871966">
        <w:rPr>
          <w:color w:val="auto"/>
        </w:rPr>
        <w:t>staff changes, time is taken to ensure they have a full understanding of NITHC’s business and challenges</w:t>
      </w:r>
      <w:r w:rsidR="004942C7" w:rsidRPr="00871966">
        <w:rPr>
          <w:color w:val="auto"/>
        </w:rPr>
        <w:t xml:space="preserve">. </w:t>
      </w:r>
    </w:p>
    <w:p w14:paraId="012D6A26" w14:textId="77777777" w:rsidR="00C673A9" w:rsidRPr="00AD0647" w:rsidRDefault="00C673A9" w:rsidP="00C673A9">
      <w:pPr>
        <w:spacing w:after="117" w:line="259" w:lineRule="auto"/>
        <w:ind w:left="975" w:firstLine="0"/>
        <w:jc w:val="left"/>
      </w:pPr>
      <w:r w:rsidRPr="00AD0647">
        <w:t xml:space="preserve"> </w:t>
      </w:r>
    </w:p>
    <w:p w14:paraId="464DDA8B" w14:textId="61D3D50E" w:rsidR="00C673A9" w:rsidRPr="00AD0647" w:rsidRDefault="00C673A9" w:rsidP="00871966">
      <w:pPr>
        <w:pStyle w:val="Heading2"/>
        <w:numPr>
          <w:ilvl w:val="0"/>
          <w:numId w:val="42"/>
        </w:numPr>
        <w:tabs>
          <w:tab w:val="center" w:pos="509"/>
          <w:tab w:val="left" w:pos="993"/>
          <w:tab w:val="center" w:pos="1561"/>
        </w:tabs>
      </w:pPr>
      <w:bookmarkStart w:id="15" w:name="_Toc74643001"/>
      <w:r w:rsidRPr="00AD0647">
        <w:t>Engagement Plan</w:t>
      </w:r>
      <w:bookmarkEnd w:id="15"/>
      <w:r w:rsidRPr="00AD0647">
        <w:t xml:space="preserve">  </w:t>
      </w:r>
    </w:p>
    <w:p w14:paraId="33C5DCD1" w14:textId="77777777" w:rsidR="00C673A9" w:rsidRPr="00AD0647" w:rsidRDefault="00C673A9" w:rsidP="00C673A9">
      <w:pPr>
        <w:spacing w:after="115" w:line="259" w:lineRule="auto"/>
        <w:ind w:left="975" w:firstLine="0"/>
        <w:jc w:val="left"/>
        <w:rPr>
          <w:color w:val="auto"/>
        </w:rPr>
      </w:pPr>
      <w:r w:rsidRPr="00AD0647">
        <w:rPr>
          <w:color w:val="auto"/>
        </w:rPr>
        <w:t xml:space="preserve"> </w:t>
      </w:r>
    </w:p>
    <w:p w14:paraId="48B50675" w14:textId="43FB2233" w:rsidR="00C673A9" w:rsidRPr="00AD0647" w:rsidRDefault="00550C19" w:rsidP="00871966">
      <w:pPr>
        <w:pStyle w:val="ListParagraph"/>
        <w:numPr>
          <w:ilvl w:val="1"/>
          <w:numId w:val="42"/>
        </w:numPr>
        <w:spacing w:after="120" w:line="367" w:lineRule="auto"/>
        <w:ind w:left="958" w:right="62" w:hanging="567"/>
        <w:rPr>
          <w:color w:val="auto"/>
        </w:rPr>
      </w:pPr>
      <w:r w:rsidRPr="00AD0647">
        <w:rPr>
          <w:color w:val="auto"/>
        </w:rPr>
        <w:t xml:space="preserve">DfI </w:t>
      </w:r>
      <w:r w:rsidR="00C673A9" w:rsidRPr="00AD0647">
        <w:rPr>
          <w:color w:val="auto"/>
        </w:rPr>
        <w:t xml:space="preserve">and NITHC will </w:t>
      </w:r>
      <w:r w:rsidR="006F151A" w:rsidRPr="00AD0647">
        <w:rPr>
          <w:color w:val="auto"/>
        </w:rPr>
        <w:t>review</w:t>
      </w:r>
      <w:r w:rsidR="00041926" w:rsidRPr="00AD0647">
        <w:rPr>
          <w:color w:val="auto"/>
        </w:rPr>
        <w:t xml:space="preserve"> and </w:t>
      </w:r>
      <w:r w:rsidR="00C673A9" w:rsidRPr="00AD0647">
        <w:rPr>
          <w:color w:val="auto"/>
        </w:rPr>
        <w:t>agree</w:t>
      </w:r>
      <w:r w:rsidR="00B71A2B" w:rsidRPr="00AD0647">
        <w:rPr>
          <w:color w:val="auto"/>
        </w:rPr>
        <w:t xml:space="preserve"> </w:t>
      </w:r>
      <w:r w:rsidR="00C673A9" w:rsidRPr="00AD0647">
        <w:rPr>
          <w:color w:val="auto"/>
        </w:rPr>
        <w:t xml:space="preserve">an </w:t>
      </w:r>
      <w:r w:rsidR="00D62D54" w:rsidRPr="00AD0647">
        <w:rPr>
          <w:color w:val="auto"/>
        </w:rPr>
        <w:t>E</w:t>
      </w:r>
      <w:r w:rsidR="00C673A9" w:rsidRPr="00AD0647">
        <w:rPr>
          <w:color w:val="auto"/>
        </w:rPr>
        <w:t xml:space="preserve">ngagement </w:t>
      </w:r>
      <w:r w:rsidR="00D62D54" w:rsidRPr="00AD0647">
        <w:rPr>
          <w:color w:val="auto"/>
        </w:rPr>
        <w:t>P</w:t>
      </w:r>
      <w:r w:rsidR="00C673A9" w:rsidRPr="00AD0647">
        <w:rPr>
          <w:color w:val="auto"/>
        </w:rPr>
        <w:t>lan</w:t>
      </w:r>
      <w:r w:rsidR="006406B8" w:rsidRPr="00AD0647">
        <w:rPr>
          <w:color w:val="auto"/>
        </w:rPr>
        <w:t>.</w:t>
      </w:r>
      <w:r w:rsidR="00C673A9" w:rsidRPr="00AD0647">
        <w:rPr>
          <w:color w:val="auto"/>
        </w:rPr>
        <w:t xml:space="preserve"> The Engagement Plan (</w:t>
      </w:r>
      <w:r w:rsidR="005F11C9" w:rsidRPr="00AD0647">
        <w:rPr>
          <w:color w:val="auto"/>
        </w:rPr>
        <w:t xml:space="preserve">set out at </w:t>
      </w:r>
      <w:r w:rsidR="00C673A9" w:rsidRPr="00AD0647">
        <w:rPr>
          <w:color w:val="auto"/>
        </w:rPr>
        <w:t>Annex</w:t>
      </w:r>
      <w:r w:rsidR="00F705F7">
        <w:rPr>
          <w:color w:val="auto"/>
        </w:rPr>
        <w:t xml:space="preserve"> </w:t>
      </w:r>
      <w:r w:rsidR="00AC076D">
        <w:rPr>
          <w:color w:val="auto"/>
        </w:rPr>
        <w:t>1</w:t>
      </w:r>
      <w:r w:rsidR="00C673A9" w:rsidRPr="00AD0647">
        <w:rPr>
          <w:color w:val="auto"/>
        </w:rPr>
        <w:t xml:space="preserve">) will set out the timing and nature of engagement between NITHC </w:t>
      </w:r>
      <w:r w:rsidR="008B49A3" w:rsidRPr="00AD0647">
        <w:rPr>
          <w:color w:val="auto"/>
        </w:rPr>
        <w:t>and D</w:t>
      </w:r>
      <w:r w:rsidR="00502F72" w:rsidRPr="00AD0647">
        <w:rPr>
          <w:color w:val="auto"/>
        </w:rPr>
        <w:t>f</w:t>
      </w:r>
      <w:r w:rsidR="008B49A3" w:rsidRPr="00AD0647">
        <w:rPr>
          <w:color w:val="auto"/>
        </w:rPr>
        <w:t>I</w:t>
      </w:r>
      <w:r w:rsidR="00C673A9" w:rsidRPr="00AD0647">
        <w:rPr>
          <w:color w:val="auto"/>
        </w:rPr>
        <w:t>.</w:t>
      </w:r>
      <w:r w:rsidR="00C673A9" w:rsidRPr="00AD0647">
        <w:rPr>
          <w:i/>
          <w:color w:val="auto"/>
        </w:rPr>
        <w:t xml:space="preserve"> </w:t>
      </w:r>
      <w:r w:rsidR="00C673A9" w:rsidRPr="00AD0647">
        <w:rPr>
          <w:color w:val="auto"/>
        </w:rPr>
        <w:t xml:space="preserve">The </w:t>
      </w:r>
      <w:r w:rsidRPr="00AD0647">
        <w:rPr>
          <w:color w:val="auto"/>
        </w:rPr>
        <w:t>E</w:t>
      </w:r>
      <w:r w:rsidR="00C673A9" w:rsidRPr="00AD0647">
        <w:rPr>
          <w:color w:val="auto"/>
        </w:rPr>
        <w:t xml:space="preserve">ngagement </w:t>
      </w:r>
      <w:r w:rsidRPr="00AD0647">
        <w:rPr>
          <w:color w:val="auto"/>
        </w:rPr>
        <w:t>P</w:t>
      </w:r>
      <w:r w:rsidR="00C673A9" w:rsidRPr="00AD0647">
        <w:rPr>
          <w:color w:val="auto"/>
        </w:rPr>
        <w:t>lan will be specific to NITHC and should not stray into operational oversight</w:t>
      </w:r>
      <w:r w:rsidR="004942C7" w:rsidRPr="00AD0647">
        <w:rPr>
          <w:color w:val="auto"/>
        </w:rPr>
        <w:t xml:space="preserve">. </w:t>
      </w:r>
    </w:p>
    <w:p w14:paraId="63C589BF" w14:textId="77777777" w:rsidR="00C673A9" w:rsidRPr="00AD0647" w:rsidRDefault="00C673A9" w:rsidP="00C673A9">
      <w:pPr>
        <w:spacing w:after="0" w:line="259" w:lineRule="auto"/>
        <w:ind w:left="975" w:firstLine="0"/>
        <w:jc w:val="left"/>
        <w:rPr>
          <w:color w:val="auto"/>
        </w:rPr>
      </w:pPr>
      <w:r w:rsidRPr="00AD0647">
        <w:rPr>
          <w:color w:val="auto"/>
        </w:rPr>
        <w:t xml:space="preserve"> </w:t>
      </w:r>
    </w:p>
    <w:p w14:paraId="2C425D06" w14:textId="23E7100B" w:rsidR="00C673A9" w:rsidRPr="00AD0647" w:rsidRDefault="00C673A9" w:rsidP="00871966">
      <w:pPr>
        <w:pStyle w:val="ListParagraph"/>
        <w:numPr>
          <w:ilvl w:val="1"/>
          <w:numId w:val="42"/>
        </w:numPr>
        <w:spacing w:after="120" w:line="367" w:lineRule="auto"/>
        <w:ind w:left="958" w:right="62" w:hanging="567"/>
        <w:rPr>
          <w:color w:val="auto"/>
        </w:rPr>
      </w:pPr>
      <w:r w:rsidRPr="00AD0647">
        <w:rPr>
          <w:color w:val="auto"/>
        </w:rPr>
        <w:t xml:space="preserve">Engagement between </w:t>
      </w:r>
      <w:r w:rsidR="005F11C9" w:rsidRPr="00AD0647">
        <w:rPr>
          <w:color w:val="auto"/>
        </w:rPr>
        <w:t xml:space="preserve">the Director of </w:t>
      </w:r>
      <w:r w:rsidR="00906516" w:rsidRPr="00AD0647">
        <w:rPr>
          <w:color w:val="auto"/>
        </w:rPr>
        <w:t>PT</w:t>
      </w:r>
      <w:r w:rsidR="00114077">
        <w:rPr>
          <w:color w:val="auto"/>
        </w:rPr>
        <w:t>O</w:t>
      </w:r>
      <w:r w:rsidR="005F11C9" w:rsidRPr="00AD0647">
        <w:rPr>
          <w:color w:val="auto"/>
        </w:rPr>
        <w:t xml:space="preserve">, </w:t>
      </w:r>
      <w:r w:rsidRPr="00AD0647">
        <w:rPr>
          <w:color w:val="auto"/>
        </w:rPr>
        <w:t>their team and NITHC will be centred on partnership working, understanding of shared risks and working together on business developments that align with policy objectives</w:t>
      </w:r>
      <w:r w:rsidR="004942C7" w:rsidRPr="00AD0647">
        <w:rPr>
          <w:color w:val="auto"/>
        </w:rPr>
        <w:t xml:space="preserve">. </w:t>
      </w:r>
    </w:p>
    <w:p w14:paraId="08F77398" w14:textId="77777777" w:rsidR="00C673A9" w:rsidRPr="00AD0647" w:rsidRDefault="00C673A9" w:rsidP="00C673A9">
      <w:pPr>
        <w:spacing w:after="116" w:line="259" w:lineRule="auto"/>
        <w:ind w:left="771" w:firstLine="0"/>
        <w:jc w:val="left"/>
      </w:pPr>
      <w:r w:rsidRPr="00AD0647">
        <w:t xml:space="preserve"> </w:t>
      </w:r>
    </w:p>
    <w:p w14:paraId="181A3B7A" w14:textId="75FA533E" w:rsidR="00C673A9" w:rsidRPr="00AD0647" w:rsidRDefault="00C673A9" w:rsidP="00871966">
      <w:pPr>
        <w:pStyle w:val="ListParagraph"/>
        <w:numPr>
          <w:ilvl w:val="1"/>
          <w:numId w:val="42"/>
        </w:numPr>
        <w:spacing w:after="120" w:line="367" w:lineRule="auto"/>
        <w:ind w:left="958" w:right="62" w:hanging="567"/>
      </w:pPr>
      <w:r w:rsidRPr="00AD0647">
        <w:rPr>
          <w:color w:val="auto"/>
        </w:rPr>
        <w:t>In line with relevant guidance</w:t>
      </w:r>
      <w:r w:rsidRPr="00AD0647">
        <w:rPr>
          <w:color w:val="auto"/>
          <w:vertAlign w:val="superscript"/>
        </w:rPr>
        <w:footnoteReference w:id="16"/>
      </w:r>
      <w:r w:rsidRPr="00AD0647">
        <w:rPr>
          <w:color w:val="auto"/>
        </w:rPr>
        <w:t xml:space="preserve">, NITHC will work in collaboration and partnership with </w:t>
      </w:r>
      <w:r w:rsidR="00AA5ECC" w:rsidRPr="00AD0647">
        <w:rPr>
          <w:color w:val="auto"/>
        </w:rPr>
        <w:t xml:space="preserve">DfI </w:t>
      </w:r>
      <w:r w:rsidRPr="00AD0647">
        <w:rPr>
          <w:color w:val="auto"/>
        </w:rPr>
        <w:t xml:space="preserve">to prepare corporate and business plans. There should be </w:t>
      </w:r>
      <w:r w:rsidR="00E21D54" w:rsidRPr="00AD0647">
        <w:rPr>
          <w:color w:val="auto"/>
        </w:rPr>
        <w:t>good strategic</w:t>
      </w:r>
      <w:r w:rsidRPr="00AD0647">
        <w:rPr>
          <w:color w:val="auto"/>
        </w:rPr>
        <w:t xml:space="preserve"> alignment between </w:t>
      </w:r>
      <w:r w:rsidR="00AA5ECC" w:rsidRPr="00AD0647">
        <w:rPr>
          <w:color w:val="auto"/>
        </w:rPr>
        <w:t xml:space="preserve">DfI’s </w:t>
      </w:r>
      <w:r w:rsidRPr="00AD0647">
        <w:rPr>
          <w:color w:val="auto"/>
        </w:rPr>
        <w:t>and NITHC</w:t>
      </w:r>
      <w:r w:rsidR="00AA5ECC" w:rsidRPr="00AD0647">
        <w:rPr>
          <w:color w:val="auto"/>
        </w:rPr>
        <w:t>’s</w:t>
      </w:r>
      <w:r w:rsidRPr="00AD0647">
        <w:rPr>
          <w:color w:val="auto"/>
        </w:rPr>
        <w:t xml:space="preserve"> plans. Once approved it will be the Board of NITHC that primarily holds the Chief Executive to account for delivery and performance. </w:t>
      </w:r>
      <w:r w:rsidR="00AA5ECC" w:rsidRPr="00AD0647">
        <w:rPr>
          <w:color w:val="auto"/>
        </w:rPr>
        <w:t>DfI</w:t>
      </w:r>
      <w:r w:rsidRPr="00AD0647">
        <w:rPr>
          <w:color w:val="auto"/>
        </w:rPr>
        <w:t xml:space="preserve"> will engage with NITHC on </w:t>
      </w:r>
      <w:r w:rsidRPr="00871966">
        <w:t>areas</w:t>
      </w:r>
      <w:r w:rsidRPr="00AD0647">
        <w:rPr>
          <w:color w:val="auto"/>
        </w:rPr>
        <w:t xml:space="preserve"> of strategic interest, linking </w:t>
      </w:r>
      <w:r w:rsidR="008352A1" w:rsidRPr="00AD0647">
        <w:rPr>
          <w:color w:val="auto"/>
        </w:rPr>
        <w:t xml:space="preserve">DfI </w:t>
      </w:r>
      <w:r w:rsidRPr="00AD0647">
        <w:rPr>
          <w:color w:val="auto"/>
        </w:rPr>
        <w:t>policy and</w:t>
      </w:r>
      <w:r w:rsidR="004340C9" w:rsidRPr="00AD0647">
        <w:rPr>
          <w:color w:val="auto"/>
        </w:rPr>
        <w:t xml:space="preserve"> NITHC delivery of policy intent.</w:t>
      </w:r>
    </w:p>
    <w:p w14:paraId="41688612" w14:textId="77777777" w:rsidR="00C673A9" w:rsidRPr="00AD0647" w:rsidRDefault="00C673A9" w:rsidP="00C673A9">
      <w:pPr>
        <w:spacing w:after="115" w:line="259" w:lineRule="auto"/>
        <w:ind w:left="771" w:firstLine="0"/>
        <w:jc w:val="left"/>
      </w:pPr>
      <w:r w:rsidRPr="00AD0647">
        <w:t xml:space="preserve"> </w:t>
      </w:r>
    </w:p>
    <w:p w14:paraId="3DFB933F" w14:textId="1E2372CD" w:rsidR="00C673A9" w:rsidRDefault="00C673A9" w:rsidP="00871966">
      <w:pPr>
        <w:pStyle w:val="ListParagraph"/>
        <w:numPr>
          <w:ilvl w:val="1"/>
          <w:numId w:val="42"/>
        </w:numPr>
        <w:spacing w:after="120" w:line="367" w:lineRule="auto"/>
        <w:ind w:left="958" w:right="62" w:hanging="567"/>
      </w:pPr>
      <w:r w:rsidRPr="00AD0647">
        <w:t>The Engagement Plan will also reference the agreed management and financial information to be shared over the course of a year</w:t>
      </w:r>
      <w:r w:rsidR="004942C7" w:rsidRPr="00AD0647">
        <w:t xml:space="preserve">. </w:t>
      </w:r>
      <w:r w:rsidRPr="00AD0647">
        <w:t>The aim will be to ensure clear understanding of why information is necessary and how it will be used</w:t>
      </w:r>
      <w:r w:rsidR="004942C7" w:rsidRPr="00AD0647">
        <w:t xml:space="preserve">. </w:t>
      </w:r>
      <w:r w:rsidRPr="00AD0647">
        <w:t xml:space="preserve">Where the same, or similar information is required for internal governance </w:t>
      </w:r>
      <w:r w:rsidRPr="00AD0647">
        <w:lastRenderedPageBreak/>
        <w:t>information requirements</w:t>
      </w:r>
      <w:r w:rsidR="004340C9" w:rsidRPr="00AD0647">
        <w:t>, this</w:t>
      </w:r>
      <w:r w:rsidRPr="00AD0647">
        <w:t xml:space="preserve"> will be aligned so that a single report can be used for both purposes. In addition, the </w:t>
      </w:r>
      <w:r w:rsidR="005F11C9" w:rsidRPr="00AD0647">
        <w:t xml:space="preserve">Engagement Plan </w:t>
      </w:r>
      <w:r w:rsidRPr="00AD0647">
        <w:t xml:space="preserve">should consider opportunities for learning and development, growth and actions which could help achieve better outcomes. </w:t>
      </w:r>
    </w:p>
    <w:p w14:paraId="0B641692" w14:textId="77777777" w:rsidR="00114077" w:rsidRPr="00AD0647" w:rsidRDefault="00114077" w:rsidP="003E5315">
      <w:pPr>
        <w:ind w:left="959" w:right="60" w:hanging="566"/>
      </w:pPr>
    </w:p>
    <w:p w14:paraId="774CBB63" w14:textId="1F648F9E" w:rsidR="00C673A9" w:rsidRPr="00AD0647" w:rsidRDefault="00C673A9" w:rsidP="00871966">
      <w:pPr>
        <w:pStyle w:val="Heading2"/>
        <w:numPr>
          <w:ilvl w:val="0"/>
          <w:numId w:val="42"/>
        </w:numPr>
        <w:tabs>
          <w:tab w:val="center" w:pos="509"/>
          <w:tab w:val="left" w:pos="993"/>
          <w:tab w:val="center" w:pos="1561"/>
        </w:tabs>
      </w:pPr>
      <w:bookmarkStart w:id="16" w:name="_Toc74643002"/>
      <w:r w:rsidRPr="00AD0647">
        <w:t>D</w:t>
      </w:r>
      <w:r w:rsidR="00FF2F9C">
        <w:t>epartmental</w:t>
      </w:r>
      <w:r w:rsidRPr="00AD0647">
        <w:t xml:space="preserve"> Accounting Officer</w:t>
      </w:r>
      <w:bookmarkEnd w:id="16"/>
      <w:r w:rsidRPr="00AD0647">
        <w:t xml:space="preserve"> </w:t>
      </w:r>
    </w:p>
    <w:p w14:paraId="55BDCD8F" w14:textId="77777777" w:rsidR="00C673A9" w:rsidRPr="00AD0647" w:rsidRDefault="00C673A9" w:rsidP="00C673A9">
      <w:pPr>
        <w:spacing w:after="117" w:line="259" w:lineRule="auto"/>
        <w:ind w:left="408" w:firstLine="0"/>
        <w:jc w:val="left"/>
      </w:pPr>
      <w:r w:rsidRPr="00AD0647">
        <w:rPr>
          <w:b/>
          <w:color w:val="374C80"/>
        </w:rPr>
        <w:t xml:space="preserve"> </w:t>
      </w:r>
    </w:p>
    <w:p w14:paraId="6D83C5E2" w14:textId="2EE363B8" w:rsidR="00C673A9" w:rsidRPr="00AD0647" w:rsidRDefault="00C673A9" w:rsidP="00871966">
      <w:pPr>
        <w:pStyle w:val="ListParagraph"/>
        <w:numPr>
          <w:ilvl w:val="1"/>
          <w:numId w:val="42"/>
        </w:numPr>
        <w:spacing w:after="120" w:line="367" w:lineRule="auto"/>
        <w:ind w:left="958" w:right="62" w:hanging="567"/>
      </w:pPr>
      <w:r w:rsidRPr="00AD0647">
        <w:rPr>
          <w:color w:val="auto"/>
        </w:rPr>
        <w:t>The Permanent Secretary</w:t>
      </w:r>
      <w:r w:rsidR="007D60D8" w:rsidRPr="00AD0647">
        <w:rPr>
          <w:color w:val="auto"/>
        </w:rPr>
        <w:t>,</w:t>
      </w:r>
      <w:r w:rsidRPr="00AD0647">
        <w:rPr>
          <w:color w:val="auto"/>
        </w:rPr>
        <w:t xml:space="preserve"> as </w:t>
      </w:r>
      <w:r w:rsidR="00550C19" w:rsidRPr="00AD0647">
        <w:rPr>
          <w:color w:val="auto"/>
        </w:rPr>
        <w:t xml:space="preserve">DfI’s </w:t>
      </w:r>
      <w:r w:rsidRPr="00AD0647">
        <w:rPr>
          <w:color w:val="auto"/>
        </w:rPr>
        <w:t>Principal Accounting Officer</w:t>
      </w:r>
      <w:r w:rsidR="007D60D8" w:rsidRPr="00AD0647">
        <w:rPr>
          <w:color w:val="auto"/>
        </w:rPr>
        <w:t>,</w:t>
      </w:r>
      <w:r w:rsidRPr="00AD0647">
        <w:rPr>
          <w:color w:val="auto"/>
        </w:rPr>
        <w:t xml:space="preserve"> is accountable to the NI Assembly for the issue of grant in aid to NITHC</w:t>
      </w:r>
      <w:r w:rsidR="004942C7" w:rsidRPr="00AD0647">
        <w:rPr>
          <w:color w:val="auto"/>
        </w:rPr>
        <w:t xml:space="preserve">. </w:t>
      </w:r>
      <w:r w:rsidR="005F11C9" w:rsidRPr="00F650AC">
        <w:rPr>
          <w:color w:val="auto"/>
        </w:rPr>
        <w:t>The Permanent Secretary</w:t>
      </w:r>
      <w:r w:rsidRPr="00F650AC">
        <w:rPr>
          <w:color w:val="auto"/>
        </w:rPr>
        <w:t xml:space="preserve"> has</w:t>
      </w:r>
      <w:r w:rsidRPr="00AD0647">
        <w:rPr>
          <w:color w:val="auto"/>
        </w:rPr>
        <w:t xml:space="preserve"> designated the Chief Executive of NITHC as NITHC</w:t>
      </w:r>
      <w:r w:rsidR="00837E58" w:rsidRPr="00AD0647">
        <w:rPr>
          <w:color w:val="auto"/>
        </w:rPr>
        <w:t>’s</w:t>
      </w:r>
      <w:r w:rsidRPr="00AD0647">
        <w:rPr>
          <w:color w:val="auto"/>
        </w:rPr>
        <w:t xml:space="preserve"> Accounting Officer</w:t>
      </w:r>
      <w:r w:rsidR="005F11C9" w:rsidRPr="00AD0647">
        <w:rPr>
          <w:color w:val="auto"/>
        </w:rPr>
        <w:t>.</w:t>
      </w:r>
      <w:r w:rsidRPr="00AD0647">
        <w:rPr>
          <w:color w:val="auto"/>
        </w:rPr>
        <w:t xml:space="preserve"> </w:t>
      </w:r>
      <w:r w:rsidR="005F11C9" w:rsidRPr="00AD0647">
        <w:rPr>
          <w:color w:val="auto"/>
        </w:rPr>
        <w:t xml:space="preserve">The </w:t>
      </w:r>
      <w:r w:rsidRPr="00AD0647">
        <w:rPr>
          <w:color w:val="auto"/>
        </w:rPr>
        <w:t xml:space="preserve">respective responsibilities of </w:t>
      </w:r>
      <w:r w:rsidR="00837E58" w:rsidRPr="00AD0647">
        <w:rPr>
          <w:color w:val="auto"/>
        </w:rPr>
        <w:t xml:space="preserve">DfI’s </w:t>
      </w:r>
      <w:r w:rsidRPr="00AD0647">
        <w:rPr>
          <w:color w:val="auto"/>
        </w:rPr>
        <w:t xml:space="preserve">Accounting Officer </w:t>
      </w:r>
      <w:r w:rsidR="00931D52" w:rsidRPr="00AD0647">
        <w:rPr>
          <w:color w:val="auto"/>
        </w:rPr>
        <w:t>and NITHC’s</w:t>
      </w:r>
      <w:r w:rsidRPr="00AD0647">
        <w:rPr>
          <w:color w:val="auto"/>
        </w:rPr>
        <w:t xml:space="preserve"> Accounting Officer are set out in Chapter 3 of</w:t>
      </w:r>
      <w:r w:rsidR="00AC5871" w:rsidRPr="00AD0647">
        <w:rPr>
          <w:color w:val="auto"/>
        </w:rPr>
        <w:t xml:space="preserve"> MPMNI</w:t>
      </w:r>
      <w:r w:rsidR="004942C7" w:rsidRPr="00AD0647">
        <w:rPr>
          <w:color w:val="auto"/>
        </w:rPr>
        <w:t xml:space="preserve">. </w:t>
      </w:r>
      <w:r w:rsidR="00837E58" w:rsidRPr="00AD0647">
        <w:rPr>
          <w:color w:val="auto"/>
        </w:rPr>
        <w:t xml:space="preserve">DfI’s </w:t>
      </w:r>
      <w:r w:rsidRPr="00AD0647">
        <w:rPr>
          <w:color w:val="auto"/>
        </w:rPr>
        <w:t>Accounting Officer may withdraw NITHC</w:t>
      </w:r>
      <w:r w:rsidR="00A5517F" w:rsidRPr="00AD0647">
        <w:rPr>
          <w:color w:val="auto"/>
        </w:rPr>
        <w:t>’s</w:t>
      </w:r>
      <w:r w:rsidRPr="00AD0647">
        <w:rPr>
          <w:color w:val="auto"/>
        </w:rPr>
        <w:t xml:space="preserve"> Accounting Officer designation if </w:t>
      </w:r>
      <w:r w:rsidR="005F11C9" w:rsidRPr="00AD0647">
        <w:rPr>
          <w:color w:val="auto"/>
        </w:rPr>
        <w:t>they</w:t>
      </w:r>
      <w:r w:rsidRPr="00AD0647">
        <w:rPr>
          <w:color w:val="auto"/>
        </w:rPr>
        <w:t xml:space="preserve"> conclude </w:t>
      </w:r>
      <w:r w:rsidR="00931D52" w:rsidRPr="00AD0647">
        <w:rPr>
          <w:color w:val="auto"/>
        </w:rPr>
        <w:t>that NITHC’s</w:t>
      </w:r>
      <w:r w:rsidRPr="00AD0647">
        <w:rPr>
          <w:color w:val="auto"/>
        </w:rPr>
        <w:t xml:space="preserve"> Accounting Officer is no longer a fit person to carry out the responsibilities of an Accounting Officer or that it is otherwise in the public interest that the designation be withdrawn. In such </w:t>
      </w:r>
      <w:r w:rsidR="00931D52" w:rsidRPr="00AD0647">
        <w:rPr>
          <w:color w:val="auto"/>
        </w:rPr>
        <w:t>circumstances NITHC’s</w:t>
      </w:r>
      <w:r w:rsidRPr="00AD0647">
        <w:rPr>
          <w:color w:val="auto"/>
        </w:rPr>
        <w:t xml:space="preserve"> Board will be given a full account of the reasons for withdrawal and a chance to make representations</w:t>
      </w:r>
      <w:r w:rsidR="004942C7" w:rsidRPr="00AD0647">
        <w:rPr>
          <w:color w:val="auto"/>
        </w:rPr>
        <w:t xml:space="preserve">. </w:t>
      </w:r>
      <w:r w:rsidRPr="00AD0647">
        <w:rPr>
          <w:color w:val="auto"/>
        </w:rPr>
        <w:t>Withdrawal of NITHC</w:t>
      </w:r>
      <w:r w:rsidR="00A5517F" w:rsidRPr="00AD0647">
        <w:rPr>
          <w:color w:val="auto"/>
        </w:rPr>
        <w:t>’s</w:t>
      </w:r>
      <w:r w:rsidRPr="00AD0647">
        <w:rPr>
          <w:color w:val="auto"/>
        </w:rPr>
        <w:t xml:space="preserve"> Accounting Officer status would bring into question employment as Chief Executive and the Chair should engage with </w:t>
      </w:r>
      <w:r w:rsidR="001F3811" w:rsidRPr="00AD0647">
        <w:rPr>
          <w:color w:val="auto"/>
        </w:rPr>
        <w:t>DfI</w:t>
      </w:r>
      <w:r w:rsidR="008B49A3" w:rsidRPr="00AD0647">
        <w:rPr>
          <w:color w:val="auto"/>
        </w:rPr>
        <w:t xml:space="preserve"> </w:t>
      </w:r>
      <w:r w:rsidRPr="00AD0647">
        <w:rPr>
          <w:color w:val="auto"/>
        </w:rPr>
        <w:t xml:space="preserve">should such circumstances arise. </w:t>
      </w:r>
    </w:p>
    <w:p w14:paraId="734B4E42" w14:textId="77777777" w:rsidR="00C673A9" w:rsidRPr="00AD0647" w:rsidRDefault="00C673A9" w:rsidP="00C673A9">
      <w:pPr>
        <w:spacing w:after="115" w:line="259" w:lineRule="auto"/>
        <w:ind w:left="975" w:firstLine="0"/>
        <w:jc w:val="left"/>
      </w:pPr>
      <w:r w:rsidRPr="00AD0647">
        <w:t xml:space="preserve"> </w:t>
      </w:r>
    </w:p>
    <w:p w14:paraId="2B062E31" w14:textId="4CDA1E2C" w:rsidR="00C673A9" w:rsidRPr="00AD0647" w:rsidRDefault="00C673A9" w:rsidP="00871966">
      <w:pPr>
        <w:pStyle w:val="ListParagraph"/>
        <w:numPr>
          <w:ilvl w:val="1"/>
          <w:numId w:val="42"/>
        </w:numPr>
        <w:spacing w:after="120" w:line="367" w:lineRule="auto"/>
        <w:ind w:left="958" w:right="62" w:hanging="567"/>
        <w:rPr>
          <w:color w:val="auto"/>
        </w:rPr>
      </w:pPr>
      <w:r w:rsidRPr="00AD0647">
        <w:rPr>
          <w:color w:val="auto"/>
        </w:rPr>
        <w:t>As outlined in section 8, NITHC</w:t>
      </w:r>
      <w:r w:rsidR="00A5517F" w:rsidRPr="00AD0647">
        <w:rPr>
          <w:color w:val="auto"/>
        </w:rPr>
        <w:t>’s</w:t>
      </w:r>
      <w:r w:rsidRPr="00AD0647">
        <w:rPr>
          <w:color w:val="auto"/>
        </w:rPr>
        <w:t xml:space="preserve"> Chief Executive is accountable to NITHC</w:t>
      </w:r>
      <w:r w:rsidR="00A5517F" w:rsidRPr="00AD0647">
        <w:rPr>
          <w:color w:val="auto"/>
        </w:rPr>
        <w:t>’s</w:t>
      </w:r>
      <w:r w:rsidRPr="00AD0647">
        <w:rPr>
          <w:color w:val="auto"/>
        </w:rPr>
        <w:t xml:space="preserve"> Board for </w:t>
      </w:r>
      <w:r w:rsidR="005F11C9" w:rsidRPr="00AD0647">
        <w:rPr>
          <w:color w:val="auto"/>
        </w:rPr>
        <w:t>their</w:t>
      </w:r>
      <w:r w:rsidRPr="00AD0647">
        <w:rPr>
          <w:color w:val="auto"/>
        </w:rPr>
        <w:t xml:space="preserve"> stewardship of NITHC</w:t>
      </w:r>
      <w:r w:rsidR="004942C7" w:rsidRPr="00AD0647">
        <w:rPr>
          <w:color w:val="auto"/>
        </w:rPr>
        <w:t xml:space="preserve">. </w:t>
      </w:r>
      <w:r w:rsidRPr="00AD0647">
        <w:rPr>
          <w:color w:val="auto"/>
        </w:rPr>
        <w:t>This includes advising the Board on matters of financial propriety, regularity, prudent and economical administration, efficiency and effectiveness</w:t>
      </w:r>
      <w:r w:rsidR="004942C7" w:rsidRPr="00AD0647">
        <w:rPr>
          <w:color w:val="auto"/>
        </w:rPr>
        <w:t xml:space="preserve">. </w:t>
      </w:r>
    </w:p>
    <w:p w14:paraId="2726DD27" w14:textId="77777777" w:rsidR="00C673A9" w:rsidRPr="00AD0647" w:rsidRDefault="00C673A9" w:rsidP="00C673A9">
      <w:pPr>
        <w:spacing w:after="115" w:line="259" w:lineRule="auto"/>
        <w:ind w:left="771" w:firstLine="0"/>
        <w:jc w:val="left"/>
        <w:rPr>
          <w:color w:val="auto"/>
        </w:rPr>
      </w:pPr>
      <w:r w:rsidRPr="00AD0647">
        <w:rPr>
          <w:color w:val="auto"/>
        </w:rPr>
        <w:t xml:space="preserve"> </w:t>
      </w:r>
    </w:p>
    <w:p w14:paraId="18FEE25C" w14:textId="17EDEE5C" w:rsidR="00C673A9" w:rsidRPr="00AD0647" w:rsidRDefault="00837E58" w:rsidP="00871966">
      <w:pPr>
        <w:pStyle w:val="ListParagraph"/>
        <w:numPr>
          <w:ilvl w:val="1"/>
          <w:numId w:val="42"/>
        </w:numPr>
        <w:spacing w:after="120" w:line="367" w:lineRule="auto"/>
        <w:ind w:left="958" w:right="62" w:hanging="567"/>
        <w:rPr>
          <w:color w:val="auto"/>
        </w:rPr>
      </w:pPr>
      <w:r w:rsidRPr="00AD0647">
        <w:rPr>
          <w:color w:val="auto"/>
        </w:rPr>
        <w:t xml:space="preserve">DfI’s </w:t>
      </w:r>
      <w:r w:rsidR="00C673A9" w:rsidRPr="00AD0647">
        <w:rPr>
          <w:color w:val="auto"/>
        </w:rPr>
        <w:t xml:space="preserve">Accounting Officer must be informed in the event that the judgement </w:t>
      </w:r>
      <w:r w:rsidR="00C40E9E" w:rsidRPr="00AD0647">
        <w:rPr>
          <w:color w:val="auto"/>
        </w:rPr>
        <w:t>of NITHC’s</w:t>
      </w:r>
      <w:r w:rsidR="00C673A9" w:rsidRPr="00AD0647">
        <w:rPr>
          <w:color w:val="auto"/>
        </w:rPr>
        <w:t xml:space="preserve"> Accounting Officer (on matters for which they are responsible) is over-ridden by NITHC</w:t>
      </w:r>
      <w:r w:rsidR="00A5517F" w:rsidRPr="00AD0647">
        <w:rPr>
          <w:color w:val="auto"/>
        </w:rPr>
        <w:t>’s</w:t>
      </w:r>
      <w:r w:rsidR="00C673A9" w:rsidRPr="00AD0647">
        <w:rPr>
          <w:color w:val="auto"/>
        </w:rPr>
        <w:t xml:space="preserve"> Board. NITHC</w:t>
      </w:r>
      <w:r w:rsidR="00A5517F" w:rsidRPr="00AD0647">
        <w:rPr>
          <w:color w:val="auto"/>
        </w:rPr>
        <w:t>’s</w:t>
      </w:r>
      <w:r w:rsidR="00C673A9" w:rsidRPr="00AD0647">
        <w:rPr>
          <w:color w:val="auto"/>
        </w:rPr>
        <w:t xml:space="preserve"> Accounting Officer must also take action if NITHC</w:t>
      </w:r>
      <w:r w:rsidR="00A5517F" w:rsidRPr="00AD0647">
        <w:rPr>
          <w:color w:val="auto"/>
        </w:rPr>
        <w:t>’s</w:t>
      </w:r>
      <w:r w:rsidR="00C673A9" w:rsidRPr="00AD0647">
        <w:rPr>
          <w:color w:val="auto"/>
        </w:rPr>
        <w:t xml:space="preserve"> Board is contemplating a course that would infringe the requirement for financial propriety, regularity, prudent and economical administration, efficiency or effectiveness. In all other regards, </w:t>
      </w:r>
      <w:r w:rsidR="001F3811" w:rsidRPr="00AD0647">
        <w:rPr>
          <w:color w:val="auto"/>
        </w:rPr>
        <w:t xml:space="preserve">DfI’s </w:t>
      </w:r>
      <w:r w:rsidR="00C673A9" w:rsidRPr="00AD0647">
        <w:rPr>
          <w:color w:val="auto"/>
        </w:rPr>
        <w:t xml:space="preserve">Accounting Officer has no </w:t>
      </w:r>
      <w:r w:rsidR="006578CB" w:rsidRPr="00AD0647">
        <w:rPr>
          <w:color w:val="auto"/>
        </w:rPr>
        <w:t>day</w:t>
      </w:r>
      <w:r w:rsidR="007F6231">
        <w:rPr>
          <w:color w:val="auto"/>
        </w:rPr>
        <w:t>-</w:t>
      </w:r>
      <w:r w:rsidR="006578CB" w:rsidRPr="00AD0647">
        <w:rPr>
          <w:color w:val="auto"/>
        </w:rPr>
        <w:t>to</w:t>
      </w:r>
      <w:r w:rsidR="007F6231">
        <w:rPr>
          <w:color w:val="auto"/>
        </w:rPr>
        <w:t>-</w:t>
      </w:r>
      <w:r w:rsidR="006578CB" w:rsidRPr="00AD0647">
        <w:rPr>
          <w:color w:val="auto"/>
        </w:rPr>
        <w:t>day</w:t>
      </w:r>
      <w:r w:rsidR="00C673A9" w:rsidRPr="00AD0647">
        <w:rPr>
          <w:color w:val="auto"/>
        </w:rPr>
        <w:t xml:space="preserve"> involvement with NITHC or its’ Chief Executive</w:t>
      </w:r>
      <w:r w:rsidR="004942C7" w:rsidRPr="00AD0647">
        <w:rPr>
          <w:color w:val="auto"/>
        </w:rPr>
        <w:t xml:space="preserve">. </w:t>
      </w:r>
    </w:p>
    <w:p w14:paraId="053E97F3" w14:textId="77777777" w:rsidR="00C673A9" w:rsidRPr="00AD0647" w:rsidRDefault="00C673A9" w:rsidP="00C673A9">
      <w:pPr>
        <w:spacing w:line="360" w:lineRule="auto"/>
        <w:ind w:left="705" w:firstLine="0"/>
      </w:pPr>
    </w:p>
    <w:p w14:paraId="4D58056A" w14:textId="105BE9B5" w:rsidR="00C673A9" w:rsidRPr="00AD0647" w:rsidRDefault="00C673A9" w:rsidP="00871966">
      <w:pPr>
        <w:pStyle w:val="ListParagraph"/>
        <w:numPr>
          <w:ilvl w:val="1"/>
          <w:numId w:val="42"/>
        </w:numPr>
        <w:spacing w:after="120" w:line="367" w:lineRule="auto"/>
        <w:ind w:left="958" w:right="62" w:hanging="567"/>
        <w:rPr>
          <w:color w:val="auto"/>
        </w:rPr>
      </w:pPr>
      <w:r w:rsidRPr="00AD0647">
        <w:rPr>
          <w:color w:val="auto"/>
        </w:rPr>
        <w:t>In line with DoF requirements, NITHC</w:t>
      </w:r>
      <w:r w:rsidR="00A5517F" w:rsidRPr="00AD0647">
        <w:rPr>
          <w:color w:val="auto"/>
        </w:rPr>
        <w:t>’s</w:t>
      </w:r>
      <w:r w:rsidRPr="00AD0647">
        <w:rPr>
          <w:i/>
          <w:color w:val="auto"/>
        </w:rPr>
        <w:t xml:space="preserve"> </w:t>
      </w:r>
      <w:r w:rsidRPr="00AD0647">
        <w:rPr>
          <w:color w:val="auto"/>
        </w:rPr>
        <w:t>Ac</w:t>
      </w:r>
      <w:r w:rsidR="001106AA" w:rsidRPr="00AD0647">
        <w:rPr>
          <w:color w:val="auto"/>
        </w:rPr>
        <w:t xml:space="preserve">counting Officer will provide an annual declaration of </w:t>
      </w:r>
      <w:hyperlink r:id="rId27" w:history="1">
        <w:r w:rsidRPr="00AD0647">
          <w:rPr>
            <w:rStyle w:val="Hyperlink"/>
          </w:rPr>
          <w:t>fitness to act</w:t>
        </w:r>
      </w:hyperlink>
      <w:r w:rsidR="004D5024" w:rsidRPr="00AD0647">
        <w:rPr>
          <w:color w:val="auto"/>
          <w:vertAlign w:val="superscript"/>
        </w:rPr>
        <w:footnoteReference w:id="17"/>
      </w:r>
      <w:r w:rsidRPr="00AD0647">
        <w:rPr>
          <w:color w:val="auto"/>
        </w:rPr>
        <w:t xml:space="preserve"> as Accounting Officer to </w:t>
      </w:r>
      <w:r w:rsidR="001F3811" w:rsidRPr="00AD0647">
        <w:rPr>
          <w:color w:val="auto"/>
        </w:rPr>
        <w:t>DfI’s</w:t>
      </w:r>
      <w:r w:rsidR="00191891" w:rsidRPr="00AD0647">
        <w:rPr>
          <w:color w:val="auto"/>
        </w:rPr>
        <w:t xml:space="preserve"> </w:t>
      </w:r>
      <w:r w:rsidRPr="00AD0647">
        <w:rPr>
          <w:color w:val="auto"/>
        </w:rPr>
        <w:t>Accounting Officer</w:t>
      </w:r>
      <w:r w:rsidR="001106AA" w:rsidRPr="00AD0647">
        <w:rPr>
          <w:color w:val="auto"/>
        </w:rPr>
        <w:t xml:space="preserve">. </w:t>
      </w:r>
      <w:r w:rsidRPr="00AD0647">
        <w:rPr>
          <w:i/>
          <w:color w:val="auto"/>
        </w:rPr>
        <w:t xml:space="preserve"> </w:t>
      </w:r>
      <w:r w:rsidRPr="00AD0647">
        <w:rPr>
          <w:color w:val="auto"/>
        </w:rPr>
        <w:t xml:space="preserve"> </w:t>
      </w:r>
    </w:p>
    <w:p w14:paraId="43961D70" w14:textId="77777777" w:rsidR="00C26BEE" w:rsidRPr="00AD0647" w:rsidRDefault="00C26BEE" w:rsidP="004E0092">
      <w:pPr>
        <w:ind w:left="959" w:right="60" w:hanging="566"/>
        <w:rPr>
          <w:color w:val="auto"/>
        </w:rPr>
      </w:pPr>
    </w:p>
    <w:p w14:paraId="52C451D7" w14:textId="3F71A5BA" w:rsidR="00424380" w:rsidRDefault="00424380" w:rsidP="00871966">
      <w:pPr>
        <w:pStyle w:val="Heading2"/>
        <w:numPr>
          <w:ilvl w:val="0"/>
          <w:numId w:val="42"/>
        </w:numPr>
        <w:tabs>
          <w:tab w:val="center" w:pos="509"/>
          <w:tab w:val="left" w:pos="993"/>
          <w:tab w:val="center" w:pos="1561"/>
        </w:tabs>
      </w:pPr>
      <w:bookmarkStart w:id="17" w:name="_13.__"/>
      <w:bookmarkEnd w:id="17"/>
      <w:r w:rsidRPr="00AB2097">
        <w:t xml:space="preserve">Role of the Minister </w:t>
      </w:r>
    </w:p>
    <w:p w14:paraId="640D4981" w14:textId="77777777" w:rsidR="00424380" w:rsidRPr="00AB2097" w:rsidRDefault="00424380" w:rsidP="00424380">
      <w:pPr>
        <w:keepNext/>
        <w:keepLines/>
        <w:spacing w:after="119" w:line="259" w:lineRule="auto"/>
        <w:ind w:left="403"/>
        <w:jc w:val="left"/>
        <w:outlineLvl w:val="2"/>
        <w:rPr>
          <w:b/>
          <w:color w:val="374C80"/>
        </w:rPr>
      </w:pPr>
    </w:p>
    <w:p w14:paraId="47C5BA30" w14:textId="762647F8" w:rsidR="00424380" w:rsidRPr="00AB2097" w:rsidRDefault="00424380" w:rsidP="00871966">
      <w:pPr>
        <w:pStyle w:val="ListParagraph"/>
        <w:numPr>
          <w:ilvl w:val="1"/>
          <w:numId w:val="42"/>
        </w:numPr>
        <w:spacing w:after="120" w:line="367" w:lineRule="auto"/>
        <w:ind w:left="958" w:right="62" w:hanging="567"/>
        <w:rPr>
          <w:color w:val="auto"/>
        </w:rPr>
      </w:pPr>
      <w:r w:rsidRPr="00AB2097">
        <w:rPr>
          <w:color w:val="auto"/>
        </w:rPr>
        <w:t xml:space="preserve">The </w:t>
      </w:r>
      <w:r w:rsidR="004942C7" w:rsidRPr="00AB2097">
        <w:rPr>
          <w:color w:val="auto"/>
        </w:rPr>
        <w:t>Chair</w:t>
      </w:r>
      <w:r w:rsidRPr="00AB2097">
        <w:rPr>
          <w:color w:val="auto"/>
        </w:rPr>
        <w:t xml:space="preserve"> of NITHC is responsible to the Minister. Communication between the Board and the Minister should normally be through the </w:t>
      </w:r>
      <w:r w:rsidR="004942C7" w:rsidRPr="00AB2097">
        <w:rPr>
          <w:color w:val="auto"/>
        </w:rPr>
        <w:t>Chair</w:t>
      </w:r>
      <w:r w:rsidRPr="00AB2097">
        <w:rPr>
          <w:color w:val="auto"/>
        </w:rPr>
        <w:t xml:space="preserve">. </w:t>
      </w:r>
    </w:p>
    <w:p w14:paraId="07848B99" w14:textId="77777777" w:rsidR="00424380" w:rsidRPr="00AB2097" w:rsidRDefault="00424380" w:rsidP="00424380">
      <w:pPr>
        <w:ind w:left="959" w:right="60" w:hanging="566"/>
        <w:rPr>
          <w:color w:val="auto"/>
        </w:rPr>
      </w:pPr>
      <w:r w:rsidRPr="00AB2097">
        <w:rPr>
          <w:color w:val="auto"/>
        </w:rPr>
        <w:t xml:space="preserve"> </w:t>
      </w:r>
    </w:p>
    <w:p w14:paraId="02EC1CFD" w14:textId="664EF824" w:rsidR="00424380" w:rsidRDefault="00424380" w:rsidP="00871966">
      <w:pPr>
        <w:pStyle w:val="ListParagraph"/>
        <w:numPr>
          <w:ilvl w:val="1"/>
          <w:numId w:val="42"/>
        </w:numPr>
        <w:spacing w:after="120" w:line="367" w:lineRule="auto"/>
        <w:ind w:left="958" w:right="62" w:hanging="567"/>
        <w:rPr>
          <w:color w:val="auto"/>
        </w:rPr>
      </w:pPr>
      <w:r w:rsidRPr="00AB2097">
        <w:rPr>
          <w:color w:val="auto"/>
        </w:rPr>
        <w:t xml:space="preserve">The departmental Accounting Officer is responsible for advising the relevant Minister on a number of issues including NITHC </w:t>
      </w:r>
      <w:r w:rsidRPr="00424380">
        <w:rPr>
          <w:color w:val="auto"/>
        </w:rPr>
        <w:t>objectives and targets, budgets and performance</w:t>
      </w:r>
      <w:r w:rsidR="004942C7" w:rsidRPr="00424380">
        <w:rPr>
          <w:color w:val="auto"/>
        </w:rPr>
        <w:t xml:space="preserve">. </w:t>
      </w:r>
    </w:p>
    <w:p w14:paraId="0F840082" w14:textId="77777777" w:rsidR="00424380" w:rsidRDefault="00424380" w:rsidP="00424380">
      <w:pPr>
        <w:ind w:left="959" w:right="60" w:hanging="566"/>
        <w:rPr>
          <w:color w:val="auto"/>
        </w:rPr>
      </w:pPr>
    </w:p>
    <w:p w14:paraId="42A7BA6A" w14:textId="4ADCA7C2" w:rsidR="00424380" w:rsidRPr="00424380" w:rsidRDefault="00424380" w:rsidP="00871966">
      <w:pPr>
        <w:pStyle w:val="ListParagraph"/>
        <w:numPr>
          <w:ilvl w:val="1"/>
          <w:numId w:val="42"/>
        </w:numPr>
        <w:spacing w:after="120" w:line="367" w:lineRule="auto"/>
        <w:ind w:left="958" w:right="62" w:hanging="567"/>
        <w:rPr>
          <w:color w:val="auto"/>
        </w:rPr>
      </w:pPr>
      <w:r w:rsidRPr="00424380">
        <w:rPr>
          <w:color w:val="auto"/>
        </w:rPr>
        <w:t xml:space="preserve">In addition to being answerable to the Assembly as laid out in paragraph 2.7, the Minister is also responsible for: </w:t>
      </w:r>
    </w:p>
    <w:p w14:paraId="37A7414F" w14:textId="77777777" w:rsidR="00424380" w:rsidRPr="00424380" w:rsidRDefault="00424380" w:rsidP="00424380">
      <w:pPr>
        <w:pStyle w:val="ListParagraph"/>
        <w:numPr>
          <w:ilvl w:val="0"/>
          <w:numId w:val="34"/>
        </w:numPr>
        <w:ind w:right="60"/>
        <w:rPr>
          <w:color w:val="auto"/>
        </w:rPr>
      </w:pPr>
      <w:r w:rsidRPr="00424380">
        <w:rPr>
          <w:color w:val="auto"/>
        </w:rPr>
        <w:t xml:space="preserve">Setting the strategic direction and overall policies and priorities for NITHC as reflected in the PfG; </w:t>
      </w:r>
    </w:p>
    <w:p w14:paraId="26815482" w14:textId="77777777" w:rsidR="00424380" w:rsidRPr="00AB2097" w:rsidRDefault="00424380" w:rsidP="00424380">
      <w:pPr>
        <w:pStyle w:val="ListParagraph"/>
        <w:numPr>
          <w:ilvl w:val="0"/>
          <w:numId w:val="34"/>
        </w:numPr>
        <w:ind w:right="60"/>
        <w:rPr>
          <w:color w:val="auto"/>
        </w:rPr>
      </w:pPr>
      <w:r w:rsidRPr="00AB2097">
        <w:rPr>
          <w:color w:val="auto"/>
        </w:rPr>
        <w:t xml:space="preserve">Approving the NITHC Corporate &amp; Business Plan; </w:t>
      </w:r>
    </w:p>
    <w:p w14:paraId="4A93CCC7" w14:textId="1FE65388" w:rsidR="00424380" w:rsidRPr="00AB2097" w:rsidRDefault="00424380" w:rsidP="00424380">
      <w:pPr>
        <w:pStyle w:val="ListParagraph"/>
        <w:numPr>
          <w:ilvl w:val="0"/>
          <w:numId w:val="34"/>
        </w:numPr>
        <w:ind w:right="60"/>
        <w:rPr>
          <w:color w:val="auto"/>
        </w:rPr>
      </w:pPr>
      <w:r w:rsidRPr="00AB2097">
        <w:rPr>
          <w:color w:val="auto"/>
        </w:rPr>
        <w:t xml:space="preserve">Setting NITHC’s budget </w:t>
      </w:r>
      <w:r w:rsidR="006578CB" w:rsidRPr="00AB2097">
        <w:rPr>
          <w:color w:val="auto"/>
        </w:rPr>
        <w:t>i.e.</w:t>
      </w:r>
      <w:r w:rsidR="00E3306A">
        <w:rPr>
          <w:color w:val="auto"/>
        </w:rPr>
        <w:t>,</w:t>
      </w:r>
      <w:r w:rsidRPr="00AB2097">
        <w:rPr>
          <w:color w:val="auto"/>
        </w:rPr>
        <w:t xml:space="preserve"> approving</w:t>
      </w:r>
      <w:r w:rsidRPr="00424380">
        <w:rPr>
          <w:color w:val="auto"/>
        </w:rPr>
        <w:t xml:space="preserve"> </w:t>
      </w:r>
      <w:r w:rsidRPr="00AB2097">
        <w:rPr>
          <w:color w:val="auto"/>
        </w:rPr>
        <w:t xml:space="preserve">the amount of grant or subsidy or other funds to be paid to NITHC, and securing Assembly approval; and </w:t>
      </w:r>
    </w:p>
    <w:p w14:paraId="2323C80F" w14:textId="1B790573" w:rsidR="00424380" w:rsidRPr="00424380" w:rsidRDefault="00424380" w:rsidP="00424380">
      <w:pPr>
        <w:pStyle w:val="ListParagraph"/>
        <w:numPr>
          <w:ilvl w:val="0"/>
          <w:numId w:val="34"/>
        </w:numPr>
        <w:ind w:right="60"/>
        <w:rPr>
          <w:color w:val="auto"/>
        </w:rPr>
      </w:pPr>
      <w:r w:rsidRPr="00AB2097">
        <w:rPr>
          <w:color w:val="auto"/>
        </w:rPr>
        <w:t xml:space="preserve">Carrying out responsibilities specified in the Transport Act (NI) 1967, including laying of the annual report and accounts before the Assembly, using powers to give directions to NITHC as to the policy to be followed by it (including its policy towards its subsidiary undertakings) and </w:t>
      </w:r>
      <w:r w:rsidRPr="00424380">
        <w:rPr>
          <w:color w:val="auto"/>
        </w:rPr>
        <w:t xml:space="preserve">appointment of non-executive board members. The Minister may also be involved in considering the size and composition of the </w:t>
      </w:r>
      <w:r w:rsidRPr="00AB2097">
        <w:rPr>
          <w:color w:val="auto"/>
        </w:rPr>
        <w:t xml:space="preserve">NITHC </w:t>
      </w:r>
      <w:r w:rsidRPr="00424380">
        <w:rPr>
          <w:color w:val="auto"/>
        </w:rPr>
        <w:t>Board – see para 1</w:t>
      </w:r>
      <w:r w:rsidR="009B1FC0">
        <w:rPr>
          <w:color w:val="auto"/>
        </w:rPr>
        <w:t>6</w:t>
      </w:r>
      <w:r w:rsidRPr="00424380">
        <w:rPr>
          <w:color w:val="auto"/>
        </w:rPr>
        <w:t xml:space="preserve">.3. </w:t>
      </w:r>
    </w:p>
    <w:p w14:paraId="22261769" w14:textId="632196D1" w:rsidR="00424380" w:rsidRDefault="00C673A9" w:rsidP="003E5315">
      <w:pPr>
        <w:spacing w:after="115" w:line="259" w:lineRule="auto"/>
        <w:ind w:left="771" w:firstLine="0"/>
        <w:jc w:val="left"/>
      </w:pPr>
      <w:r w:rsidRPr="00AD0647">
        <w:t xml:space="preserve"> </w:t>
      </w:r>
      <w:bookmarkStart w:id="18" w:name="_Toc74643003"/>
    </w:p>
    <w:p w14:paraId="2C0840EF" w14:textId="0DE39CD2" w:rsidR="00C673A9" w:rsidRPr="00AD0647" w:rsidRDefault="00C673A9" w:rsidP="00871966">
      <w:pPr>
        <w:pStyle w:val="Heading2"/>
        <w:numPr>
          <w:ilvl w:val="0"/>
          <w:numId w:val="42"/>
        </w:numPr>
        <w:tabs>
          <w:tab w:val="center" w:pos="509"/>
          <w:tab w:val="left" w:pos="993"/>
          <w:tab w:val="center" w:pos="1561"/>
        </w:tabs>
      </w:pPr>
      <w:r w:rsidRPr="00AD0647">
        <w:t>Attendance at Public Accounts Committee</w:t>
      </w:r>
      <w:bookmarkEnd w:id="18"/>
      <w:r w:rsidRPr="00AD0647">
        <w:t xml:space="preserve"> </w:t>
      </w:r>
    </w:p>
    <w:p w14:paraId="53AFD1A3" w14:textId="77777777" w:rsidR="00C673A9" w:rsidRPr="00AD0647" w:rsidRDefault="00C673A9" w:rsidP="00C673A9">
      <w:pPr>
        <w:spacing w:after="112" w:line="259" w:lineRule="auto"/>
        <w:ind w:left="771" w:firstLine="0"/>
        <w:jc w:val="left"/>
      </w:pPr>
      <w:r w:rsidRPr="00AD0647">
        <w:t xml:space="preserve"> </w:t>
      </w:r>
    </w:p>
    <w:p w14:paraId="1B0A38A1" w14:textId="147E01A2" w:rsidR="00C673A9" w:rsidRPr="00AD0647" w:rsidRDefault="00C673A9" w:rsidP="00871966">
      <w:pPr>
        <w:pStyle w:val="ListParagraph"/>
        <w:numPr>
          <w:ilvl w:val="1"/>
          <w:numId w:val="42"/>
        </w:numPr>
        <w:spacing w:after="120" w:line="367" w:lineRule="auto"/>
        <w:ind w:left="958" w:right="62" w:hanging="567"/>
      </w:pPr>
      <w:r w:rsidRPr="00AD0647">
        <w:rPr>
          <w:color w:val="auto"/>
        </w:rPr>
        <w:t>NITHC</w:t>
      </w:r>
      <w:r w:rsidR="00A5517F" w:rsidRPr="00AD0647">
        <w:rPr>
          <w:color w:val="auto"/>
        </w:rPr>
        <w:t>’s</w:t>
      </w:r>
      <w:r w:rsidRPr="00AD0647">
        <w:rPr>
          <w:color w:val="auto"/>
        </w:rPr>
        <w:t xml:space="preserve"> Chief Executive/Accounting Officer may be summoned to appear before the Public Accounts Committee to give evidence on the discharge of their </w:t>
      </w:r>
      <w:r w:rsidRPr="00AD0647">
        <w:rPr>
          <w:color w:val="auto"/>
        </w:rPr>
        <w:lastRenderedPageBreak/>
        <w:t xml:space="preserve">responsibilities as Accounting Officer (as laid out in their Accounting </w:t>
      </w:r>
      <w:r w:rsidRPr="00AD0647">
        <w:t xml:space="preserve">Officer appointment letter) on issues arising from the </w:t>
      </w:r>
      <w:r w:rsidR="00BE054D" w:rsidRPr="00AD0647">
        <w:t>Comptroller and Auditor General</w:t>
      </w:r>
      <w:r w:rsidR="007436C1" w:rsidRPr="00AD0647">
        <w:t xml:space="preserve"> for Northern Ireland’s</w:t>
      </w:r>
      <w:r w:rsidR="00BE054D" w:rsidRPr="00AD0647">
        <w:t xml:space="preserve"> (</w:t>
      </w:r>
      <w:r w:rsidRPr="00AD0647">
        <w:rPr>
          <w:b/>
        </w:rPr>
        <w:t>C&amp;AG</w:t>
      </w:r>
      <w:r w:rsidR="00BE054D" w:rsidRPr="00AD0647">
        <w:t>)</w:t>
      </w:r>
      <w:r w:rsidRPr="00AD0647">
        <w:t xml:space="preserve"> studies or reports following the annual audit of accounts.  </w:t>
      </w:r>
    </w:p>
    <w:p w14:paraId="722B26DE" w14:textId="77777777" w:rsidR="00C673A9" w:rsidRPr="00AD0647" w:rsidRDefault="00C673A9" w:rsidP="00C673A9">
      <w:pPr>
        <w:spacing w:after="0" w:line="259" w:lineRule="auto"/>
        <w:ind w:left="771" w:firstLine="0"/>
        <w:jc w:val="left"/>
      </w:pPr>
      <w:r w:rsidRPr="00AD0647">
        <w:t xml:space="preserve"> </w:t>
      </w:r>
    </w:p>
    <w:p w14:paraId="7C7EFD31" w14:textId="223C2884" w:rsidR="00C673A9" w:rsidRPr="00AD0647" w:rsidRDefault="00C673A9" w:rsidP="00871966">
      <w:pPr>
        <w:pStyle w:val="ListParagraph"/>
        <w:numPr>
          <w:ilvl w:val="1"/>
          <w:numId w:val="42"/>
        </w:numPr>
        <w:spacing w:after="120" w:line="367" w:lineRule="auto"/>
        <w:ind w:left="958" w:right="62" w:hanging="567"/>
      </w:pPr>
      <w:r w:rsidRPr="00AD0647">
        <w:t>The Chair may also, on occasion, be called to give evidence to the Public Accounts Committee</w:t>
      </w:r>
      <w:r w:rsidR="00E91257" w:rsidRPr="00AD0647">
        <w:t xml:space="preserve"> (</w:t>
      </w:r>
      <w:r w:rsidR="00E91257" w:rsidRPr="00AD0647">
        <w:rPr>
          <w:b/>
          <w:bCs/>
        </w:rPr>
        <w:t>PAC</w:t>
      </w:r>
      <w:r w:rsidR="00E91257" w:rsidRPr="00AD0647">
        <w:t>)</w:t>
      </w:r>
      <w:r w:rsidRPr="00AD0647">
        <w:t xml:space="preserve"> on such relevant issues arising within the C&amp;AG’s studies or reports, in relation to the role and actions taken by the Board, where appropriate</w:t>
      </w:r>
      <w:r w:rsidR="004942C7" w:rsidRPr="00AD0647">
        <w:t xml:space="preserve">. </w:t>
      </w:r>
    </w:p>
    <w:p w14:paraId="2EC44C65" w14:textId="77777777" w:rsidR="00C673A9" w:rsidRPr="00AD0647" w:rsidRDefault="00C673A9" w:rsidP="00C673A9">
      <w:pPr>
        <w:spacing w:after="112" w:line="259" w:lineRule="auto"/>
        <w:ind w:left="771" w:firstLine="0"/>
        <w:jc w:val="left"/>
      </w:pPr>
      <w:r w:rsidRPr="00AD0647">
        <w:t xml:space="preserve"> </w:t>
      </w:r>
    </w:p>
    <w:p w14:paraId="3BB38174" w14:textId="61967523" w:rsidR="00C673A9" w:rsidRPr="00AD0647" w:rsidRDefault="00C673A9" w:rsidP="00871966">
      <w:pPr>
        <w:pStyle w:val="ListParagraph"/>
        <w:numPr>
          <w:ilvl w:val="1"/>
          <w:numId w:val="42"/>
        </w:numPr>
        <w:spacing w:after="120" w:line="367" w:lineRule="auto"/>
        <w:ind w:left="958" w:right="62" w:hanging="567"/>
        <w:rPr>
          <w:i/>
          <w:color w:val="auto"/>
        </w:rPr>
      </w:pPr>
      <w:r w:rsidRPr="00AD0647">
        <w:rPr>
          <w:color w:val="auto"/>
        </w:rPr>
        <w:t xml:space="preserve">In addition, </w:t>
      </w:r>
      <w:r w:rsidR="00C14D59" w:rsidRPr="00AD0647">
        <w:rPr>
          <w:color w:val="auto"/>
        </w:rPr>
        <w:t xml:space="preserve">DfI’s </w:t>
      </w:r>
      <w:r w:rsidRPr="00AD0647">
        <w:rPr>
          <w:color w:val="auto"/>
        </w:rPr>
        <w:t xml:space="preserve">Accounting Officer may be summoned to appear before the PAC to give evidence on the discharge of their responsibilities as </w:t>
      </w:r>
      <w:r w:rsidR="0063022D" w:rsidRPr="00AD0647">
        <w:rPr>
          <w:color w:val="auto"/>
        </w:rPr>
        <w:t>DfI’s</w:t>
      </w:r>
      <w:r w:rsidR="00D97ED9" w:rsidRPr="00AD0647">
        <w:rPr>
          <w:color w:val="auto"/>
        </w:rPr>
        <w:t xml:space="preserve"> </w:t>
      </w:r>
      <w:r w:rsidRPr="00AD0647">
        <w:rPr>
          <w:color w:val="auto"/>
        </w:rPr>
        <w:t>Accounting Officer with overarching responsibility for NITHC. In such circ</w:t>
      </w:r>
      <w:r w:rsidR="00E91257" w:rsidRPr="00AD0647">
        <w:rPr>
          <w:color w:val="auto"/>
        </w:rPr>
        <w:t xml:space="preserve">umstances, </w:t>
      </w:r>
      <w:r w:rsidR="0063022D" w:rsidRPr="00AD0647">
        <w:rPr>
          <w:color w:val="auto"/>
        </w:rPr>
        <w:t>DfI’s</w:t>
      </w:r>
      <w:r w:rsidR="00D97ED9" w:rsidRPr="00AD0647">
        <w:rPr>
          <w:color w:val="auto"/>
        </w:rPr>
        <w:t xml:space="preserve"> </w:t>
      </w:r>
      <w:r w:rsidR="00E91257" w:rsidRPr="00AD0647">
        <w:rPr>
          <w:color w:val="auto"/>
        </w:rPr>
        <w:t>A</w:t>
      </w:r>
      <w:r w:rsidRPr="00AD0647">
        <w:rPr>
          <w:color w:val="auto"/>
        </w:rPr>
        <w:t>ccounting Officer may therefore expect to be questioned on their responsibilities to ensure that:</w:t>
      </w:r>
      <w:r w:rsidRPr="00AD0647">
        <w:rPr>
          <w:i/>
          <w:color w:val="auto"/>
        </w:rPr>
        <w:t xml:space="preserve"> </w:t>
      </w:r>
      <w:r w:rsidR="00CE6039" w:rsidRPr="00AD0647">
        <w:rPr>
          <w:i/>
          <w:color w:val="auto"/>
        </w:rPr>
        <w:t xml:space="preserve">            </w:t>
      </w:r>
    </w:p>
    <w:p w14:paraId="707A12E8" w14:textId="77777777" w:rsidR="0063022D" w:rsidRPr="00AD0647" w:rsidRDefault="0063022D" w:rsidP="00C673A9">
      <w:pPr>
        <w:ind w:left="959" w:right="60" w:hanging="566"/>
        <w:rPr>
          <w:i/>
          <w:color w:val="auto"/>
        </w:rPr>
      </w:pPr>
    </w:p>
    <w:p w14:paraId="16345155" w14:textId="77777777" w:rsidR="00C673A9" w:rsidRPr="00AD0647" w:rsidRDefault="00373DB4" w:rsidP="00C673A9">
      <w:pPr>
        <w:numPr>
          <w:ilvl w:val="0"/>
          <w:numId w:val="6"/>
        </w:numPr>
        <w:spacing w:after="90" w:line="259" w:lineRule="auto"/>
        <w:ind w:right="60" w:hanging="360"/>
        <w:rPr>
          <w:color w:val="auto"/>
        </w:rPr>
      </w:pPr>
      <w:r w:rsidRPr="00AD0647">
        <w:rPr>
          <w:color w:val="auto"/>
        </w:rPr>
        <w:t>T</w:t>
      </w:r>
      <w:r w:rsidR="00C673A9" w:rsidRPr="00AD0647">
        <w:rPr>
          <w:color w:val="auto"/>
        </w:rPr>
        <w:t xml:space="preserve">here is a clear strategic control framework for NITHC; </w:t>
      </w:r>
    </w:p>
    <w:p w14:paraId="7020F7E0" w14:textId="77777777" w:rsidR="00C673A9" w:rsidRPr="00AD0647" w:rsidRDefault="00373DB4" w:rsidP="00C673A9">
      <w:pPr>
        <w:numPr>
          <w:ilvl w:val="0"/>
          <w:numId w:val="6"/>
        </w:numPr>
        <w:ind w:right="60" w:hanging="360"/>
        <w:rPr>
          <w:color w:val="auto"/>
        </w:rPr>
      </w:pPr>
      <w:r w:rsidRPr="00AD0647">
        <w:rPr>
          <w:color w:val="auto"/>
        </w:rPr>
        <w:t>S</w:t>
      </w:r>
      <w:r w:rsidR="00C673A9" w:rsidRPr="00AD0647">
        <w:rPr>
          <w:color w:val="auto"/>
        </w:rPr>
        <w:t xml:space="preserve">ufficient and appropriate management and financial controls are in place to safeguard public funds; </w:t>
      </w:r>
    </w:p>
    <w:p w14:paraId="3BD24FF3" w14:textId="2E4C8976" w:rsidR="00C673A9" w:rsidRPr="00AD0647" w:rsidRDefault="00373DB4" w:rsidP="00C673A9">
      <w:pPr>
        <w:numPr>
          <w:ilvl w:val="0"/>
          <w:numId w:val="6"/>
        </w:numPr>
        <w:ind w:right="60" w:hanging="360"/>
        <w:rPr>
          <w:color w:val="auto"/>
        </w:rPr>
      </w:pPr>
      <w:r w:rsidRPr="00AD0647">
        <w:rPr>
          <w:color w:val="auto"/>
        </w:rPr>
        <w:t>T</w:t>
      </w:r>
      <w:r w:rsidR="00C673A9" w:rsidRPr="00AD0647">
        <w:rPr>
          <w:color w:val="auto"/>
        </w:rPr>
        <w:t xml:space="preserve">he nominated Accounting Officer is fit to discharge his or her </w:t>
      </w:r>
      <w:r w:rsidR="003E5315" w:rsidRPr="00AD0647">
        <w:rPr>
          <w:color w:val="auto"/>
        </w:rPr>
        <w:t>responsibilities</w:t>
      </w:r>
      <w:r w:rsidR="006578CB">
        <w:rPr>
          <w:color w:val="auto"/>
        </w:rPr>
        <w:t>;</w:t>
      </w:r>
      <w:r w:rsidR="00C673A9" w:rsidRPr="00AD0647">
        <w:rPr>
          <w:color w:val="auto"/>
        </w:rPr>
        <w:t xml:space="preserve"> </w:t>
      </w:r>
    </w:p>
    <w:p w14:paraId="0E51F59F" w14:textId="77777777" w:rsidR="00C673A9" w:rsidRPr="00AD0647" w:rsidRDefault="00373DB4" w:rsidP="00C673A9">
      <w:pPr>
        <w:numPr>
          <w:ilvl w:val="0"/>
          <w:numId w:val="6"/>
        </w:numPr>
        <w:spacing w:after="88" w:line="259" w:lineRule="auto"/>
        <w:ind w:right="60" w:hanging="360"/>
        <w:rPr>
          <w:color w:val="auto"/>
        </w:rPr>
      </w:pPr>
      <w:r w:rsidRPr="00AD0647">
        <w:rPr>
          <w:color w:val="auto"/>
        </w:rPr>
        <w:t>T</w:t>
      </w:r>
      <w:r w:rsidR="00C673A9" w:rsidRPr="00AD0647">
        <w:rPr>
          <w:color w:val="auto"/>
        </w:rPr>
        <w:t xml:space="preserve">here are suitable internal audit arrangements; </w:t>
      </w:r>
    </w:p>
    <w:p w14:paraId="79488E27" w14:textId="77777777" w:rsidR="00C673A9" w:rsidRPr="00AD0647" w:rsidRDefault="00373DB4" w:rsidP="00C673A9">
      <w:pPr>
        <w:numPr>
          <w:ilvl w:val="0"/>
          <w:numId w:val="6"/>
        </w:numPr>
        <w:ind w:right="60" w:hanging="360"/>
        <w:rPr>
          <w:color w:val="auto"/>
        </w:rPr>
      </w:pPr>
      <w:r w:rsidRPr="00AD0647">
        <w:rPr>
          <w:color w:val="auto"/>
        </w:rPr>
        <w:t>A</w:t>
      </w:r>
      <w:r w:rsidR="00C673A9" w:rsidRPr="00AD0647">
        <w:rPr>
          <w:color w:val="auto"/>
        </w:rPr>
        <w:t xml:space="preserve">ccounts are prepared in accordance with the relevant legislation and any accounting direction; and </w:t>
      </w:r>
    </w:p>
    <w:p w14:paraId="6F82739D" w14:textId="71501CC3" w:rsidR="00C673A9" w:rsidRPr="00AD0647" w:rsidRDefault="00373DB4" w:rsidP="00C673A9">
      <w:pPr>
        <w:numPr>
          <w:ilvl w:val="0"/>
          <w:numId w:val="6"/>
        </w:numPr>
        <w:spacing w:after="111" w:line="259" w:lineRule="auto"/>
        <w:ind w:right="60" w:hanging="360"/>
        <w:rPr>
          <w:color w:val="auto"/>
        </w:rPr>
      </w:pPr>
      <w:r w:rsidRPr="00AD0647">
        <w:rPr>
          <w:color w:val="auto"/>
        </w:rPr>
        <w:t>I</w:t>
      </w:r>
      <w:r w:rsidR="00C673A9" w:rsidRPr="00AD0647">
        <w:rPr>
          <w:color w:val="auto"/>
        </w:rPr>
        <w:t xml:space="preserve">ntervention is made, where necessary, in situations </w:t>
      </w:r>
      <w:r w:rsidR="003E5315" w:rsidRPr="00AD0647">
        <w:rPr>
          <w:color w:val="auto"/>
        </w:rPr>
        <w:t>where NITHC’s</w:t>
      </w:r>
      <w:r w:rsidR="00C673A9" w:rsidRPr="00AD0647">
        <w:rPr>
          <w:color w:val="auto"/>
        </w:rPr>
        <w:t xml:space="preserve"> </w:t>
      </w:r>
    </w:p>
    <w:p w14:paraId="7A9A3B34" w14:textId="6F2B13E0" w:rsidR="00C673A9" w:rsidRPr="00AD0647" w:rsidRDefault="00C673A9" w:rsidP="00C673A9">
      <w:pPr>
        <w:spacing w:after="31"/>
        <w:ind w:left="1501" w:right="60"/>
        <w:rPr>
          <w:color w:val="auto"/>
        </w:rPr>
      </w:pPr>
      <w:r w:rsidRPr="00AD0647">
        <w:rPr>
          <w:color w:val="auto"/>
        </w:rPr>
        <w:t>Accounting Officer’s advice on transactions in relation to regularity, propriety or value for money is overruled by the body’s Board or its Chair</w:t>
      </w:r>
      <w:r w:rsidR="004942C7" w:rsidRPr="00AD0647">
        <w:rPr>
          <w:color w:val="auto"/>
        </w:rPr>
        <w:t xml:space="preserve">. </w:t>
      </w:r>
    </w:p>
    <w:p w14:paraId="09DE2CC2" w14:textId="77777777" w:rsidR="004D49F7" w:rsidRPr="00AD0647" w:rsidRDefault="00C673A9" w:rsidP="00C673A9">
      <w:pPr>
        <w:spacing w:after="0" w:line="259" w:lineRule="auto"/>
        <w:ind w:left="408" w:firstLine="0"/>
        <w:jc w:val="left"/>
        <w:rPr>
          <w:color w:val="auto"/>
        </w:rPr>
      </w:pPr>
      <w:r w:rsidRPr="00AD0647">
        <w:rPr>
          <w:color w:val="auto"/>
        </w:rPr>
        <w:t xml:space="preserve"> </w:t>
      </w:r>
    </w:p>
    <w:p w14:paraId="4929210D" w14:textId="78D11C46" w:rsidR="00C673A9" w:rsidRPr="00AD0647" w:rsidRDefault="004D49F7" w:rsidP="003E5315">
      <w:pPr>
        <w:spacing w:after="160" w:line="259" w:lineRule="auto"/>
        <w:ind w:left="0" w:firstLine="0"/>
        <w:jc w:val="left"/>
        <w:rPr>
          <w:color w:val="auto"/>
        </w:rPr>
      </w:pPr>
      <w:r w:rsidRPr="00AD0647">
        <w:rPr>
          <w:color w:val="auto"/>
        </w:rPr>
        <w:br w:type="page"/>
      </w:r>
    </w:p>
    <w:p w14:paraId="49E5C3DE" w14:textId="77777777" w:rsidR="00C673A9" w:rsidRPr="00AD0647" w:rsidRDefault="00C673A9" w:rsidP="00C673A9">
      <w:pPr>
        <w:spacing w:after="0" w:line="259" w:lineRule="auto"/>
        <w:ind w:left="408" w:firstLine="0"/>
        <w:jc w:val="left"/>
      </w:pPr>
    </w:p>
    <w:p w14:paraId="0E97F4D1" w14:textId="5FC41CD7" w:rsidR="00C673A9" w:rsidRPr="00AD0647" w:rsidRDefault="00C673A9" w:rsidP="00C673A9">
      <w:pPr>
        <w:pStyle w:val="Heading1"/>
        <w:ind w:left="403"/>
      </w:pPr>
      <w:bookmarkStart w:id="19" w:name="_Toc74643004"/>
      <w:r w:rsidRPr="00AD0647">
        <w:t>Assurance Framework</w:t>
      </w:r>
      <w:bookmarkEnd w:id="19"/>
      <w:r w:rsidRPr="00AD0647">
        <w:t xml:space="preserve"> </w:t>
      </w:r>
    </w:p>
    <w:p w14:paraId="7697AF3E"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088CCE06" wp14:editId="1CC86E62">
                <wp:extent cx="5769610" cy="6096"/>
                <wp:effectExtent l="0" t="0" r="0" b="0"/>
                <wp:docPr id="24" name="Group 24"/>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5" name="Shape 37940"/>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215C9DFD" id="Group 24"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BocRZ5OwIAAIAFAAAOAAAAAAAAAAAA&#10;AAAAAC4CAABkcnMvZTJvRG9jLnhtbFBLAQItABQABgAIAAAAIQCDXyzr2gAAAAMBAAAPAAAAAAAA&#10;AAAAAAAAAJUEAABkcnMvZG93bnJldi54bWxQSwUGAAAAAAQABADzAAAAnAUAAAAA&#10;">
                <v:shape id="Shape 37940"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" path="m,l5769610,r,9144l,9144,,e" fillcolor="#4a66ac" stroked="f" strokeweight="0">
                  <v:stroke miterlimit="83231f" joinstyle="miter"/>
                  <v:path arrowok="t" textboxrect="0,0,5769610,9144"/>
                </v:shape>
                <w10:anchorlock/>
              </v:group>
            </w:pict>
          </mc:Fallback>
        </mc:AlternateContent>
      </w:r>
    </w:p>
    <w:p w14:paraId="342ADC01" w14:textId="77777777" w:rsidR="00C673A9" w:rsidRPr="00AD0647" w:rsidRDefault="00C673A9" w:rsidP="00C673A9">
      <w:pPr>
        <w:spacing w:after="117" w:line="259" w:lineRule="auto"/>
        <w:ind w:left="478" w:firstLine="0"/>
        <w:jc w:val="left"/>
      </w:pPr>
      <w:r w:rsidRPr="00AD0647">
        <w:rPr>
          <w:b/>
          <w:i/>
          <w:color w:val="3476B1"/>
        </w:rPr>
        <w:t xml:space="preserve"> </w:t>
      </w:r>
    </w:p>
    <w:p w14:paraId="6B46DD37" w14:textId="01B3FAC8" w:rsidR="00C673A9" w:rsidRPr="00AD0647" w:rsidRDefault="00C673A9" w:rsidP="00871966">
      <w:pPr>
        <w:pStyle w:val="Heading2"/>
        <w:numPr>
          <w:ilvl w:val="0"/>
          <w:numId w:val="42"/>
        </w:numPr>
        <w:tabs>
          <w:tab w:val="center" w:pos="509"/>
          <w:tab w:val="left" w:pos="993"/>
          <w:tab w:val="center" w:pos="1561"/>
        </w:tabs>
      </w:pPr>
      <w:bookmarkStart w:id="20" w:name="_Toc74643005"/>
      <w:r w:rsidRPr="00AD0647">
        <w:t>Autonomy and Proportionality</w:t>
      </w:r>
      <w:bookmarkEnd w:id="20"/>
      <w:r w:rsidRPr="00AD0647">
        <w:t xml:space="preserve">  </w:t>
      </w:r>
    </w:p>
    <w:p w14:paraId="18A1726E" w14:textId="77777777" w:rsidR="00C673A9" w:rsidRPr="00AD0647" w:rsidRDefault="00C673A9" w:rsidP="00C673A9">
      <w:pPr>
        <w:spacing w:after="115" w:line="259" w:lineRule="auto"/>
        <w:ind w:left="408" w:firstLine="0"/>
        <w:jc w:val="left"/>
      </w:pPr>
      <w:r w:rsidRPr="00AD0647">
        <w:rPr>
          <w:b/>
          <w:color w:val="374C80"/>
        </w:rPr>
        <w:t xml:space="preserve"> </w:t>
      </w:r>
    </w:p>
    <w:p w14:paraId="04AFABB9" w14:textId="24813924" w:rsidR="00C673A9" w:rsidRPr="00AD0647" w:rsidRDefault="00C14D59" w:rsidP="00871966">
      <w:pPr>
        <w:pStyle w:val="ListParagraph"/>
        <w:numPr>
          <w:ilvl w:val="1"/>
          <w:numId w:val="42"/>
        </w:numPr>
        <w:spacing w:after="120" w:line="367" w:lineRule="auto"/>
        <w:ind w:left="958" w:right="62" w:hanging="567"/>
      </w:pPr>
      <w:r w:rsidRPr="00AD0647">
        <w:rPr>
          <w:color w:val="auto"/>
        </w:rPr>
        <w:t xml:space="preserve">DfI </w:t>
      </w:r>
      <w:r w:rsidR="00C673A9" w:rsidRPr="00AD0647">
        <w:rPr>
          <w:color w:val="auto"/>
        </w:rPr>
        <w:t>will ensure that NITHC</w:t>
      </w:r>
      <w:r w:rsidR="00C673A9" w:rsidRPr="00AD0647">
        <w:rPr>
          <w:i/>
          <w:color w:val="auto"/>
        </w:rPr>
        <w:t xml:space="preserve"> </w:t>
      </w:r>
      <w:r w:rsidR="00C673A9" w:rsidRPr="00AD0647">
        <w:rPr>
          <w:color w:val="auto"/>
        </w:rPr>
        <w:t xml:space="preserve">has the autonomy to deliver effectively, recognising its status as a separate legal entity which has its own Board and governance arrangements. </w:t>
      </w:r>
      <w:hyperlink r:id="rId28" w:history="1">
        <w:r w:rsidR="00C673A9" w:rsidRPr="00AD0647">
          <w:rPr>
            <w:rStyle w:val="Hyperlink"/>
          </w:rPr>
          <w:t xml:space="preserve">Guidance on </w:t>
        </w:r>
        <w:r w:rsidR="001F3811" w:rsidRPr="00AD0647">
          <w:rPr>
            <w:rStyle w:val="Hyperlink"/>
          </w:rPr>
          <w:t>P</w:t>
        </w:r>
        <w:r w:rsidR="00C673A9" w:rsidRPr="00AD0647">
          <w:rPr>
            <w:rStyle w:val="Hyperlink"/>
          </w:rPr>
          <w:t xml:space="preserve">roportionate </w:t>
        </w:r>
        <w:r w:rsidR="001F3811" w:rsidRPr="00AD0647">
          <w:rPr>
            <w:rStyle w:val="Hyperlink"/>
          </w:rPr>
          <w:t>A</w:t>
        </w:r>
        <w:r w:rsidR="00C673A9" w:rsidRPr="00AD0647">
          <w:rPr>
            <w:rStyle w:val="Hyperlink"/>
          </w:rPr>
          <w:t>utonomy</w:t>
        </w:r>
      </w:hyperlink>
      <w:r w:rsidR="00C673A9" w:rsidRPr="00AD0647">
        <w:rPr>
          <w:color w:val="auto"/>
        </w:rPr>
        <w:t xml:space="preserve"> has been considered in determining the extent of engagement and assurance established between NITHC</w:t>
      </w:r>
      <w:r w:rsidR="00C673A9" w:rsidRPr="00AD0647">
        <w:rPr>
          <w:i/>
          <w:color w:val="auto"/>
        </w:rPr>
        <w:t xml:space="preserve"> </w:t>
      </w:r>
      <w:r w:rsidR="00C673A9" w:rsidRPr="00AD0647">
        <w:rPr>
          <w:color w:val="auto"/>
        </w:rPr>
        <w:t xml:space="preserve">and </w:t>
      </w:r>
      <w:r w:rsidRPr="00AD0647">
        <w:rPr>
          <w:color w:val="auto"/>
        </w:rPr>
        <w:t xml:space="preserve">DfI </w:t>
      </w:r>
      <w:r w:rsidR="00C673A9" w:rsidRPr="00AD0647">
        <w:rPr>
          <w:color w:val="auto"/>
        </w:rPr>
        <w:t>and is reflected in this agreement</w:t>
      </w:r>
      <w:r w:rsidR="004942C7" w:rsidRPr="00AD0647">
        <w:rPr>
          <w:color w:val="auto"/>
        </w:rPr>
        <w:t xml:space="preserve">. </w:t>
      </w:r>
    </w:p>
    <w:p w14:paraId="625B8FCD" w14:textId="77777777" w:rsidR="00C673A9" w:rsidRPr="00AD0647" w:rsidRDefault="00C673A9" w:rsidP="00C673A9">
      <w:pPr>
        <w:spacing w:after="116" w:line="259" w:lineRule="auto"/>
        <w:ind w:left="975" w:firstLine="0"/>
        <w:jc w:val="left"/>
      </w:pPr>
      <w:r w:rsidRPr="00AD0647">
        <w:t xml:space="preserve"> </w:t>
      </w:r>
    </w:p>
    <w:p w14:paraId="6DA8A321" w14:textId="38622BAA" w:rsidR="00C673A9" w:rsidRPr="00AD0647" w:rsidRDefault="00C673A9" w:rsidP="00871966">
      <w:pPr>
        <w:pStyle w:val="ListParagraph"/>
        <w:numPr>
          <w:ilvl w:val="1"/>
          <w:numId w:val="42"/>
        </w:numPr>
        <w:spacing w:after="120" w:line="367" w:lineRule="auto"/>
        <w:ind w:left="958" w:right="62" w:hanging="567"/>
      </w:pPr>
      <w:r w:rsidRPr="00AD0647">
        <w:rPr>
          <w:color w:val="auto"/>
        </w:rPr>
        <w:t>A proportionate approach to assurance will be taken based on NITHC’s overall purpose, business and budget and a mutual understanding of risk</w:t>
      </w:r>
      <w:r w:rsidR="004942C7" w:rsidRPr="00AD0647">
        <w:rPr>
          <w:color w:val="auto"/>
        </w:rPr>
        <w:t xml:space="preserve">. </w:t>
      </w:r>
      <w:r w:rsidRPr="00AD0647">
        <w:rPr>
          <w:color w:val="auto"/>
        </w:rPr>
        <w:t>The approach will include an agreed process through which NITHC</w:t>
      </w:r>
      <w:r w:rsidR="00A5517F" w:rsidRPr="00AD0647">
        <w:rPr>
          <w:color w:val="auto"/>
        </w:rPr>
        <w:t>’s</w:t>
      </w:r>
      <w:r w:rsidRPr="00AD0647">
        <w:rPr>
          <w:color w:val="auto"/>
        </w:rPr>
        <w:t xml:space="preserve"> Accounting Officer provides </w:t>
      </w:r>
      <w:r w:rsidR="005F11C9" w:rsidRPr="00AD0647">
        <w:rPr>
          <w:color w:val="auto"/>
        </w:rPr>
        <w:t xml:space="preserve">annual </w:t>
      </w:r>
      <w:r w:rsidRPr="00AD0647">
        <w:rPr>
          <w:color w:val="auto"/>
        </w:rPr>
        <w:t xml:space="preserve">written assurance to </w:t>
      </w:r>
      <w:r w:rsidR="001F3811" w:rsidRPr="00AD0647">
        <w:rPr>
          <w:color w:val="auto"/>
        </w:rPr>
        <w:t xml:space="preserve">DfI </w:t>
      </w:r>
      <w:r w:rsidRPr="00AD0647">
        <w:rPr>
          <w:color w:val="auto"/>
        </w:rPr>
        <w:t xml:space="preserve">that the public funds and organisational assets for which they are personally responsible are safeguarded, have been managed with propriety and regularity, and use of public funds represents value for money. </w:t>
      </w:r>
    </w:p>
    <w:p w14:paraId="79872C42" w14:textId="77777777" w:rsidR="00C673A9" w:rsidRPr="00AD0647" w:rsidRDefault="00C673A9" w:rsidP="00C673A9">
      <w:pPr>
        <w:spacing w:after="117" w:line="259" w:lineRule="auto"/>
        <w:ind w:left="408" w:firstLine="0"/>
        <w:jc w:val="left"/>
      </w:pPr>
      <w:r w:rsidRPr="00AD0647">
        <w:t xml:space="preserve"> </w:t>
      </w:r>
    </w:p>
    <w:p w14:paraId="51B9E92B" w14:textId="3DFE6057" w:rsidR="00C673A9" w:rsidRPr="00AD0647" w:rsidRDefault="00C673A9" w:rsidP="00871966">
      <w:pPr>
        <w:pStyle w:val="ListParagraph"/>
        <w:numPr>
          <w:ilvl w:val="1"/>
          <w:numId w:val="42"/>
        </w:numPr>
        <w:spacing w:after="120" w:line="367" w:lineRule="auto"/>
        <w:ind w:left="958" w:right="62" w:hanging="567"/>
      </w:pPr>
      <w:r w:rsidRPr="00AD0647">
        <w:rPr>
          <w:color w:val="auto"/>
        </w:rPr>
        <w:t>Recognising the governance arrangements in place within the organisation, NITHC</w:t>
      </w:r>
      <w:r w:rsidR="00A5517F" w:rsidRPr="00AD0647">
        <w:rPr>
          <w:color w:val="auto"/>
        </w:rPr>
        <w:t>’s</w:t>
      </w:r>
      <w:r w:rsidRPr="00AD0647">
        <w:rPr>
          <w:color w:val="auto"/>
        </w:rPr>
        <w:t xml:space="preserve"> Accounting Officer will arrange for their </w:t>
      </w:r>
      <w:r w:rsidR="00E91257" w:rsidRPr="00AD0647">
        <w:rPr>
          <w:color w:val="auto"/>
        </w:rPr>
        <w:t>bi-</w:t>
      </w:r>
      <w:r w:rsidR="005F11C9" w:rsidRPr="00AD0647">
        <w:rPr>
          <w:color w:val="auto"/>
        </w:rPr>
        <w:t xml:space="preserve">annual </w:t>
      </w:r>
      <w:r w:rsidRPr="00AD0647">
        <w:rPr>
          <w:color w:val="auto"/>
        </w:rPr>
        <w:t xml:space="preserve">written assurance to be discussed at the NITHC Audit and Risk Committee and presented </w:t>
      </w:r>
      <w:r w:rsidR="007F4D9C" w:rsidRPr="00AD0647">
        <w:rPr>
          <w:color w:val="auto"/>
        </w:rPr>
        <w:t>to NITHC’s</w:t>
      </w:r>
      <w:r w:rsidRPr="00AD0647">
        <w:rPr>
          <w:color w:val="auto"/>
        </w:rPr>
        <w:t xml:space="preserve"> Board prior to submission to </w:t>
      </w:r>
      <w:r w:rsidR="00C14D59" w:rsidRPr="00AD0647">
        <w:rPr>
          <w:color w:val="auto"/>
        </w:rPr>
        <w:t xml:space="preserve">DfI </w:t>
      </w:r>
      <w:r w:rsidRPr="00AD0647">
        <w:rPr>
          <w:color w:val="auto"/>
        </w:rPr>
        <w:t>where possible. If not possible, or practicable, the Chair of NITHC</w:t>
      </w:r>
      <w:r w:rsidR="00A5517F" w:rsidRPr="00AD0647">
        <w:rPr>
          <w:color w:val="auto"/>
        </w:rPr>
        <w:t>’s</w:t>
      </w:r>
      <w:r w:rsidRPr="00AD0647">
        <w:rPr>
          <w:color w:val="auto"/>
        </w:rPr>
        <w:t xml:space="preserve"> Board should have sight of the assurance statement, prior to being submitted to </w:t>
      </w:r>
      <w:r w:rsidR="00A5517F" w:rsidRPr="00AD0647">
        <w:rPr>
          <w:color w:val="auto"/>
        </w:rPr>
        <w:t>DfI.</w:t>
      </w:r>
    </w:p>
    <w:p w14:paraId="643306F0" w14:textId="77777777" w:rsidR="00C673A9" w:rsidRPr="00AD0647" w:rsidRDefault="00C673A9" w:rsidP="00C673A9">
      <w:pPr>
        <w:spacing w:after="115" w:line="259" w:lineRule="auto"/>
        <w:ind w:left="771" w:firstLine="0"/>
        <w:jc w:val="left"/>
      </w:pPr>
      <w:r w:rsidRPr="00AD0647">
        <w:t xml:space="preserve"> </w:t>
      </w:r>
    </w:p>
    <w:p w14:paraId="149E09BF" w14:textId="2107DC4B" w:rsidR="00C673A9" w:rsidRPr="00AD0647" w:rsidRDefault="000F40A1" w:rsidP="00871966">
      <w:pPr>
        <w:pStyle w:val="ListParagraph"/>
        <w:numPr>
          <w:ilvl w:val="1"/>
          <w:numId w:val="42"/>
        </w:numPr>
        <w:spacing w:after="120" w:line="367" w:lineRule="auto"/>
        <w:ind w:left="958" w:right="62" w:hanging="567"/>
      </w:pPr>
      <w:r>
        <w:t xml:space="preserve">The minutes of the relevant NITHC Board Meeting will </w:t>
      </w:r>
      <w:r w:rsidR="00645899">
        <w:t>reflect</w:t>
      </w:r>
      <w:r>
        <w:t xml:space="preserve"> that the </w:t>
      </w:r>
      <w:r w:rsidR="005A1906">
        <w:t xml:space="preserve">NITHC </w:t>
      </w:r>
      <w:r>
        <w:t>Board</w:t>
      </w:r>
      <w:r w:rsidR="00764123">
        <w:t>/</w:t>
      </w:r>
      <w:r w:rsidR="00C673A9" w:rsidRPr="00AD0647">
        <w:rPr>
          <w:color w:val="auto"/>
        </w:rPr>
        <w:t xml:space="preserve">Chair </w:t>
      </w:r>
      <w:r w:rsidR="00764123">
        <w:rPr>
          <w:color w:val="auto"/>
        </w:rPr>
        <w:t>has had sight of the assurance statement.</w:t>
      </w:r>
    </w:p>
    <w:p w14:paraId="0DE88EB9" w14:textId="77777777" w:rsidR="00C673A9" w:rsidRPr="00AD0647" w:rsidRDefault="00C673A9" w:rsidP="00C673A9">
      <w:pPr>
        <w:spacing w:after="130" w:line="259" w:lineRule="auto"/>
        <w:ind w:left="408" w:firstLine="0"/>
        <w:jc w:val="left"/>
      </w:pPr>
      <w:r w:rsidRPr="00AD0647">
        <w:t xml:space="preserve"> </w:t>
      </w:r>
    </w:p>
    <w:p w14:paraId="2DB81ABC" w14:textId="3C8E6E69" w:rsidR="00C673A9" w:rsidRPr="00AD0647" w:rsidRDefault="00C673A9" w:rsidP="00871966">
      <w:pPr>
        <w:pStyle w:val="ListParagraph"/>
        <w:numPr>
          <w:ilvl w:val="1"/>
          <w:numId w:val="42"/>
        </w:numPr>
        <w:spacing w:after="120" w:line="367" w:lineRule="auto"/>
        <w:ind w:left="958" w:right="62" w:hanging="567"/>
        <w:rPr>
          <w:color w:val="auto"/>
        </w:rPr>
      </w:pPr>
      <w:r w:rsidRPr="00AD0647">
        <w:rPr>
          <w:color w:val="auto"/>
        </w:rPr>
        <w:t>In addition to NITHC</w:t>
      </w:r>
      <w:r w:rsidR="00A5517F" w:rsidRPr="00AD0647">
        <w:rPr>
          <w:color w:val="auto"/>
        </w:rPr>
        <w:t>’s</w:t>
      </w:r>
      <w:r w:rsidRPr="00AD0647">
        <w:rPr>
          <w:color w:val="auto"/>
        </w:rPr>
        <w:t xml:space="preserve"> Accounting Officer’s written assurance, </w:t>
      </w:r>
      <w:r w:rsidR="00C14D59" w:rsidRPr="00AD0647">
        <w:rPr>
          <w:color w:val="auto"/>
        </w:rPr>
        <w:t xml:space="preserve">DfI </w:t>
      </w:r>
      <w:r w:rsidRPr="00AD0647">
        <w:rPr>
          <w:color w:val="auto"/>
        </w:rPr>
        <w:t xml:space="preserve">will take assurance from the following key aspects of NITHC’s own governance framework: </w:t>
      </w:r>
    </w:p>
    <w:p w14:paraId="0AE67BBC" w14:textId="77777777" w:rsidR="001A7DBE" w:rsidRPr="00AD0647" w:rsidRDefault="001A7DBE" w:rsidP="00C673A9">
      <w:pPr>
        <w:ind w:left="959" w:right="60" w:hanging="566"/>
        <w:rPr>
          <w:color w:val="auto"/>
        </w:rPr>
      </w:pPr>
    </w:p>
    <w:p w14:paraId="4725A22E" w14:textId="77777777" w:rsidR="00C673A9" w:rsidRPr="00AD0647" w:rsidRDefault="00C673A9" w:rsidP="00C673A9">
      <w:pPr>
        <w:numPr>
          <w:ilvl w:val="0"/>
          <w:numId w:val="7"/>
        </w:numPr>
        <w:spacing w:line="360" w:lineRule="auto"/>
        <w:ind w:right="60" w:hanging="360"/>
        <w:rPr>
          <w:color w:val="auto"/>
        </w:rPr>
      </w:pPr>
      <w:r w:rsidRPr="00AD0647">
        <w:rPr>
          <w:color w:val="auto"/>
        </w:rPr>
        <w:lastRenderedPageBreak/>
        <w:t xml:space="preserve">Annual Review of Board Effectiveness; </w:t>
      </w:r>
    </w:p>
    <w:p w14:paraId="09CB921C" w14:textId="77777777" w:rsidR="00C673A9" w:rsidRPr="00AD0647" w:rsidRDefault="00C673A9" w:rsidP="00C673A9">
      <w:pPr>
        <w:numPr>
          <w:ilvl w:val="0"/>
          <w:numId w:val="7"/>
        </w:numPr>
        <w:spacing w:line="360" w:lineRule="auto"/>
        <w:ind w:right="60" w:hanging="360"/>
        <w:rPr>
          <w:color w:val="auto"/>
        </w:rPr>
      </w:pPr>
      <w:r w:rsidRPr="00AD0647">
        <w:rPr>
          <w:color w:val="auto"/>
        </w:rPr>
        <w:t>Completion of</w:t>
      </w:r>
      <w:r w:rsidR="0078126F" w:rsidRPr="00AD0647">
        <w:rPr>
          <w:color w:val="auto"/>
        </w:rPr>
        <w:t xml:space="preserve"> Board </w:t>
      </w:r>
      <w:r w:rsidR="00D70103" w:rsidRPr="00AD0647">
        <w:rPr>
          <w:color w:val="auto"/>
        </w:rPr>
        <w:t>Appraisals</w:t>
      </w:r>
      <w:r w:rsidR="0078126F" w:rsidRPr="00AD0647">
        <w:rPr>
          <w:color w:val="auto"/>
        </w:rPr>
        <w:t xml:space="preserve"> </w:t>
      </w:r>
      <w:r w:rsidRPr="00AD0647">
        <w:rPr>
          <w:color w:val="auto"/>
        </w:rPr>
        <w:t xml:space="preserve">which confirm Board member effectiveness; </w:t>
      </w:r>
    </w:p>
    <w:p w14:paraId="61B0F604" w14:textId="77777777" w:rsidR="00C673A9" w:rsidRPr="00AD0647" w:rsidRDefault="00C673A9" w:rsidP="00C673A9">
      <w:pPr>
        <w:numPr>
          <w:ilvl w:val="0"/>
          <w:numId w:val="7"/>
        </w:numPr>
        <w:spacing w:line="360" w:lineRule="auto"/>
        <w:ind w:right="60" w:hanging="360"/>
        <w:rPr>
          <w:color w:val="auto"/>
        </w:rPr>
      </w:pPr>
      <w:r w:rsidRPr="00AD0647">
        <w:rPr>
          <w:color w:val="auto"/>
        </w:rPr>
        <w:t xml:space="preserve">Internal Audit assurance and External Quality Assessment of the Internal Audit function;  </w:t>
      </w:r>
    </w:p>
    <w:p w14:paraId="5CDAD9FB" w14:textId="77777777" w:rsidR="00C673A9" w:rsidRPr="00AD0647" w:rsidRDefault="00C673A9" w:rsidP="00C673A9">
      <w:pPr>
        <w:numPr>
          <w:ilvl w:val="0"/>
          <w:numId w:val="7"/>
        </w:numPr>
        <w:spacing w:line="360" w:lineRule="auto"/>
        <w:ind w:right="60" w:hanging="360"/>
        <w:rPr>
          <w:color w:val="auto"/>
        </w:rPr>
      </w:pPr>
      <w:r w:rsidRPr="00AD0647">
        <w:rPr>
          <w:color w:val="auto"/>
        </w:rPr>
        <w:t>Externally audited Annual Report and Accounts, reviewed/considered by the NITHC</w:t>
      </w:r>
      <w:r w:rsidRPr="00AD0647">
        <w:rPr>
          <w:i/>
          <w:color w:val="auto"/>
        </w:rPr>
        <w:t xml:space="preserve"> </w:t>
      </w:r>
      <w:r w:rsidRPr="00AD0647">
        <w:rPr>
          <w:color w:val="auto"/>
        </w:rPr>
        <w:t xml:space="preserve">Audit and Risk Assurance Committee. </w:t>
      </w:r>
    </w:p>
    <w:p w14:paraId="52E96CEA" w14:textId="77777777" w:rsidR="00C673A9" w:rsidRPr="00AD0647" w:rsidRDefault="00C673A9" w:rsidP="00C673A9">
      <w:pPr>
        <w:spacing w:after="117" w:line="259" w:lineRule="auto"/>
        <w:ind w:left="408" w:firstLine="0"/>
        <w:jc w:val="left"/>
        <w:rPr>
          <w:color w:val="auto"/>
        </w:rPr>
      </w:pPr>
      <w:r w:rsidRPr="00AD0647">
        <w:rPr>
          <w:color w:val="auto"/>
        </w:rPr>
        <w:t xml:space="preserve"> </w:t>
      </w:r>
    </w:p>
    <w:p w14:paraId="60043B13" w14:textId="6CB0BEF7" w:rsidR="00C673A9" w:rsidRPr="00AD0647" w:rsidRDefault="00C673A9" w:rsidP="00871966">
      <w:pPr>
        <w:pStyle w:val="Heading2"/>
        <w:numPr>
          <w:ilvl w:val="0"/>
          <w:numId w:val="42"/>
        </w:numPr>
        <w:tabs>
          <w:tab w:val="center" w:pos="509"/>
          <w:tab w:val="left" w:pos="993"/>
          <w:tab w:val="center" w:pos="1561"/>
        </w:tabs>
      </w:pPr>
      <w:bookmarkStart w:id="21" w:name="_Toc74643006"/>
      <w:r w:rsidRPr="00AD0647">
        <w:t>Board Effectiveness</w:t>
      </w:r>
      <w:bookmarkEnd w:id="21"/>
      <w:r w:rsidRPr="00AD0647">
        <w:t xml:space="preserve"> </w:t>
      </w:r>
    </w:p>
    <w:p w14:paraId="1D5B4197" w14:textId="77777777" w:rsidR="00C673A9" w:rsidRPr="00AD0647" w:rsidRDefault="00C673A9" w:rsidP="00C673A9">
      <w:pPr>
        <w:spacing w:after="115" w:line="259" w:lineRule="auto"/>
        <w:ind w:left="408" w:firstLine="0"/>
        <w:jc w:val="left"/>
      </w:pPr>
      <w:r w:rsidRPr="00AD0647">
        <w:t xml:space="preserve"> </w:t>
      </w:r>
    </w:p>
    <w:p w14:paraId="1FF31C96" w14:textId="5995C3C1" w:rsidR="004D49F7" w:rsidRDefault="00C673A9" w:rsidP="00E60CC0">
      <w:pPr>
        <w:pStyle w:val="ListParagraph"/>
        <w:numPr>
          <w:ilvl w:val="1"/>
          <w:numId w:val="42"/>
        </w:numPr>
        <w:spacing w:after="120" w:line="367" w:lineRule="auto"/>
        <w:ind w:left="958" w:right="62" w:hanging="567"/>
        <w:rPr>
          <w:color w:val="auto"/>
        </w:rPr>
      </w:pPr>
      <w:r w:rsidRPr="00AD0647">
        <w:rPr>
          <w:color w:val="auto"/>
        </w:rPr>
        <w:t>NITHC</w:t>
      </w:r>
      <w:r w:rsidR="00A5517F" w:rsidRPr="00AD0647">
        <w:rPr>
          <w:color w:val="auto"/>
        </w:rPr>
        <w:t>’s</w:t>
      </w:r>
      <w:r w:rsidRPr="00AD0647">
        <w:rPr>
          <w:color w:val="auto"/>
        </w:rPr>
        <w:t xml:space="preserve"> Chair will ensure </w:t>
      </w:r>
      <w:r w:rsidR="00931D52" w:rsidRPr="00AD0647">
        <w:rPr>
          <w:color w:val="auto"/>
        </w:rPr>
        <w:t>that NITHC’s</w:t>
      </w:r>
      <w:r w:rsidRPr="00AD0647">
        <w:rPr>
          <w:i/>
          <w:color w:val="auto"/>
        </w:rPr>
        <w:t xml:space="preserve"> </w:t>
      </w:r>
      <w:r w:rsidRPr="00AD0647">
        <w:rPr>
          <w:color w:val="auto"/>
        </w:rPr>
        <w:t xml:space="preserve">Board undertakes an annual review of </w:t>
      </w:r>
      <w:hyperlink r:id="rId29" w:history="1">
        <w:r w:rsidRPr="00450674">
          <w:rPr>
            <w:rStyle w:val="Hyperlink"/>
          </w:rPr>
          <w:t>Board Effectiveness</w:t>
        </w:r>
      </w:hyperlink>
      <w:r w:rsidR="00D93D5B">
        <w:rPr>
          <w:rStyle w:val="FootnoteReference"/>
          <w:color w:val="0563C1" w:themeColor="hyperlink"/>
          <w:u w:val="single"/>
        </w:rPr>
        <w:footnoteReference w:id="18"/>
      </w:r>
      <w:r w:rsidRPr="00AD0647">
        <w:rPr>
          <w:color w:val="auto"/>
        </w:rPr>
        <w:t xml:space="preserve"> which encompasses committees established by the Board.</w:t>
      </w:r>
    </w:p>
    <w:p w14:paraId="7CFAFC13" w14:textId="77777777" w:rsidR="00E60CC0" w:rsidRDefault="00E60CC0" w:rsidP="00E60CC0">
      <w:pPr>
        <w:pStyle w:val="ListParagraph"/>
        <w:spacing w:after="120" w:line="367" w:lineRule="auto"/>
        <w:ind w:left="958" w:right="62" w:firstLine="0"/>
        <w:rPr>
          <w:color w:val="auto"/>
        </w:rPr>
      </w:pPr>
    </w:p>
    <w:p w14:paraId="4C9C7A7D" w14:textId="796329B6" w:rsidR="00C673A9" w:rsidRPr="00AD0647" w:rsidRDefault="00C673A9" w:rsidP="00E60CC0">
      <w:pPr>
        <w:pStyle w:val="ListParagraph"/>
        <w:numPr>
          <w:ilvl w:val="1"/>
          <w:numId w:val="42"/>
        </w:numPr>
        <w:spacing w:after="120" w:line="367" w:lineRule="auto"/>
        <w:ind w:left="958" w:right="62" w:hanging="567"/>
        <w:rPr>
          <w:color w:val="auto"/>
        </w:rPr>
      </w:pPr>
      <w:r w:rsidRPr="00AD0647">
        <w:rPr>
          <w:color w:val="auto"/>
        </w:rPr>
        <w:t xml:space="preserve">The Chair will discuss the outcome of the annual review of </w:t>
      </w:r>
      <w:r w:rsidRPr="00450674">
        <w:rPr>
          <w:rStyle w:val="Hyperlink"/>
          <w:color w:val="auto"/>
          <w:u w:val="none"/>
        </w:rPr>
        <w:t>Board Effectiveness</w:t>
      </w:r>
      <w:r w:rsidRPr="00450674">
        <w:rPr>
          <w:color w:val="auto"/>
        </w:rPr>
        <w:t xml:space="preserve"> </w:t>
      </w:r>
      <w:r w:rsidRPr="00AD0647">
        <w:rPr>
          <w:color w:val="auto"/>
        </w:rPr>
        <w:t xml:space="preserve">with </w:t>
      </w:r>
      <w:r w:rsidR="00EF06D0" w:rsidRPr="00AD0647">
        <w:rPr>
          <w:color w:val="auto"/>
        </w:rPr>
        <w:t xml:space="preserve">the </w:t>
      </w:r>
      <w:r w:rsidR="00C70B8A" w:rsidRPr="00AD0647">
        <w:rPr>
          <w:color w:val="auto"/>
        </w:rPr>
        <w:t>DfI</w:t>
      </w:r>
      <w:r w:rsidR="00EF06D0" w:rsidRPr="00AD0647">
        <w:rPr>
          <w:color w:val="auto"/>
        </w:rPr>
        <w:t xml:space="preserve"> Permanent Secretary</w:t>
      </w:r>
      <w:r w:rsidR="00931D52" w:rsidRPr="00AD0647">
        <w:rPr>
          <w:color w:val="auto"/>
        </w:rPr>
        <w:t xml:space="preserve"> to</w:t>
      </w:r>
      <w:r w:rsidRPr="00AD0647">
        <w:rPr>
          <w:color w:val="auto"/>
        </w:rPr>
        <w:t xml:space="preserve"> ensure a partnership approach to any improvements</w:t>
      </w:r>
      <w:r w:rsidR="00A5517F" w:rsidRPr="00AD0647">
        <w:rPr>
          <w:color w:val="auto"/>
        </w:rPr>
        <w:t xml:space="preserve"> is</w:t>
      </w:r>
      <w:r w:rsidRPr="00AD0647">
        <w:rPr>
          <w:color w:val="auto"/>
        </w:rPr>
        <w:t xml:space="preserve"> identified. This will inform the annual programme of Board training/development and discussions in respect of Board composition and succession</w:t>
      </w:r>
      <w:r w:rsidR="004942C7" w:rsidRPr="00AD0647">
        <w:rPr>
          <w:color w:val="auto"/>
        </w:rPr>
        <w:t xml:space="preserve">. </w:t>
      </w:r>
    </w:p>
    <w:p w14:paraId="2A13D8A4" w14:textId="77777777" w:rsidR="00C673A9" w:rsidRPr="00AD0647" w:rsidRDefault="00C673A9" w:rsidP="00C673A9">
      <w:pPr>
        <w:spacing w:after="115" w:line="259" w:lineRule="auto"/>
        <w:ind w:left="975" w:firstLine="0"/>
        <w:jc w:val="left"/>
      </w:pPr>
      <w:r w:rsidRPr="00AD0647">
        <w:t xml:space="preserve"> </w:t>
      </w:r>
    </w:p>
    <w:p w14:paraId="566ACD24" w14:textId="3DEFD647" w:rsidR="00C673A9" w:rsidRPr="00AD0647" w:rsidRDefault="00C673A9" w:rsidP="00E60CC0">
      <w:pPr>
        <w:pStyle w:val="ListParagraph"/>
        <w:numPr>
          <w:ilvl w:val="1"/>
          <w:numId w:val="42"/>
        </w:numPr>
        <w:spacing w:after="120" w:line="367" w:lineRule="auto"/>
        <w:ind w:left="958" w:right="62" w:hanging="567"/>
        <w:rPr>
          <w:color w:val="auto"/>
        </w:rPr>
      </w:pPr>
      <w:r w:rsidRPr="00AD0647">
        <w:rPr>
          <w:color w:val="auto"/>
        </w:rPr>
        <w:t>In line with any parameters set out in founding (or other) legislation, the Chair in conjunction with</w:t>
      </w:r>
      <w:r w:rsidR="0078126F" w:rsidRPr="00AD0647">
        <w:rPr>
          <w:color w:val="auto"/>
        </w:rPr>
        <w:t xml:space="preserve"> </w:t>
      </w:r>
      <w:r w:rsidR="00821551" w:rsidRPr="00AD0647">
        <w:rPr>
          <w:color w:val="auto"/>
        </w:rPr>
        <w:t>DfI</w:t>
      </w:r>
      <w:r w:rsidRPr="00AD0647">
        <w:rPr>
          <w:color w:val="auto"/>
        </w:rPr>
        <w:t>, and Ministers where appropriate, will consider the size and composition of NITHC</w:t>
      </w:r>
      <w:r w:rsidR="00A5517F" w:rsidRPr="00AD0647">
        <w:rPr>
          <w:color w:val="auto"/>
        </w:rPr>
        <w:t>’s</w:t>
      </w:r>
      <w:r w:rsidRPr="00AD0647">
        <w:rPr>
          <w:i/>
          <w:color w:val="auto"/>
        </w:rPr>
        <w:t xml:space="preserve"> </w:t>
      </w:r>
      <w:r w:rsidRPr="00AD0647">
        <w:rPr>
          <w:color w:val="auto"/>
        </w:rPr>
        <w:t>Board, proportionate to the size and complexity of NITHC</w:t>
      </w:r>
      <w:r w:rsidRPr="00AD0647">
        <w:rPr>
          <w:i/>
          <w:color w:val="auto"/>
        </w:rPr>
        <w:t xml:space="preserve"> </w:t>
      </w:r>
      <w:r w:rsidRPr="00AD0647">
        <w:rPr>
          <w:color w:val="auto"/>
        </w:rPr>
        <w:t xml:space="preserve">and keep this under review. </w:t>
      </w:r>
    </w:p>
    <w:p w14:paraId="5A4CB571" w14:textId="77777777" w:rsidR="00C673A9" w:rsidRPr="00AD0647" w:rsidRDefault="00C673A9" w:rsidP="00C673A9">
      <w:pPr>
        <w:spacing w:after="115" w:line="259" w:lineRule="auto"/>
        <w:ind w:left="771" w:firstLine="0"/>
        <w:jc w:val="left"/>
        <w:rPr>
          <w:color w:val="auto"/>
        </w:rPr>
      </w:pPr>
      <w:r w:rsidRPr="00AD0647">
        <w:rPr>
          <w:color w:val="auto"/>
        </w:rPr>
        <w:t xml:space="preserve"> </w:t>
      </w:r>
    </w:p>
    <w:p w14:paraId="4BD9A84F" w14:textId="77B31977" w:rsidR="00C673A9" w:rsidRPr="00AD0647" w:rsidRDefault="00E60CC0" w:rsidP="00E60CC0">
      <w:pPr>
        <w:pStyle w:val="ListParagraph"/>
        <w:numPr>
          <w:ilvl w:val="1"/>
          <w:numId w:val="42"/>
        </w:numPr>
        <w:spacing w:after="120" w:line="367" w:lineRule="auto"/>
        <w:ind w:left="958" w:right="62" w:hanging="567"/>
        <w:rPr>
          <w:color w:val="auto"/>
        </w:rPr>
      </w:pPr>
      <w:r>
        <w:rPr>
          <w:color w:val="auto"/>
        </w:rPr>
        <w:t>I</w:t>
      </w:r>
      <w:r w:rsidR="00C673A9" w:rsidRPr="00AD0647">
        <w:rPr>
          <w:color w:val="auto"/>
        </w:rPr>
        <w:t xml:space="preserve">n addition to the annual review of </w:t>
      </w:r>
      <w:r w:rsidR="00C673A9" w:rsidRPr="00450674">
        <w:rPr>
          <w:rStyle w:val="Hyperlink"/>
          <w:color w:val="auto"/>
          <w:u w:val="none"/>
        </w:rPr>
        <w:t>Board Effectiveness</w:t>
      </w:r>
      <w:r w:rsidR="00C673A9" w:rsidRPr="00450674">
        <w:rPr>
          <w:color w:val="auto"/>
        </w:rPr>
        <w:t xml:space="preserve"> </w:t>
      </w:r>
      <w:r w:rsidR="00C673A9" w:rsidRPr="00AD0647">
        <w:rPr>
          <w:color w:val="auto"/>
        </w:rPr>
        <w:t>NITHC</w:t>
      </w:r>
      <w:r w:rsidR="00C673A9" w:rsidRPr="00AD0647">
        <w:rPr>
          <w:i/>
          <w:color w:val="auto"/>
        </w:rPr>
        <w:t xml:space="preserve"> </w:t>
      </w:r>
      <w:r w:rsidR="00C673A9" w:rsidRPr="00AD0647">
        <w:rPr>
          <w:color w:val="auto"/>
        </w:rPr>
        <w:t xml:space="preserve">will undertake an externally facilitated review of </w:t>
      </w:r>
      <w:r w:rsidR="00C673A9" w:rsidRPr="00450674">
        <w:rPr>
          <w:rStyle w:val="Hyperlink"/>
          <w:color w:val="auto"/>
          <w:u w:val="none"/>
        </w:rPr>
        <w:t>Board effectiveness</w:t>
      </w:r>
      <w:r w:rsidR="00C673A9" w:rsidRPr="00450674">
        <w:rPr>
          <w:color w:val="auto"/>
        </w:rPr>
        <w:t xml:space="preserve"> </w:t>
      </w:r>
      <w:r w:rsidR="00C673A9" w:rsidRPr="00AD0647">
        <w:rPr>
          <w:color w:val="auto"/>
        </w:rPr>
        <w:t xml:space="preserve">at least once every three years covering the performance of the Board, its Committees and individual Board members. The Chair </w:t>
      </w:r>
      <w:r w:rsidR="00247600" w:rsidRPr="00AD0647">
        <w:rPr>
          <w:color w:val="auto"/>
        </w:rPr>
        <w:t>and the Senior Independent Director</w:t>
      </w:r>
      <w:r w:rsidR="00506A1B" w:rsidRPr="00AD0647">
        <w:rPr>
          <w:color w:val="auto"/>
        </w:rPr>
        <w:t xml:space="preserve"> </w:t>
      </w:r>
      <w:r w:rsidR="00C673A9" w:rsidRPr="00AD0647">
        <w:rPr>
          <w:color w:val="auto"/>
        </w:rPr>
        <w:t xml:space="preserve">will identify a suitably skilled facilitator for the external review (this can be a peer </w:t>
      </w:r>
      <w:r w:rsidR="00721616" w:rsidRPr="00AD0647">
        <w:rPr>
          <w:color w:val="auto"/>
        </w:rPr>
        <w:t>review and</w:t>
      </w:r>
      <w:r w:rsidR="00C673A9" w:rsidRPr="00AD0647">
        <w:rPr>
          <w:color w:val="auto"/>
        </w:rPr>
        <w:t xml:space="preserve"> should be proportionate) and will share the findings/outcome report </w:t>
      </w:r>
      <w:r w:rsidR="00931D52" w:rsidRPr="00AD0647">
        <w:rPr>
          <w:color w:val="auto"/>
        </w:rPr>
        <w:t>with DfI</w:t>
      </w:r>
      <w:r w:rsidR="00C673A9" w:rsidRPr="00AD0647">
        <w:rPr>
          <w:color w:val="auto"/>
        </w:rPr>
        <w:t xml:space="preserve"> on completion of the review. </w:t>
      </w:r>
    </w:p>
    <w:p w14:paraId="37371480" w14:textId="2426DEB4" w:rsidR="004D49F7" w:rsidRPr="00AD0647" w:rsidRDefault="004D49F7" w:rsidP="003E5315">
      <w:pPr>
        <w:spacing w:after="117" w:line="259" w:lineRule="auto"/>
        <w:ind w:left="771" w:firstLine="0"/>
        <w:jc w:val="left"/>
      </w:pPr>
    </w:p>
    <w:p w14:paraId="25010D86" w14:textId="0CE2BD09" w:rsidR="00C673A9" w:rsidRDefault="00C673A9" w:rsidP="00E60CC0">
      <w:pPr>
        <w:pStyle w:val="Heading2"/>
        <w:numPr>
          <w:ilvl w:val="0"/>
          <w:numId w:val="42"/>
        </w:numPr>
        <w:tabs>
          <w:tab w:val="center" w:pos="509"/>
          <w:tab w:val="left" w:pos="993"/>
          <w:tab w:val="center" w:pos="1561"/>
        </w:tabs>
      </w:pPr>
      <w:bookmarkStart w:id="22" w:name="_Toc74643007"/>
      <w:r w:rsidRPr="00AD0647">
        <w:lastRenderedPageBreak/>
        <w:t>Board Appraisals</w:t>
      </w:r>
      <w:bookmarkEnd w:id="22"/>
    </w:p>
    <w:p w14:paraId="7A2D836F" w14:textId="77777777" w:rsidR="00E60CC0" w:rsidRPr="00E60CC0" w:rsidRDefault="00E60CC0" w:rsidP="00E60CC0"/>
    <w:p w14:paraId="347092FD" w14:textId="1E8B49F0" w:rsidR="00C673A9" w:rsidRPr="00AD0647" w:rsidRDefault="00C673A9" w:rsidP="00E60CC0">
      <w:pPr>
        <w:pStyle w:val="ListParagraph"/>
        <w:numPr>
          <w:ilvl w:val="1"/>
          <w:numId w:val="42"/>
        </w:numPr>
        <w:spacing w:after="120" w:line="367" w:lineRule="auto"/>
        <w:ind w:left="958" w:right="62" w:hanging="567"/>
      </w:pPr>
      <w:r w:rsidRPr="00AD0647">
        <w:rPr>
          <w:color w:val="auto"/>
        </w:rPr>
        <w:t>The Chair of NITHC</w:t>
      </w:r>
      <w:r w:rsidRPr="00AD0647">
        <w:rPr>
          <w:i/>
          <w:color w:val="auto"/>
        </w:rPr>
        <w:t xml:space="preserve"> </w:t>
      </w:r>
      <w:r w:rsidRPr="00AD0647">
        <w:rPr>
          <w:color w:val="auto"/>
        </w:rPr>
        <w:t xml:space="preserve">will conduct an annual appraisal in respect of each </w:t>
      </w:r>
      <w:r w:rsidR="007D60D8" w:rsidRPr="00AD0647">
        <w:rPr>
          <w:color w:val="auto"/>
        </w:rPr>
        <w:t xml:space="preserve">non-executive </w:t>
      </w:r>
      <w:r w:rsidRPr="00AD0647">
        <w:rPr>
          <w:color w:val="auto"/>
        </w:rPr>
        <w:t xml:space="preserve">Board member at the end of each year. The appraisal will also inform the annual programme of Board training/development. The Chair will engage with the Chief </w:t>
      </w:r>
      <w:r w:rsidRPr="00AD0647">
        <w:t>Executive/</w:t>
      </w:r>
      <w:r w:rsidR="00E866D7" w:rsidRPr="00AD0647">
        <w:t>DfI</w:t>
      </w:r>
      <w:r w:rsidR="005F11C9" w:rsidRPr="00AD0647">
        <w:t>,</w:t>
      </w:r>
      <w:r w:rsidRPr="00AD0647">
        <w:t xml:space="preserve"> as appropriate</w:t>
      </w:r>
      <w:r w:rsidR="005F11C9" w:rsidRPr="00AD0647">
        <w:t>,</w:t>
      </w:r>
      <w:r w:rsidRPr="00AD0647">
        <w:t xml:space="preserve"> on improvements identified through the appraisal process and the annual training/development programme. </w:t>
      </w:r>
    </w:p>
    <w:p w14:paraId="5DC3CE6C" w14:textId="77777777" w:rsidR="00C673A9" w:rsidRPr="00AD0647" w:rsidRDefault="00C673A9" w:rsidP="00C673A9">
      <w:pPr>
        <w:ind w:left="959" w:right="60" w:hanging="566"/>
        <w:rPr>
          <w:color w:val="auto"/>
        </w:rPr>
      </w:pPr>
    </w:p>
    <w:p w14:paraId="3BD2EF42" w14:textId="0DF6DDD9" w:rsidR="00C673A9" w:rsidRPr="00AD0647" w:rsidRDefault="00C673A9" w:rsidP="00E60CC0">
      <w:pPr>
        <w:pStyle w:val="ListParagraph"/>
        <w:numPr>
          <w:ilvl w:val="1"/>
          <w:numId w:val="42"/>
        </w:numPr>
        <w:spacing w:after="120" w:line="367" w:lineRule="auto"/>
        <w:ind w:left="958" w:right="62" w:hanging="567"/>
        <w:rPr>
          <w:color w:val="auto"/>
        </w:rPr>
      </w:pPr>
      <w:r w:rsidRPr="00AD0647">
        <w:rPr>
          <w:color w:val="auto"/>
        </w:rPr>
        <w:t xml:space="preserve">The Chair’s annual appraisal will be completed by </w:t>
      </w:r>
      <w:r w:rsidR="00D70103" w:rsidRPr="00AD0647">
        <w:rPr>
          <w:color w:val="auto"/>
        </w:rPr>
        <w:t xml:space="preserve">DfI’s </w:t>
      </w:r>
      <w:r w:rsidRPr="00AD0647">
        <w:rPr>
          <w:color w:val="auto"/>
        </w:rPr>
        <w:t xml:space="preserve">Accounting Officer, or </w:t>
      </w:r>
      <w:r w:rsidR="005F11C9" w:rsidRPr="00AD0647">
        <w:rPr>
          <w:color w:val="auto"/>
        </w:rPr>
        <w:t xml:space="preserve"> </w:t>
      </w:r>
      <w:r w:rsidR="004C48B0" w:rsidRPr="00AD0647">
        <w:rPr>
          <w:color w:val="auto"/>
        </w:rPr>
        <w:t xml:space="preserve"> Senior Official</w:t>
      </w:r>
      <w:r w:rsidR="005F11C9" w:rsidRPr="00AD0647">
        <w:rPr>
          <w:color w:val="auto"/>
        </w:rPr>
        <w:t xml:space="preserve"> </w:t>
      </w:r>
      <w:r w:rsidRPr="00AD0647">
        <w:rPr>
          <w:color w:val="auto"/>
        </w:rPr>
        <w:t xml:space="preserve">acting on </w:t>
      </w:r>
      <w:r w:rsidR="005A7E0E" w:rsidRPr="00AD0647">
        <w:rPr>
          <w:color w:val="auto"/>
        </w:rPr>
        <w:t>their</w:t>
      </w:r>
      <w:r w:rsidRPr="00AD0647">
        <w:rPr>
          <w:color w:val="auto"/>
        </w:rPr>
        <w:t xml:space="preserve"> behalf </w:t>
      </w:r>
      <w:r w:rsidR="0078126F" w:rsidRPr="00AD0647">
        <w:rPr>
          <w:color w:val="auto"/>
        </w:rPr>
        <w:t>in DfI</w:t>
      </w:r>
      <w:r w:rsidR="004942C7" w:rsidRPr="00AD0647">
        <w:rPr>
          <w:color w:val="auto"/>
        </w:rPr>
        <w:t xml:space="preserve">. </w:t>
      </w:r>
      <w:r w:rsidRPr="00AD0647">
        <w:rPr>
          <w:color w:val="auto"/>
        </w:rPr>
        <w:t>The appr</w:t>
      </w:r>
      <w:r w:rsidR="00D97ED9" w:rsidRPr="00AD0647">
        <w:rPr>
          <w:color w:val="auto"/>
        </w:rPr>
        <w:t xml:space="preserve">aisal will take account of the key </w:t>
      </w:r>
      <w:r w:rsidR="003676C7" w:rsidRPr="00AD0647">
        <w:rPr>
          <w:color w:val="auto"/>
        </w:rPr>
        <w:t>c</w:t>
      </w:r>
      <w:r w:rsidRPr="00AD0647">
        <w:rPr>
          <w:color w:val="auto"/>
        </w:rPr>
        <w:t xml:space="preserve">haracteristics of a good chairperson (particularly for the Chair to have well developed interpersonal skills) set out in the </w:t>
      </w:r>
      <w:hyperlink r:id="rId30" w:history="1">
        <w:r w:rsidRPr="00D93D5B">
          <w:rPr>
            <w:rStyle w:val="Hyperlink"/>
          </w:rPr>
          <w:t>NIAO Good Practice Guide on Board Effectiveness</w:t>
        </w:r>
        <w:r w:rsidR="005F11C9" w:rsidRPr="00D93D5B">
          <w:rPr>
            <w:rStyle w:val="Hyperlink"/>
          </w:rPr>
          <w:t>.</w:t>
        </w:r>
      </w:hyperlink>
      <w:r w:rsidRPr="00AD0647">
        <w:rPr>
          <w:color w:val="auto"/>
        </w:rPr>
        <w:t xml:space="preserve"> There will be close engagement between the Chair and </w:t>
      </w:r>
      <w:r w:rsidR="00E866D7" w:rsidRPr="00AD0647">
        <w:rPr>
          <w:color w:val="auto"/>
        </w:rPr>
        <w:t>DfI</w:t>
      </w:r>
      <w:r w:rsidR="00E866D7" w:rsidRPr="00AD0647">
        <w:rPr>
          <w:color w:val="auto"/>
        </w:rPr>
        <w:tab/>
      </w:r>
      <w:r w:rsidRPr="00AD0647">
        <w:rPr>
          <w:color w:val="auto"/>
        </w:rPr>
        <w:t xml:space="preserve"> on improvements identified through the appraisal process.  </w:t>
      </w:r>
    </w:p>
    <w:p w14:paraId="263191A4" w14:textId="77777777" w:rsidR="00C673A9" w:rsidRPr="00AD0647" w:rsidRDefault="00C673A9" w:rsidP="00C673A9">
      <w:pPr>
        <w:spacing w:after="118" w:line="259" w:lineRule="auto"/>
        <w:ind w:left="408" w:firstLine="0"/>
        <w:jc w:val="left"/>
      </w:pPr>
      <w:r w:rsidRPr="00AD0647">
        <w:t xml:space="preserve"> </w:t>
      </w:r>
    </w:p>
    <w:p w14:paraId="56AD122D" w14:textId="039ACF20" w:rsidR="00C673A9" w:rsidRPr="00AD0647" w:rsidRDefault="00C673A9" w:rsidP="00E60CC0">
      <w:pPr>
        <w:pStyle w:val="Heading2"/>
        <w:numPr>
          <w:ilvl w:val="0"/>
          <w:numId w:val="42"/>
        </w:numPr>
        <w:tabs>
          <w:tab w:val="center" w:pos="509"/>
          <w:tab w:val="left" w:pos="993"/>
          <w:tab w:val="center" w:pos="1561"/>
        </w:tabs>
      </w:pPr>
      <w:bookmarkStart w:id="23" w:name="_Toc74643008"/>
      <w:r w:rsidRPr="00AD0647">
        <w:t>Internal Audit Assurance</w:t>
      </w:r>
      <w:bookmarkEnd w:id="23"/>
      <w:r w:rsidRPr="00AD0647">
        <w:t xml:space="preserve"> </w:t>
      </w:r>
    </w:p>
    <w:p w14:paraId="489F1AC5" w14:textId="77777777" w:rsidR="00C673A9" w:rsidRPr="00AD0647" w:rsidRDefault="00C673A9" w:rsidP="00C673A9">
      <w:pPr>
        <w:spacing w:after="115" w:line="259" w:lineRule="auto"/>
        <w:ind w:left="408" w:firstLine="0"/>
        <w:jc w:val="left"/>
      </w:pPr>
      <w:r w:rsidRPr="00AD0647">
        <w:t xml:space="preserve"> </w:t>
      </w:r>
    </w:p>
    <w:p w14:paraId="1AD2C9EA" w14:textId="03D3ACB8" w:rsidR="00C673A9" w:rsidRPr="00FF12A5" w:rsidRDefault="00C673A9" w:rsidP="00E60CC0">
      <w:pPr>
        <w:pStyle w:val="ListParagraph"/>
        <w:numPr>
          <w:ilvl w:val="1"/>
          <w:numId w:val="42"/>
        </w:numPr>
        <w:spacing w:after="120" w:line="367" w:lineRule="auto"/>
        <w:ind w:left="958" w:right="62" w:hanging="567"/>
        <w:rPr>
          <w:color w:val="auto"/>
        </w:rPr>
      </w:pPr>
      <w:r w:rsidRPr="00AD0647">
        <w:rPr>
          <w:color w:val="auto"/>
        </w:rPr>
        <w:t xml:space="preserve">NITHC is required to establish and maintain arrangements for an internal audit function that operates in accordance with the </w:t>
      </w:r>
      <w:hyperlink r:id="rId31" w:history="1">
        <w:r w:rsidRPr="00D93D5B">
          <w:rPr>
            <w:rStyle w:val="Hyperlink"/>
          </w:rPr>
          <w:t>Public Sector Internal Audit Standards</w:t>
        </w:r>
      </w:hyperlink>
      <w:r w:rsidR="00D93D5B">
        <w:rPr>
          <w:rStyle w:val="FootnoteReference"/>
          <w:color w:val="auto"/>
        </w:rPr>
        <w:footnoteReference w:id="19"/>
      </w:r>
      <w:r w:rsidRPr="00AD0647">
        <w:rPr>
          <w:color w:val="auto"/>
        </w:rPr>
        <w:t xml:space="preserve"> (</w:t>
      </w:r>
      <w:r w:rsidRPr="00AD0647">
        <w:rPr>
          <w:b/>
          <w:bCs/>
          <w:color w:val="auto"/>
        </w:rPr>
        <w:t>PSIAS</w:t>
      </w:r>
      <w:r w:rsidRPr="00AD0647">
        <w:rPr>
          <w:color w:val="auto"/>
        </w:rPr>
        <w:t>).</w:t>
      </w:r>
      <w:r w:rsidR="000A3A52" w:rsidRPr="00AD0647">
        <w:rPr>
          <w:color w:val="auto"/>
        </w:rPr>
        <w:t xml:space="preserve"> </w:t>
      </w:r>
      <w:r w:rsidR="00A602EA" w:rsidRPr="00AD0647">
        <w:rPr>
          <w:color w:val="auto"/>
        </w:rPr>
        <w:t>NITHC</w:t>
      </w:r>
      <w:r w:rsidR="00E85507" w:rsidRPr="00AD0647">
        <w:rPr>
          <w:color w:val="auto"/>
        </w:rPr>
        <w:t xml:space="preserve"> </w:t>
      </w:r>
      <w:r w:rsidR="0073671A" w:rsidRPr="003D4DA2">
        <w:rPr>
          <w:color w:val="auto"/>
        </w:rPr>
        <w:t xml:space="preserve">will provide </w:t>
      </w:r>
      <w:r w:rsidR="006D4434" w:rsidRPr="00AD0647">
        <w:rPr>
          <w:color w:val="auto"/>
        </w:rPr>
        <w:t>DfI</w:t>
      </w:r>
      <w:r w:rsidR="0073671A" w:rsidRPr="00AD0647">
        <w:rPr>
          <w:color w:val="auto"/>
        </w:rPr>
        <w:t xml:space="preserve"> </w:t>
      </w:r>
      <w:r w:rsidR="00833BC5">
        <w:rPr>
          <w:color w:val="auto"/>
        </w:rPr>
        <w:t xml:space="preserve">with assurance that </w:t>
      </w:r>
      <w:r w:rsidRPr="00FF12A5">
        <w:rPr>
          <w:color w:val="auto"/>
        </w:rPr>
        <w:t>the requirements for approving appointments are in accordance with PSIAS</w:t>
      </w:r>
      <w:r w:rsidR="004942C7">
        <w:rPr>
          <w:color w:val="auto"/>
        </w:rPr>
        <w:t>.</w:t>
      </w:r>
      <w:r w:rsidR="004942C7" w:rsidRPr="00FF12A5">
        <w:rPr>
          <w:color w:val="auto"/>
        </w:rPr>
        <w:t xml:space="preserve"> </w:t>
      </w:r>
    </w:p>
    <w:p w14:paraId="2398E163" w14:textId="77777777" w:rsidR="00C673A9" w:rsidRPr="00AD0647" w:rsidRDefault="00C673A9" w:rsidP="00C673A9">
      <w:pPr>
        <w:spacing w:after="115" w:line="259" w:lineRule="auto"/>
        <w:ind w:left="975" w:firstLine="0"/>
        <w:jc w:val="left"/>
        <w:rPr>
          <w:color w:val="auto"/>
        </w:rPr>
      </w:pPr>
      <w:r w:rsidRPr="00AD0647">
        <w:rPr>
          <w:color w:val="auto"/>
        </w:rPr>
        <w:t xml:space="preserve"> </w:t>
      </w:r>
    </w:p>
    <w:p w14:paraId="3B0B6277" w14:textId="2A312825" w:rsidR="00C673A9" w:rsidRPr="00AD0647" w:rsidRDefault="00A870DC" w:rsidP="00E60CC0">
      <w:pPr>
        <w:pStyle w:val="ListParagraph"/>
        <w:numPr>
          <w:ilvl w:val="1"/>
          <w:numId w:val="42"/>
        </w:numPr>
        <w:spacing w:after="120" w:line="367" w:lineRule="auto"/>
        <w:ind w:left="958" w:right="62" w:hanging="567"/>
        <w:rPr>
          <w:color w:val="auto"/>
          <w:u w:val="single"/>
        </w:rPr>
      </w:pPr>
      <w:r w:rsidRPr="00AD0647">
        <w:rPr>
          <w:color w:val="auto"/>
        </w:rPr>
        <w:t xml:space="preserve">As NITHC’s </w:t>
      </w:r>
      <w:r w:rsidR="00C673A9" w:rsidRPr="00AD0647">
        <w:rPr>
          <w:color w:val="auto"/>
        </w:rPr>
        <w:t>internal audit function is contracted out, NITHC shall ensure</w:t>
      </w:r>
      <w:r w:rsidR="00194646" w:rsidRPr="00AD0647">
        <w:rPr>
          <w:color w:val="auto"/>
        </w:rPr>
        <w:t xml:space="preserve"> and </w:t>
      </w:r>
      <w:r w:rsidR="00E44132" w:rsidRPr="00AD0647">
        <w:rPr>
          <w:color w:val="auto"/>
        </w:rPr>
        <w:t>provide assurance</w:t>
      </w:r>
      <w:r w:rsidR="00194646" w:rsidRPr="00AD0647">
        <w:rPr>
          <w:color w:val="auto"/>
        </w:rPr>
        <w:t xml:space="preserve"> to DfI</w:t>
      </w:r>
      <w:r w:rsidR="00F97F56" w:rsidRPr="00AD0647">
        <w:rPr>
          <w:color w:val="auto"/>
        </w:rPr>
        <w:t xml:space="preserve"> </w:t>
      </w:r>
      <w:r w:rsidR="00C673A9" w:rsidRPr="00AD0647">
        <w:rPr>
          <w:color w:val="auto"/>
        </w:rPr>
        <w:t>that the contract specification for the internal audit service meets the requirements of PSIAS</w:t>
      </w:r>
      <w:r w:rsidR="006578CB">
        <w:rPr>
          <w:color w:val="auto"/>
        </w:rPr>
        <w:t>.</w:t>
      </w:r>
    </w:p>
    <w:p w14:paraId="3ECD3E5B" w14:textId="77777777" w:rsidR="00C673A9" w:rsidRPr="00AD0647" w:rsidRDefault="00C673A9" w:rsidP="00C673A9">
      <w:pPr>
        <w:spacing w:after="115" w:line="259" w:lineRule="auto"/>
        <w:ind w:left="975" w:firstLine="0"/>
        <w:jc w:val="left"/>
      </w:pPr>
      <w:r w:rsidRPr="00AD0647">
        <w:t xml:space="preserve"> </w:t>
      </w:r>
    </w:p>
    <w:p w14:paraId="62DDFBB4" w14:textId="092101B4" w:rsidR="006330AE" w:rsidRPr="00AD0647" w:rsidRDefault="00C673A9" w:rsidP="00E60CC0">
      <w:pPr>
        <w:pStyle w:val="ListParagraph"/>
        <w:numPr>
          <w:ilvl w:val="1"/>
          <w:numId w:val="42"/>
        </w:numPr>
        <w:spacing w:after="120" w:line="367" w:lineRule="auto"/>
        <w:ind w:left="958" w:right="62" w:hanging="567"/>
      </w:pPr>
      <w:r w:rsidRPr="00AD0647">
        <w:rPr>
          <w:color w:val="auto"/>
        </w:rPr>
        <w:t xml:space="preserve">NITHC will provide its internal audit strategy, periodic audit plans and </w:t>
      </w:r>
      <w:r w:rsidR="00C34DA1">
        <w:rPr>
          <w:color w:val="auto"/>
        </w:rPr>
        <w:t xml:space="preserve">interim and </w:t>
      </w:r>
      <w:r w:rsidRPr="00AD0647">
        <w:rPr>
          <w:color w:val="auto"/>
        </w:rPr>
        <w:t>annual audit report</w:t>
      </w:r>
      <w:r w:rsidR="00C34DA1">
        <w:rPr>
          <w:color w:val="auto"/>
        </w:rPr>
        <w:t>s</w:t>
      </w:r>
      <w:r w:rsidRPr="00AD0647">
        <w:rPr>
          <w:color w:val="auto"/>
        </w:rPr>
        <w:t xml:space="preserve">, including the </w:t>
      </w:r>
      <w:r w:rsidR="00C34DA1">
        <w:rPr>
          <w:color w:val="auto"/>
        </w:rPr>
        <w:t>Head of I</w:t>
      </w:r>
      <w:r w:rsidRPr="00AD0647">
        <w:rPr>
          <w:color w:val="auto"/>
        </w:rPr>
        <w:t xml:space="preserve">nternal </w:t>
      </w:r>
      <w:r w:rsidR="009E2840">
        <w:rPr>
          <w:color w:val="auto"/>
        </w:rPr>
        <w:t>A</w:t>
      </w:r>
      <w:r w:rsidRPr="00AD0647">
        <w:rPr>
          <w:color w:val="auto"/>
        </w:rPr>
        <w:t>udit’s opinion on risk management, control and governance to</w:t>
      </w:r>
      <w:r w:rsidR="00EC7193" w:rsidRPr="00AD0647">
        <w:rPr>
          <w:color w:val="auto"/>
        </w:rPr>
        <w:t xml:space="preserve"> DfI</w:t>
      </w:r>
      <w:r w:rsidR="00C34DA1">
        <w:rPr>
          <w:color w:val="auto"/>
        </w:rPr>
        <w:t xml:space="preserve"> as part of its attendance at NITHC’s Board Audit and Risk Committee (BARC) meetings</w:t>
      </w:r>
      <w:r w:rsidRPr="00AD0647">
        <w:rPr>
          <w:color w:val="auto"/>
        </w:rPr>
        <w:t>.</w:t>
      </w:r>
      <w:r w:rsidRPr="00AD0647">
        <w:rPr>
          <w:i/>
          <w:color w:val="auto"/>
        </w:rPr>
        <w:t xml:space="preserve"> </w:t>
      </w:r>
      <w:r w:rsidRPr="00AD0647">
        <w:rPr>
          <w:color w:val="auto"/>
        </w:rPr>
        <w:t>NITHC</w:t>
      </w:r>
      <w:r w:rsidRPr="00AD0647">
        <w:rPr>
          <w:i/>
          <w:color w:val="auto"/>
        </w:rPr>
        <w:t xml:space="preserve"> </w:t>
      </w:r>
      <w:r w:rsidRPr="00AD0647">
        <w:rPr>
          <w:color w:val="auto"/>
        </w:rPr>
        <w:t xml:space="preserve">will ensure </w:t>
      </w:r>
      <w:r w:rsidR="00D70103" w:rsidRPr="00AD0647">
        <w:rPr>
          <w:color w:val="auto"/>
        </w:rPr>
        <w:t>DfI’s</w:t>
      </w:r>
      <w:r w:rsidR="00EC7193" w:rsidRPr="00AD0647">
        <w:rPr>
          <w:color w:val="auto"/>
        </w:rPr>
        <w:t xml:space="preserve"> </w:t>
      </w:r>
      <w:r w:rsidRPr="00AD0647">
        <w:rPr>
          <w:color w:val="auto"/>
        </w:rPr>
        <w:t>internal audit team ha</w:t>
      </w:r>
      <w:r w:rsidR="007C2A46">
        <w:rPr>
          <w:color w:val="auto"/>
        </w:rPr>
        <w:t>s</w:t>
      </w:r>
      <w:r w:rsidRPr="00AD0647">
        <w:rPr>
          <w:color w:val="auto"/>
        </w:rPr>
        <w:t xml:space="preserve"> complete right of access to all relevant records. </w:t>
      </w:r>
      <w:r w:rsidR="006330AE" w:rsidRPr="00AD0647">
        <w:rPr>
          <w:color w:val="auto"/>
        </w:rPr>
        <w:t xml:space="preserve">This </w:t>
      </w:r>
      <w:r w:rsidR="006330AE" w:rsidRPr="00AD0647">
        <w:rPr>
          <w:color w:val="auto"/>
        </w:rPr>
        <w:lastRenderedPageBreak/>
        <w:t>applies whether the internal audit function is provided in-house or is contracted out.</w:t>
      </w:r>
    </w:p>
    <w:p w14:paraId="790E0FA3" w14:textId="77777777" w:rsidR="00C673A9" w:rsidRPr="00AD0647" w:rsidRDefault="00C673A9" w:rsidP="00C673A9">
      <w:pPr>
        <w:spacing w:after="0" w:line="259" w:lineRule="auto"/>
        <w:ind w:left="771" w:firstLine="0"/>
        <w:jc w:val="left"/>
      </w:pPr>
    </w:p>
    <w:p w14:paraId="2B7AEBF5" w14:textId="4CF1D5E0" w:rsidR="00C673A9" w:rsidRPr="00981361" w:rsidRDefault="00C673A9" w:rsidP="00E60CC0">
      <w:pPr>
        <w:pStyle w:val="ListParagraph"/>
        <w:numPr>
          <w:ilvl w:val="1"/>
          <w:numId w:val="42"/>
        </w:numPr>
        <w:spacing w:after="120" w:line="367" w:lineRule="auto"/>
        <w:ind w:left="958" w:right="62" w:hanging="567"/>
        <w:rPr>
          <w:color w:val="auto"/>
        </w:rPr>
      </w:pPr>
      <w:r w:rsidRPr="00AD0647">
        <w:rPr>
          <w:color w:val="auto"/>
        </w:rPr>
        <w:t>NITHC will ensure regular, periodic self-assessments of the internal audit function in line with PSIAS and will share these with D</w:t>
      </w:r>
      <w:r w:rsidR="001F3811" w:rsidRPr="00AD0647">
        <w:rPr>
          <w:color w:val="auto"/>
        </w:rPr>
        <w:t>fI</w:t>
      </w:r>
      <w:r w:rsidRPr="00AD0647">
        <w:rPr>
          <w:color w:val="auto"/>
        </w:rPr>
        <w:t xml:space="preserve">. NITHC will also </w:t>
      </w:r>
      <w:r w:rsidR="00E6113E" w:rsidRPr="00AD0647">
        <w:rPr>
          <w:color w:val="auto"/>
        </w:rPr>
        <w:t>ensure</w:t>
      </w:r>
      <w:r w:rsidRPr="00AD0647">
        <w:rPr>
          <w:color w:val="auto"/>
        </w:rPr>
        <w:t xml:space="preserve"> the External Quality Assessment (</w:t>
      </w:r>
      <w:r w:rsidRPr="00AD0647">
        <w:rPr>
          <w:b/>
          <w:bCs/>
          <w:color w:val="auto"/>
        </w:rPr>
        <w:t>EQA</w:t>
      </w:r>
      <w:r w:rsidRPr="00AD0647">
        <w:rPr>
          <w:color w:val="auto"/>
        </w:rPr>
        <w:t xml:space="preserve">) of the internal audit </w:t>
      </w:r>
      <w:r w:rsidR="00A35B39">
        <w:rPr>
          <w:color w:val="auto"/>
        </w:rPr>
        <w:t xml:space="preserve">service provided to NITHC </w:t>
      </w:r>
      <w:r w:rsidRPr="00AD0647">
        <w:rPr>
          <w:color w:val="auto"/>
        </w:rPr>
        <w:t xml:space="preserve">(in line with PSIAS) </w:t>
      </w:r>
      <w:r w:rsidR="00E6113E" w:rsidRPr="00AD0647">
        <w:rPr>
          <w:color w:val="auto"/>
        </w:rPr>
        <w:t xml:space="preserve">is </w:t>
      </w:r>
      <w:r w:rsidRPr="00AD0647">
        <w:rPr>
          <w:color w:val="auto"/>
        </w:rPr>
        <w:t>conducted at least once every five years by a qualified independent assessor</w:t>
      </w:r>
      <w:r w:rsidR="00E76194">
        <w:rPr>
          <w:color w:val="auto"/>
        </w:rPr>
        <w:t>.</w:t>
      </w:r>
      <w:r w:rsidR="00981361">
        <w:rPr>
          <w:color w:val="auto"/>
        </w:rPr>
        <w:t xml:space="preserve"> </w:t>
      </w:r>
    </w:p>
    <w:p w14:paraId="25BAE6B4" w14:textId="77777777" w:rsidR="00C673A9" w:rsidRPr="00AD0647" w:rsidRDefault="00C673A9" w:rsidP="00C673A9">
      <w:pPr>
        <w:spacing w:after="115" w:line="259" w:lineRule="auto"/>
        <w:ind w:left="771" w:firstLine="0"/>
        <w:jc w:val="left"/>
      </w:pPr>
      <w:r w:rsidRPr="00AD0647">
        <w:t xml:space="preserve"> </w:t>
      </w:r>
    </w:p>
    <w:p w14:paraId="0E3152EC" w14:textId="371ADC0D" w:rsidR="00C673A9" w:rsidRPr="00AD0647" w:rsidRDefault="00C673A9" w:rsidP="00E60CC0">
      <w:pPr>
        <w:pStyle w:val="ListParagraph"/>
        <w:numPr>
          <w:ilvl w:val="1"/>
          <w:numId w:val="42"/>
        </w:numPr>
        <w:spacing w:after="120" w:line="367" w:lineRule="auto"/>
        <w:ind w:left="958" w:right="62" w:hanging="567"/>
        <w:rPr>
          <w:color w:val="auto"/>
        </w:rPr>
      </w:pPr>
      <w:r w:rsidRPr="00AD0647">
        <w:rPr>
          <w:color w:val="auto"/>
        </w:rPr>
        <w:t xml:space="preserve">NITHC will alert </w:t>
      </w:r>
      <w:r w:rsidR="002E1868" w:rsidRPr="00AD0647">
        <w:rPr>
          <w:color w:val="auto"/>
        </w:rPr>
        <w:t xml:space="preserve">DfI </w:t>
      </w:r>
      <w:r w:rsidRPr="00AD0647">
        <w:rPr>
          <w:color w:val="auto"/>
        </w:rPr>
        <w:t xml:space="preserve">to any </w:t>
      </w:r>
      <w:r w:rsidR="000E7A30">
        <w:rPr>
          <w:color w:val="auto"/>
        </w:rPr>
        <w:t>’limited assurance’</w:t>
      </w:r>
      <w:r w:rsidR="004828F7">
        <w:rPr>
          <w:color w:val="auto"/>
        </w:rPr>
        <w:t xml:space="preserve"> </w:t>
      </w:r>
      <w:r w:rsidRPr="00AD0647">
        <w:rPr>
          <w:color w:val="auto"/>
        </w:rPr>
        <w:t xml:space="preserve">audit reports at the earliest opportunity on an ongoing basis. NITHC will also alert </w:t>
      </w:r>
      <w:r w:rsidR="001F3811" w:rsidRPr="00AD0647">
        <w:rPr>
          <w:color w:val="auto"/>
        </w:rPr>
        <w:t>DfI</w:t>
      </w:r>
      <w:r w:rsidR="00EC7193" w:rsidRPr="00AD0647">
        <w:rPr>
          <w:color w:val="auto"/>
        </w:rPr>
        <w:t xml:space="preserve"> </w:t>
      </w:r>
      <w:r w:rsidRPr="00AD0647">
        <w:rPr>
          <w:color w:val="auto"/>
        </w:rPr>
        <w:t>to a less than satisfactory annual opinion from the internal audit providers at the earliest opportunity</w:t>
      </w:r>
      <w:r w:rsidR="004942C7" w:rsidRPr="00AD0647">
        <w:rPr>
          <w:color w:val="auto"/>
        </w:rPr>
        <w:t xml:space="preserve">. </w:t>
      </w:r>
      <w:r w:rsidRPr="00AD0647">
        <w:rPr>
          <w:color w:val="auto"/>
        </w:rPr>
        <w:t xml:space="preserve">NITHC and </w:t>
      </w:r>
      <w:r w:rsidR="002E1868" w:rsidRPr="00AD0647">
        <w:rPr>
          <w:color w:val="auto"/>
        </w:rPr>
        <w:t xml:space="preserve">DfI </w:t>
      </w:r>
      <w:r w:rsidRPr="00AD0647">
        <w:rPr>
          <w:color w:val="auto"/>
        </w:rPr>
        <w:t>will then engage closely on actions required to address the less than satisfactory opinion in order to move NITHC to a satisfactory position as soon as possible</w:t>
      </w:r>
      <w:r w:rsidR="004942C7" w:rsidRPr="00AD0647">
        <w:rPr>
          <w:color w:val="auto"/>
        </w:rPr>
        <w:t xml:space="preserve">. </w:t>
      </w:r>
    </w:p>
    <w:p w14:paraId="1546DECF" w14:textId="77777777" w:rsidR="00C673A9" w:rsidRPr="00AD0647" w:rsidRDefault="00C673A9" w:rsidP="00C673A9">
      <w:pPr>
        <w:spacing w:after="112" w:line="259" w:lineRule="auto"/>
        <w:ind w:left="771" w:firstLine="0"/>
        <w:jc w:val="left"/>
        <w:rPr>
          <w:color w:val="auto"/>
        </w:rPr>
      </w:pPr>
    </w:p>
    <w:p w14:paraId="5ADE7214" w14:textId="7C7A709F" w:rsidR="00C673A9" w:rsidRPr="00AD0647" w:rsidRDefault="002E1868" w:rsidP="00E60CC0">
      <w:pPr>
        <w:pStyle w:val="ListParagraph"/>
        <w:numPr>
          <w:ilvl w:val="1"/>
          <w:numId w:val="42"/>
        </w:numPr>
        <w:spacing w:after="120" w:line="367" w:lineRule="auto"/>
        <w:ind w:left="958" w:right="62" w:hanging="567"/>
        <w:rPr>
          <w:color w:val="auto"/>
        </w:rPr>
      </w:pPr>
      <w:r w:rsidRPr="00AD0647">
        <w:rPr>
          <w:color w:val="auto"/>
        </w:rPr>
        <w:t>DfI</w:t>
      </w:r>
      <w:r w:rsidR="00C673A9" w:rsidRPr="00AD0647">
        <w:rPr>
          <w:color w:val="auto"/>
        </w:rPr>
        <w:t xml:space="preserve"> will take assurance from the </w:t>
      </w:r>
      <w:r w:rsidR="007F4D9C" w:rsidRPr="00AD0647">
        <w:rPr>
          <w:color w:val="auto"/>
        </w:rPr>
        <w:t>f</w:t>
      </w:r>
      <w:r w:rsidR="00C673A9" w:rsidRPr="00AD0647">
        <w:rPr>
          <w:color w:val="auto"/>
        </w:rPr>
        <w:t xml:space="preserve">act that NITHC has met the requirements of PSIAS and has a satisfactory annual opinion from the Head of Internal Audit as part of its overall assurance assessment. </w:t>
      </w:r>
    </w:p>
    <w:p w14:paraId="22CB6307" w14:textId="77777777" w:rsidR="00C673A9" w:rsidRPr="00AD0647" w:rsidRDefault="00C673A9" w:rsidP="00C673A9">
      <w:pPr>
        <w:spacing w:after="115" w:line="259" w:lineRule="auto"/>
        <w:ind w:left="408" w:firstLine="0"/>
        <w:jc w:val="left"/>
      </w:pPr>
      <w:r w:rsidRPr="00AD0647">
        <w:t xml:space="preserve"> </w:t>
      </w:r>
    </w:p>
    <w:p w14:paraId="6FA2BD63" w14:textId="56549721" w:rsidR="00C673A9" w:rsidRPr="00AD0647" w:rsidRDefault="00C673A9" w:rsidP="00E60CC0">
      <w:pPr>
        <w:pStyle w:val="Heading2"/>
        <w:numPr>
          <w:ilvl w:val="0"/>
          <w:numId w:val="42"/>
        </w:numPr>
        <w:tabs>
          <w:tab w:val="center" w:pos="509"/>
          <w:tab w:val="left" w:pos="993"/>
          <w:tab w:val="center" w:pos="1561"/>
        </w:tabs>
      </w:pPr>
      <w:bookmarkStart w:id="24" w:name="_Toc74643009"/>
      <w:r w:rsidRPr="00AD0647">
        <w:t>Externally Audited Annual Report and Accounts</w:t>
      </w:r>
      <w:bookmarkEnd w:id="24"/>
      <w:r w:rsidRPr="00AD0647">
        <w:t xml:space="preserve"> </w:t>
      </w:r>
    </w:p>
    <w:p w14:paraId="5148617F" w14:textId="77777777" w:rsidR="00C673A9" w:rsidRPr="00AD0647" w:rsidRDefault="00C673A9" w:rsidP="00C673A9">
      <w:pPr>
        <w:spacing w:after="112" w:line="259" w:lineRule="auto"/>
        <w:ind w:left="408" w:firstLine="0"/>
        <w:jc w:val="left"/>
      </w:pPr>
      <w:r w:rsidRPr="00AD0647">
        <w:t xml:space="preserve"> </w:t>
      </w:r>
    </w:p>
    <w:p w14:paraId="60D11994" w14:textId="4FC72BB1" w:rsidR="00C673A9" w:rsidRPr="00AD0647" w:rsidRDefault="00C673A9" w:rsidP="00E60CC0">
      <w:pPr>
        <w:pStyle w:val="ListParagraph"/>
        <w:numPr>
          <w:ilvl w:val="1"/>
          <w:numId w:val="42"/>
        </w:numPr>
        <w:spacing w:after="120" w:line="367" w:lineRule="auto"/>
        <w:ind w:left="958" w:right="62" w:hanging="567"/>
        <w:rPr>
          <w:b/>
          <w:color w:val="auto"/>
        </w:rPr>
      </w:pPr>
      <w:r w:rsidRPr="00AD0647">
        <w:rPr>
          <w:color w:val="auto"/>
        </w:rPr>
        <w:t xml:space="preserve">NITHC is required to prepare and publish its Annual Report and externally audited Annual Accounts in line with </w:t>
      </w:r>
      <w:hyperlink r:id="rId32" w:history="1">
        <w:r w:rsidR="005F7A5D" w:rsidRPr="00F142FD">
          <w:rPr>
            <w:rStyle w:val="Hyperlink"/>
          </w:rPr>
          <w:t>I</w:t>
        </w:r>
        <w:r w:rsidR="00760B85" w:rsidRPr="00F142FD">
          <w:rPr>
            <w:rStyle w:val="Hyperlink"/>
          </w:rPr>
          <w:t xml:space="preserve">nternational </w:t>
        </w:r>
        <w:r w:rsidR="005F7A5D" w:rsidRPr="00F142FD">
          <w:rPr>
            <w:rStyle w:val="Hyperlink"/>
          </w:rPr>
          <w:t>F</w:t>
        </w:r>
        <w:r w:rsidR="00760B85" w:rsidRPr="00F142FD">
          <w:rPr>
            <w:rStyle w:val="Hyperlink"/>
          </w:rPr>
          <w:t xml:space="preserve">inancial </w:t>
        </w:r>
        <w:r w:rsidR="005F7A5D" w:rsidRPr="00F142FD">
          <w:rPr>
            <w:rStyle w:val="Hyperlink"/>
          </w:rPr>
          <w:t>R</w:t>
        </w:r>
        <w:r w:rsidR="00760B85" w:rsidRPr="00F142FD">
          <w:rPr>
            <w:rStyle w:val="Hyperlink"/>
          </w:rPr>
          <w:t xml:space="preserve">eporting </w:t>
        </w:r>
        <w:r w:rsidR="005F7A5D" w:rsidRPr="00F142FD">
          <w:rPr>
            <w:rStyle w:val="Hyperlink"/>
          </w:rPr>
          <w:t>S</w:t>
        </w:r>
        <w:r w:rsidR="00760B85" w:rsidRPr="00F142FD">
          <w:rPr>
            <w:rStyle w:val="Hyperlink"/>
          </w:rPr>
          <w:t>tandards</w:t>
        </w:r>
      </w:hyperlink>
      <w:r w:rsidR="00F142FD">
        <w:rPr>
          <w:rStyle w:val="FootnoteReference"/>
          <w:color w:val="auto"/>
        </w:rPr>
        <w:footnoteReference w:id="20"/>
      </w:r>
      <w:r w:rsidR="00582E9F" w:rsidRPr="00AD0647">
        <w:rPr>
          <w:rStyle w:val="Hyperlink"/>
        </w:rPr>
        <w:t xml:space="preserve"> </w:t>
      </w:r>
      <w:r w:rsidRPr="00AD0647">
        <w:rPr>
          <w:color w:val="auto"/>
        </w:rPr>
        <w:t xml:space="preserve">and </w:t>
      </w:r>
      <w:r w:rsidR="00C13E93" w:rsidRPr="00AD0647">
        <w:rPr>
          <w:color w:val="auto"/>
        </w:rPr>
        <w:t xml:space="preserve">any relevant and </w:t>
      </w:r>
      <w:r w:rsidRPr="00AD0647">
        <w:rPr>
          <w:color w:val="auto"/>
        </w:rPr>
        <w:t xml:space="preserve">specific Accounts Direction issued by </w:t>
      </w:r>
      <w:r w:rsidR="002E1868" w:rsidRPr="00AD0647">
        <w:rPr>
          <w:color w:val="auto"/>
        </w:rPr>
        <w:t xml:space="preserve">DfI </w:t>
      </w:r>
      <w:r w:rsidRPr="00AD0647">
        <w:rPr>
          <w:color w:val="auto"/>
        </w:rPr>
        <w:t>or</w:t>
      </w:r>
      <w:r w:rsidR="00E21D54" w:rsidRPr="00AD0647">
        <w:rPr>
          <w:color w:val="auto"/>
        </w:rPr>
        <w:t xml:space="preserve"> </w:t>
      </w:r>
      <w:r w:rsidR="002E1868" w:rsidRPr="00AD0647">
        <w:rPr>
          <w:color w:val="auto"/>
        </w:rPr>
        <w:t>DoF</w:t>
      </w:r>
      <w:r w:rsidRPr="00AD0647">
        <w:rPr>
          <w:i/>
          <w:color w:val="auto"/>
        </w:rPr>
        <w:t xml:space="preserve">, </w:t>
      </w:r>
      <w:r w:rsidRPr="00AD0647">
        <w:rPr>
          <w:color w:val="auto"/>
        </w:rPr>
        <w:t xml:space="preserve">and in accordance with the deadlines specified.  The report shall also cover the activities of </w:t>
      </w:r>
      <w:r w:rsidR="00E866D7" w:rsidRPr="00AD0647">
        <w:rPr>
          <w:color w:val="auto"/>
        </w:rPr>
        <w:t xml:space="preserve">NITHC’s </w:t>
      </w:r>
      <w:r w:rsidR="00582E9F" w:rsidRPr="00AD0647">
        <w:rPr>
          <w:color w:val="auto"/>
        </w:rPr>
        <w:t>subsidiaries</w:t>
      </w:r>
      <w:r w:rsidR="00E866D7" w:rsidRPr="00AD0647">
        <w:rPr>
          <w:color w:val="auto"/>
        </w:rPr>
        <w:t>.</w:t>
      </w:r>
    </w:p>
    <w:p w14:paraId="50CF37CE" w14:textId="77777777" w:rsidR="000C2386" w:rsidRPr="00AD0647" w:rsidRDefault="000C2386" w:rsidP="003E5315">
      <w:pPr>
        <w:spacing w:after="120" w:line="360" w:lineRule="auto"/>
        <w:ind w:left="0" w:right="60" w:firstLine="0"/>
      </w:pPr>
    </w:p>
    <w:p w14:paraId="389CA909" w14:textId="5C7B92EF" w:rsidR="00C673A9" w:rsidRPr="00AD0647" w:rsidRDefault="00C673A9" w:rsidP="00E60CC0">
      <w:pPr>
        <w:pStyle w:val="ListParagraph"/>
        <w:numPr>
          <w:ilvl w:val="1"/>
          <w:numId w:val="42"/>
        </w:numPr>
        <w:spacing w:after="120" w:line="367" w:lineRule="auto"/>
        <w:ind w:left="958" w:right="62" w:hanging="567"/>
      </w:pPr>
      <w:r w:rsidRPr="00AD0647">
        <w:rPr>
          <w:color w:val="auto"/>
        </w:rPr>
        <w:t xml:space="preserve">NITHC’s </w:t>
      </w:r>
      <w:r w:rsidR="00BB501F">
        <w:rPr>
          <w:color w:val="auto"/>
        </w:rPr>
        <w:t>a</w:t>
      </w:r>
      <w:r w:rsidRPr="00AD0647">
        <w:rPr>
          <w:color w:val="auto"/>
        </w:rPr>
        <w:t>ccounts are audited by external auditors appointed by the Board</w:t>
      </w:r>
      <w:r w:rsidR="004942C7" w:rsidRPr="00AD0647">
        <w:rPr>
          <w:color w:val="auto"/>
        </w:rPr>
        <w:t xml:space="preserve">. </w:t>
      </w:r>
      <w:r w:rsidRPr="00AD0647">
        <w:rPr>
          <w:color w:val="auto"/>
        </w:rPr>
        <w:t xml:space="preserve">The </w:t>
      </w:r>
      <w:r w:rsidR="00BB501F">
        <w:rPr>
          <w:color w:val="auto"/>
        </w:rPr>
        <w:t>a</w:t>
      </w:r>
      <w:r w:rsidRPr="00AD0647">
        <w:rPr>
          <w:color w:val="auto"/>
        </w:rPr>
        <w:t>ccounts of NITHC shall be open to the inspection of</w:t>
      </w:r>
      <w:r w:rsidR="00E21D54" w:rsidRPr="00AD0647">
        <w:rPr>
          <w:color w:val="auto"/>
        </w:rPr>
        <w:t xml:space="preserve"> </w:t>
      </w:r>
      <w:r w:rsidR="00793E58" w:rsidRPr="00AD0647">
        <w:rPr>
          <w:color w:val="auto"/>
        </w:rPr>
        <w:t>DfI</w:t>
      </w:r>
      <w:r w:rsidR="00191891" w:rsidRPr="00AD0647">
        <w:rPr>
          <w:color w:val="auto"/>
        </w:rPr>
        <w:t xml:space="preserve"> </w:t>
      </w:r>
      <w:r w:rsidRPr="00AD0647">
        <w:rPr>
          <w:color w:val="auto"/>
        </w:rPr>
        <w:t>who shall lay them before the NI Assembly together with NITHC</w:t>
      </w:r>
      <w:r w:rsidR="00572DC6" w:rsidRPr="00AD0647">
        <w:rPr>
          <w:color w:val="auto"/>
        </w:rPr>
        <w:t>’</w:t>
      </w:r>
      <w:r w:rsidRPr="00AD0647">
        <w:rPr>
          <w:color w:val="auto"/>
        </w:rPr>
        <w:t>s</w:t>
      </w:r>
      <w:r w:rsidRPr="00AD0647">
        <w:rPr>
          <w:i/>
          <w:color w:val="auto"/>
        </w:rPr>
        <w:t xml:space="preserve"> </w:t>
      </w:r>
      <w:r w:rsidR="00191891" w:rsidRPr="00AD0647">
        <w:rPr>
          <w:color w:val="auto"/>
        </w:rPr>
        <w:t>annual report.</w:t>
      </w:r>
    </w:p>
    <w:p w14:paraId="6D0D97E2" w14:textId="77777777" w:rsidR="00C673A9" w:rsidRPr="00AD0647" w:rsidRDefault="00C673A9" w:rsidP="00C673A9">
      <w:pPr>
        <w:spacing w:after="0" w:line="259" w:lineRule="auto"/>
        <w:ind w:left="771" w:firstLine="0"/>
        <w:jc w:val="left"/>
      </w:pPr>
      <w:r w:rsidRPr="00AD0647">
        <w:lastRenderedPageBreak/>
        <w:t xml:space="preserve"> </w:t>
      </w:r>
    </w:p>
    <w:p w14:paraId="3D889C3B" w14:textId="70A18878" w:rsidR="00C673A9" w:rsidRPr="00AD0647" w:rsidRDefault="000C2386" w:rsidP="00E60CC0">
      <w:pPr>
        <w:pStyle w:val="ListParagraph"/>
        <w:numPr>
          <w:ilvl w:val="1"/>
          <w:numId w:val="42"/>
        </w:numPr>
        <w:spacing w:after="120" w:line="367" w:lineRule="auto"/>
        <w:ind w:left="958" w:right="62" w:hanging="567"/>
        <w:rPr>
          <w:color w:val="auto"/>
        </w:rPr>
      </w:pPr>
      <w:r w:rsidRPr="00AD0647">
        <w:rPr>
          <w:color w:val="auto"/>
        </w:rPr>
        <w:t>T</w:t>
      </w:r>
      <w:r w:rsidR="00C673A9" w:rsidRPr="00AD0647">
        <w:rPr>
          <w:color w:val="auto"/>
        </w:rPr>
        <w:t xml:space="preserve">he </w:t>
      </w:r>
      <w:r w:rsidR="005F1B4C" w:rsidRPr="00AD0647">
        <w:rPr>
          <w:color w:val="auto"/>
        </w:rPr>
        <w:t xml:space="preserve">external auditors </w:t>
      </w:r>
      <w:r w:rsidR="00C673A9" w:rsidRPr="00AD0647">
        <w:rPr>
          <w:color w:val="auto"/>
        </w:rPr>
        <w:t xml:space="preserve">will also provide a </w:t>
      </w:r>
      <w:r w:rsidR="007757AF">
        <w:rPr>
          <w:color w:val="auto"/>
        </w:rPr>
        <w:t>r</w:t>
      </w:r>
      <w:r w:rsidR="00C673A9" w:rsidRPr="00AD0647">
        <w:rPr>
          <w:color w:val="auto"/>
        </w:rPr>
        <w:t xml:space="preserve">eport to </w:t>
      </w:r>
      <w:r w:rsidR="007757AF">
        <w:rPr>
          <w:color w:val="auto"/>
        </w:rPr>
        <w:t xml:space="preserve">the </w:t>
      </w:r>
      <w:r w:rsidR="00512A02">
        <w:rPr>
          <w:color w:val="auto"/>
        </w:rPr>
        <w:t xml:space="preserve">NITHC </w:t>
      </w:r>
      <w:r w:rsidR="007757AF">
        <w:rPr>
          <w:color w:val="auto"/>
        </w:rPr>
        <w:t xml:space="preserve">Board </w:t>
      </w:r>
      <w:r w:rsidR="00C673A9" w:rsidRPr="00AD0647">
        <w:rPr>
          <w:color w:val="auto"/>
        </w:rPr>
        <w:t xml:space="preserve">which will be shared with </w:t>
      </w:r>
      <w:r w:rsidR="00564A5F" w:rsidRPr="00AD0647">
        <w:rPr>
          <w:color w:val="auto"/>
        </w:rPr>
        <w:t>DfI.</w:t>
      </w:r>
    </w:p>
    <w:p w14:paraId="3CDE6943" w14:textId="77777777" w:rsidR="00C673A9" w:rsidRPr="00AD0647" w:rsidRDefault="00C673A9" w:rsidP="00C673A9">
      <w:pPr>
        <w:spacing w:after="112" w:line="259" w:lineRule="auto"/>
        <w:ind w:left="408" w:firstLine="0"/>
        <w:jc w:val="left"/>
        <w:rPr>
          <w:color w:val="auto"/>
        </w:rPr>
      </w:pPr>
      <w:r w:rsidRPr="00AD0647">
        <w:rPr>
          <w:color w:val="auto"/>
        </w:rPr>
        <w:t xml:space="preserve"> </w:t>
      </w:r>
    </w:p>
    <w:p w14:paraId="3B790369" w14:textId="315BC0A9" w:rsidR="00C673A9" w:rsidRPr="00AD0647" w:rsidRDefault="00C673A9" w:rsidP="00E60CC0">
      <w:pPr>
        <w:pStyle w:val="ListParagraph"/>
        <w:numPr>
          <w:ilvl w:val="1"/>
          <w:numId w:val="42"/>
        </w:numPr>
        <w:spacing w:after="120" w:line="367" w:lineRule="auto"/>
        <w:ind w:left="958" w:right="62" w:hanging="567"/>
        <w:rPr>
          <w:color w:val="auto"/>
        </w:rPr>
      </w:pPr>
      <w:r w:rsidRPr="00AD0647">
        <w:rPr>
          <w:color w:val="auto"/>
        </w:rPr>
        <w:t xml:space="preserve">NITHC will alert </w:t>
      </w:r>
      <w:r w:rsidR="002E1868" w:rsidRPr="00AD0647">
        <w:rPr>
          <w:color w:val="auto"/>
        </w:rPr>
        <w:t xml:space="preserve">DfI </w:t>
      </w:r>
      <w:r w:rsidRPr="00AD0647">
        <w:rPr>
          <w:color w:val="auto"/>
        </w:rPr>
        <w:t xml:space="preserve">to any likely qualification of the accounts at the earliest opportunity. In the event of a qualified audit opinion or significant issues reported in the </w:t>
      </w:r>
      <w:r w:rsidR="000B649C">
        <w:rPr>
          <w:color w:val="auto"/>
        </w:rPr>
        <w:t>report to the NITHC Board</w:t>
      </w:r>
      <w:r w:rsidR="00572DC6" w:rsidRPr="00AD0647">
        <w:rPr>
          <w:color w:val="auto"/>
        </w:rPr>
        <w:t xml:space="preserve">, </w:t>
      </w:r>
      <w:r w:rsidR="002E1868" w:rsidRPr="00AD0647">
        <w:rPr>
          <w:color w:val="auto"/>
        </w:rPr>
        <w:t xml:space="preserve">DfI </w:t>
      </w:r>
      <w:r w:rsidRPr="00AD0647">
        <w:rPr>
          <w:color w:val="auto"/>
        </w:rPr>
        <w:t xml:space="preserve">will engage with NITHC on </w:t>
      </w:r>
      <w:r w:rsidR="00D97ED9" w:rsidRPr="00AD0647">
        <w:rPr>
          <w:color w:val="auto"/>
        </w:rPr>
        <w:t>actions required</w:t>
      </w:r>
      <w:r w:rsidRPr="00AD0647">
        <w:rPr>
          <w:color w:val="auto"/>
        </w:rPr>
        <w:t xml:space="preserve"> to address the qualification/significant issues. </w:t>
      </w:r>
    </w:p>
    <w:p w14:paraId="2C84A558" w14:textId="77777777" w:rsidR="00C673A9" w:rsidRPr="00AD0647" w:rsidRDefault="00C673A9" w:rsidP="00C673A9">
      <w:pPr>
        <w:spacing w:after="118" w:line="259" w:lineRule="auto"/>
        <w:ind w:left="408" w:firstLine="0"/>
        <w:jc w:val="left"/>
      </w:pPr>
      <w:r w:rsidRPr="00AD0647">
        <w:t xml:space="preserve"> </w:t>
      </w:r>
    </w:p>
    <w:p w14:paraId="77C7DE68" w14:textId="66795F33" w:rsidR="00E866D7" w:rsidRPr="00AD0647" w:rsidRDefault="00572DC6" w:rsidP="00E60CC0">
      <w:pPr>
        <w:pStyle w:val="ListParagraph"/>
        <w:numPr>
          <w:ilvl w:val="1"/>
          <w:numId w:val="42"/>
        </w:numPr>
        <w:spacing w:after="120" w:line="367" w:lineRule="auto"/>
        <w:ind w:left="958" w:right="62" w:hanging="567"/>
        <w:rPr>
          <w:color w:val="auto"/>
        </w:rPr>
      </w:pPr>
      <w:r w:rsidRPr="00AD0647">
        <w:rPr>
          <w:color w:val="auto"/>
        </w:rPr>
        <w:t xml:space="preserve">DfI </w:t>
      </w:r>
      <w:r w:rsidR="00C673A9" w:rsidRPr="00AD0647">
        <w:rPr>
          <w:color w:val="auto"/>
        </w:rPr>
        <w:t xml:space="preserve">will take assurance from the external audit process and an unqualified position as part of its overall assurance assessment. </w:t>
      </w:r>
    </w:p>
    <w:p w14:paraId="49AC39E3" w14:textId="4F727BD2" w:rsidR="00C673A9" w:rsidRPr="00AD0647" w:rsidRDefault="00C673A9" w:rsidP="00D81842">
      <w:pPr>
        <w:ind w:left="959" w:right="60" w:firstLine="0"/>
        <w:rPr>
          <w:color w:val="FF0000"/>
        </w:rPr>
      </w:pPr>
    </w:p>
    <w:p w14:paraId="73ABFCAA" w14:textId="7D1E9590" w:rsidR="00C673A9" w:rsidRPr="00AD0647" w:rsidRDefault="00C673A9" w:rsidP="00E60CC0">
      <w:pPr>
        <w:pStyle w:val="ListParagraph"/>
        <w:numPr>
          <w:ilvl w:val="1"/>
          <w:numId w:val="42"/>
        </w:numPr>
        <w:spacing w:after="120" w:line="367" w:lineRule="auto"/>
        <w:ind w:left="958" w:right="62" w:hanging="567"/>
      </w:pPr>
      <w:r w:rsidRPr="00AD0647">
        <w:rPr>
          <w:color w:val="auto"/>
        </w:rPr>
        <w:t xml:space="preserve">The </w:t>
      </w:r>
      <w:r w:rsidRPr="00AD0647">
        <w:t>C</w:t>
      </w:r>
      <w:r w:rsidR="006D3B41" w:rsidRPr="00AD0647">
        <w:t>omptroller</w:t>
      </w:r>
      <w:r w:rsidR="0015580E" w:rsidRPr="00AD0647">
        <w:t xml:space="preserve"> and Auditor General (“C</w:t>
      </w:r>
      <w:r w:rsidRPr="00AD0647">
        <w:t>&amp;AG</w:t>
      </w:r>
      <w:r w:rsidR="00001E5B" w:rsidRPr="00AD0647">
        <w:t>”</w:t>
      </w:r>
      <w:r w:rsidR="0015580E" w:rsidRPr="00AD0647">
        <w:t>)</w:t>
      </w:r>
      <w:r w:rsidRPr="00AD0647">
        <w:rPr>
          <w:color w:val="auto"/>
        </w:rPr>
        <w:t xml:space="preserve"> may carry out examinations into the economy, efficiency and effectiveness with which NITHC has used its resources in discharging its functions</w:t>
      </w:r>
      <w:r w:rsidR="004942C7" w:rsidRPr="00AD0647">
        <w:rPr>
          <w:color w:val="auto"/>
        </w:rPr>
        <w:t xml:space="preserve">. </w:t>
      </w:r>
      <w:r w:rsidRPr="00AD0647">
        <w:rPr>
          <w:color w:val="auto"/>
        </w:rPr>
        <w:t xml:space="preserve">The </w:t>
      </w:r>
      <w:r w:rsidRPr="00AD0647">
        <w:t>C&amp;AG</w:t>
      </w:r>
      <w:r w:rsidRPr="00AD0647">
        <w:rPr>
          <w:color w:val="auto"/>
        </w:rPr>
        <w:t xml:space="preserve"> may also carry out thematic examinations that encompass the functions of NITHC. </w:t>
      </w:r>
    </w:p>
    <w:p w14:paraId="2808EBE3" w14:textId="77777777" w:rsidR="00C673A9" w:rsidRPr="00AD0647" w:rsidRDefault="00C673A9" w:rsidP="00C673A9">
      <w:pPr>
        <w:spacing w:after="118" w:line="259" w:lineRule="auto"/>
        <w:ind w:left="771" w:firstLine="0"/>
        <w:jc w:val="left"/>
      </w:pPr>
      <w:r w:rsidRPr="00AD0647">
        <w:t xml:space="preserve"> </w:t>
      </w:r>
    </w:p>
    <w:p w14:paraId="794E2D1E" w14:textId="5EE8BC45" w:rsidR="00C673A9" w:rsidRPr="00AD0647" w:rsidRDefault="00C673A9" w:rsidP="00E60CC0">
      <w:pPr>
        <w:pStyle w:val="ListParagraph"/>
        <w:numPr>
          <w:ilvl w:val="1"/>
          <w:numId w:val="42"/>
        </w:numPr>
        <w:spacing w:after="120" w:line="367" w:lineRule="auto"/>
        <w:ind w:left="958" w:right="62" w:hanging="567"/>
      </w:pPr>
      <w:r w:rsidRPr="00AD0647">
        <w:t xml:space="preserve">For the purpose of audit and any other examinations, the C&amp;AG has statutory access to documents as provided for under Articles 3 and 4 of the </w:t>
      </w:r>
      <w:hyperlink r:id="rId33" w:history="1">
        <w:r w:rsidRPr="00AD0647">
          <w:rPr>
            <w:rStyle w:val="Hyperlink"/>
          </w:rPr>
          <w:t>Audit and Accountability (Northern Ireland) Order 2003</w:t>
        </w:r>
      </w:hyperlink>
      <w:r w:rsidR="00FA515F" w:rsidRPr="00AD0647">
        <w:rPr>
          <w:color w:val="auto"/>
          <w:vertAlign w:val="superscript"/>
        </w:rPr>
        <w:footnoteReference w:id="21"/>
      </w:r>
      <w:r w:rsidRPr="00AD0647">
        <w:t xml:space="preserve">.  </w:t>
      </w:r>
    </w:p>
    <w:p w14:paraId="4725C6F1" w14:textId="77777777" w:rsidR="00C673A9" w:rsidRPr="00AD0647" w:rsidRDefault="00C673A9" w:rsidP="00C673A9">
      <w:pPr>
        <w:spacing w:after="115" w:line="259" w:lineRule="auto"/>
        <w:ind w:left="408" w:firstLine="0"/>
        <w:jc w:val="left"/>
        <w:rPr>
          <w:color w:val="auto"/>
        </w:rPr>
      </w:pPr>
      <w:r w:rsidRPr="00AD0647">
        <w:t xml:space="preserve"> </w:t>
      </w:r>
    </w:p>
    <w:p w14:paraId="0F4DECE3" w14:textId="07279B2E" w:rsidR="00C673A9" w:rsidRPr="00AD0647" w:rsidRDefault="00C673A9" w:rsidP="00E60CC0">
      <w:pPr>
        <w:pStyle w:val="ListParagraph"/>
        <w:numPr>
          <w:ilvl w:val="1"/>
          <w:numId w:val="42"/>
        </w:numPr>
        <w:spacing w:after="120" w:line="367" w:lineRule="auto"/>
        <w:ind w:left="958" w:right="62" w:hanging="567"/>
      </w:pPr>
      <w:r w:rsidRPr="00AD0647">
        <w:rPr>
          <w:color w:val="auto"/>
        </w:rPr>
        <w:t xml:space="preserve">Where making payment of a grant, or drawing up a contract, NITHC should ensure that it includes a clause which makes the grant or contract conditional upon the recipient or contractor providing access to the C&amp;AG in relation to </w:t>
      </w:r>
      <w:r w:rsidRPr="00AD0647">
        <w:t xml:space="preserve">documents relevant to the transaction. Where subcontractors are likely to be involved, it should also be made clear that the requirements extend to them. </w:t>
      </w:r>
    </w:p>
    <w:p w14:paraId="6735FD32" w14:textId="2ACD8485" w:rsidR="002D1161" w:rsidRDefault="002D1161" w:rsidP="003E5315">
      <w:pPr>
        <w:spacing w:after="0" w:line="259" w:lineRule="auto"/>
        <w:ind w:left="408" w:firstLine="0"/>
        <w:jc w:val="left"/>
      </w:pPr>
    </w:p>
    <w:p w14:paraId="59E336D0" w14:textId="77777777" w:rsidR="002D1161" w:rsidRDefault="002D1161" w:rsidP="00C673A9">
      <w:pPr>
        <w:spacing w:after="0" w:line="259" w:lineRule="auto"/>
        <w:ind w:left="408" w:firstLine="0"/>
        <w:jc w:val="left"/>
      </w:pPr>
    </w:p>
    <w:p w14:paraId="19C21D92" w14:textId="77777777" w:rsidR="008B2300" w:rsidRDefault="008B2300" w:rsidP="00C673A9">
      <w:pPr>
        <w:spacing w:after="0" w:line="259" w:lineRule="auto"/>
        <w:ind w:left="408" w:firstLine="0"/>
        <w:jc w:val="left"/>
      </w:pPr>
    </w:p>
    <w:p w14:paraId="448E58B9" w14:textId="77777777" w:rsidR="008B2300" w:rsidRDefault="008B2300" w:rsidP="00C673A9">
      <w:pPr>
        <w:spacing w:after="0" w:line="259" w:lineRule="auto"/>
        <w:ind w:left="408" w:firstLine="0"/>
        <w:jc w:val="left"/>
      </w:pPr>
    </w:p>
    <w:p w14:paraId="115B52D6" w14:textId="77777777" w:rsidR="008B2300" w:rsidRDefault="008B2300" w:rsidP="00C673A9">
      <w:pPr>
        <w:spacing w:after="0" w:line="259" w:lineRule="auto"/>
        <w:ind w:left="408" w:firstLine="0"/>
        <w:jc w:val="left"/>
      </w:pPr>
    </w:p>
    <w:p w14:paraId="5B700921" w14:textId="77777777" w:rsidR="008B2300" w:rsidRDefault="008B2300" w:rsidP="00C673A9">
      <w:pPr>
        <w:spacing w:after="0" w:line="259" w:lineRule="auto"/>
        <w:ind w:left="408" w:firstLine="0"/>
        <w:jc w:val="left"/>
      </w:pPr>
    </w:p>
    <w:p w14:paraId="03BA95E7" w14:textId="77777777" w:rsidR="008B2300" w:rsidRDefault="008B2300" w:rsidP="00C673A9">
      <w:pPr>
        <w:spacing w:after="0" w:line="259" w:lineRule="auto"/>
        <w:ind w:left="408" w:firstLine="0"/>
        <w:jc w:val="left"/>
      </w:pPr>
    </w:p>
    <w:p w14:paraId="0B89B232" w14:textId="77777777" w:rsidR="008B2300" w:rsidRDefault="008B2300" w:rsidP="00C673A9">
      <w:pPr>
        <w:spacing w:after="0" w:line="259" w:lineRule="auto"/>
        <w:ind w:left="408" w:firstLine="0"/>
        <w:jc w:val="left"/>
      </w:pPr>
    </w:p>
    <w:p w14:paraId="477525D7" w14:textId="77777777" w:rsidR="008B2300" w:rsidRDefault="008B2300" w:rsidP="00C673A9">
      <w:pPr>
        <w:spacing w:after="0" w:line="259" w:lineRule="auto"/>
        <w:ind w:left="408" w:firstLine="0"/>
        <w:jc w:val="left"/>
      </w:pPr>
    </w:p>
    <w:p w14:paraId="68A9CB3F" w14:textId="77777777" w:rsidR="008B2300" w:rsidRDefault="008B2300" w:rsidP="00C673A9">
      <w:pPr>
        <w:spacing w:after="0" w:line="259" w:lineRule="auto"/>
        <w:ind w:left="408" w:firstLine="0"/>
        <w:jc w:val="left"/>
      </w:pPr>
    </w:p>
    <w:p w14:paraId="36B2E87C" w14:textId="77777777" w:rsidR="008B2300" w:rsidRDefault="008B2300" w:rsidP="00C673A9">
      <w:pPr>
        <w:spacing w:after="0" w:line="259" w:lineRule="auto"/>
        <w:ind w:left="408" w:firstLine="0"/>
        <w:jc w:val="left"/>
      </w:pPr>
    </w:p>
    <w:p w14:paraId="36891988" w14:textId="77777777" w:rsidR="008B2300" w:rsidRDefault="008B2300" w:rsidP="00C673A9">
      <w:pPr>
        <w:spacing w:after="0" w:line="259" w:lineRule="auto"/>
        <w:ind w:left="408" w:firstLine="0"/>
        <w:jc w:val="left"/>
      </w:pPr>
    </w:p>
    <w:p w14:paraId="2EF2F21F" w14:textId="77777777" w:rsidR="008B2300" w:rsidRDefault="008B2300" w:rsidP="00C673A9">
      <w:pPr>
        <w:spacing w:after="0" w:line="259" w:lineRule="auto"/>
        <w:ind w:left="408" w:firstLine="0"/>
        <w:jc w:val="left"/>
      </w:pPr>
    </w:p>
    <w:p w14:paraId="3E9DF7E0" w14:textId="77777777" w:rsidR="008B2300" w:rsidRPr="00AD0647" w:rsidRDefault="008B2300" w:rsidP="00C673A9">
      <w:pPr>
        <w:spacing w:after="0" w:line="259" w:lineRule="auto"/>
        <w:ind w:left="408" w:firstLine="0"/>
        <w:jc w:val="left"/>
      </w:pPr>
    </w:p>
    <w:p w14:paraId="09242AD5" w14:textId="77777777" w:rsidR="00C673A9" w:rsidRPr="00AD0647" w:rsidRDefault="00C673A9" w:rsidP="00C673A9">
      <w:pPr>
        <w:pStyle w:val="Heading1"/>
        <w:ind w:left="403"/>
      </w:pPr>
      <w:bookmarkStart w:id="25" w:name="_Toc74643010"/>
      <w:r w:rsidRPr="00AD0647">
        <w:t>Signatories</w:t>
      </w:r>
      <w:bookmarkEnd w:id="25"/>
      <w:r w:rsidRPr="00AD0647">
        <w:t xml:space="preserve">  </w:t>
      </w:r>
    </w:p>
    <w:p w14:paraId="4B8BF23D" w14:textId="77777777" w:rsidR="00C673A9" w:rsidRPr="00AD0647" w:rsidRDefault="00C673A9" w:rsidP="00C673A9">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503F73E7" wp14:editId="2D4E37A4">
                <wp:extent cx="5769610" cy="6096"/>
                <wp:effectExtent l="0" t="0" r="0" b="0"/>
                <wp:docPr id="26" name="Group 2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7" name="Shape 37941"/>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47C96D3C" id="Group 26"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">
                <v:shape id="Shape 37941"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" path="m,l5769610,r,9144l,9144,,e" fillcolor="#4a66ac" stroked="f" strokeweight="0">
                  <v:stroke miterlimit="83231f" joinstyle="miter"/>
                  <v:path arrowok="t" textboxrect="0,0,5769610,9144"/>
                </v:shape>
                <w10:anchorlock/>
              </v:group>
            </w:pict>
          </mc:Fallback>
        </mc:AlternateContent>
      </w:r>
    </w:p>
    <w:p w14:paraId="52D8E53A" w14:textId="77777777" w:rsidR="00C673A9" w:rsidRPr="00AD0647" w:rsidRDefault="00C673A9" w:rsidP="00C673A9">
      <w:pPr>
        <w:spacing w:after="115" w:line="259" w:lineRule="auto"/>
        <w:ind w:left="408" w:firstLine="0"/>
        <w:jc w:val="left"/>
      </w:pPr>
      <w:r w:rsidRPr="00AD0647">
        <w:t xml:space="preserve"> </w:t>
      </w:r>
    </w:p>
    <w:p w14:paraId="65DEBE74" w14:textId="01857ED2" w:rsidR="00C673A9" w:rsidRPr="00AD0647" w:rsidRDefault="00C673A9" w:rsidP="00C673A9">
      <w:pPr>
        <w:ind w:left="403" w:right="60"/>
        <w:rPr>
          <w:color w:val="auto"/>
        </w:rPr>
      </w:pPr>
      <w:r w:rsidRPr="00AD0647">
        <w:rPr>
          <w:color w:val="auto"/>
        </w:rPr>
        <w:t xml:space="preserve">NITHC and </w:t>
      </w:r>
      <w:r w:rsidR="00E21D54" w:rsidRPr="00AD0647">
        <w:rPr>
          <w:color w:val="auto"/>
        </w:rPr>
        <w:t>DfI agree</w:t>
      </w:r>
      <w:r w:rsidRPr="00AD0647">
        <w:rPr>
          <w:color w:val="auto"/>
        </w:rPr>
        <w:t xml:space="preserve"> to work in partnership with each other in line with the </w:t>
      </w:r>
      <w:hyperlink r:id="rId34" w:history="1">
        <w:r w:rsidR="00C672AC" w:rsidRPr="00F142FD">
          <w:rPr>
            <w:rStyle w:val="Hyperlink"/>
          </w:rPr>
          <w:t>NI Code</w:t>
        </w:r>
      </w:hyperlink>
      <w:r w:rsidR="00C672AC">
        <w:rPr>
          <w:color w:val="auto"/>
        </w:rPr>
        <w:t xml:space="preserve"> </w:t>
      </w:r>
      <w:r w:rsidRPr="00AD0647">
        <w:rPr>
          <w:color w:val="auto"/>
        </w:rPr>
        <w:t xml:space="preserve"> of Good Practice</w:t>
      </w:r>
      <w:r w:rsidR="00C30E9B" w:rsidRPr="00AD0647">
        <w:rPr>
          <w:color w:val="auto"/>
        </w:rPr>
        <w:t>:</w:t>
      </w:r>
      <w:r w:rsidRPr="00AD0647">
        <w:rPr>
          <w:color w:val="auto"/>
        </w:rPr>
        <w:t xml:space="preserve"> </w:t>
      </w:r>
      <w:r w:rsidRPr="00AD0647">
        <w:rPr>
          <w:b/>
          <w:i/>
          <w:color w:val="auto"/>
        </w:rPr>
        <w:t>‘Partnerships between Departments and Arm’s Length Bodies’</w:t>
      </w:r>
      <w:r w:rsidRPr="00AD0647">
        <w:rPr>
          <w:color w:val="auto"/>
        </w:rPr>
        <w:t xml:space="preserve"> and the arrangements set out in this Agreement. </w:t>
      </w:r>
    </w:p>
    <w:p w14:paraId="2D3D66EC" w14:textId="77777777" w:rsidR="00C673A9" w:rsidRPr="00AD0647" w:rsidRDefault="00C673A9" w:rsidP="00C673A9">
      <w:pPr>
        <w:spacing w:after="115" w:line="259" w:lineRule="auto"/>
        <w:ind w:left="408" w:firstLine="0"/>
        <w:jc w:val="left"/>
        <w:rPr>
          <w:color w:val="auto"/>
        </w:rPr>
      </w:pPr>
      <w:r w:rsidRPr="00AD0647">
        <w:rPr>
          <w:color w:val="auto"/>
        </w:rPr>
        <w:t xml:space="preserve"> </w:t>
      </w:r>
    </w:p>
    <w:p w14:paraId="1382960C" w14:textId="52351846" w:rsidR="00C673A9" w:rsidRPr="00AD0647" w:rsidRDefault="00C673A9" w:rsidP="00C673A9">
      <w:pPr>
        <w:spacing w:after="115" w:line="259" w:lineRule="auto"/>
        <w:ind w:left="408" w:firstLine="0"/>
        <w:jc w:val="left"/>
        <w:rPr>
          <w:color w:val="auto"/>
        </w:rPr>
      </w:pPr>
    </w:p>
    <w:p w14:paraId="089C16E2" w14:textId="77777777" w:rsidR="003E5315" w:rsidRPr="00AD0647" w:rsidRDefault="003E5315" w:rsidP="00C673A9">
      <w:pPr>
        <w:spacing w:after="117" w:line="259" w:lineRule="auto"/>
        <w:ind w:left="408" w:firstLine="0"/>
        <w:jc w:val="left"/>
        <w:rPr>
          <w:color w:val="auto"/>
        </w:rPr>
      </w:pPr>
    </w:p>
    <w:p w14:paraId="3D81EA88" w14:textId="75FB490E" w:rsidR="00C673A9" w:rsidRPr="00AD0647" w:rsidRDefault="00C673A9" w:rsidP="00C673A9">
      <w:pPr>
        <w:spacing w:after="117" w:line="259" w:lineRule="auto"/>
        <w:ind w:left="403" w:right="60"/>
        <w:rPr>
          <w:color w:val="auto"/>
        </w:rPr>
      </w:pPr>
      <w:r w:rsidRPr="00AD0647">
        <w:rPr>
          <w:color w:val="auto"/>
        </w:rPr>
        <w:t xml:space="preserve">Signed (NITHC </w:t>
      </w:r>
      <w:r w:rsidR="004942C7" w:rsidRPr="00AD0647">
        <w:rPr>
          <w:color w:val="auto"/>
        </w:rPr>
        <w:t>Chair</w:t>
      </w:r>
      <w:r w:rsidRPr="00AD0647">
        <w:rPr>
          <w:color w:val="auto"/>
        </w:rPr>
        <w:t xml:space="preserve">) </w:t>
      </w:r>
    </w:p>
    <w:p w14:paraId="3C0F3740" w14:textId="77777777" w:rsidR="00C673A9" w:rsidRPr="00AD0647" w:rsidRDefault="00C673A9" w:rsidP="00C673A9">
      <w:pPr>
        <w:tabs>
          <w:tab w:val="center" w:pos="662"/>
          <w:tab w:val="center" w:pos="4921"/>
        </w:tabs>
        <w:spacing w:after="123" w:line="259" w:lineRule="auto"/>
        <w:ind w:left="0" w:firstLine="0"/>
        <w:jc w:val="left"/>
      </w:pPr>
      <w:r w:rsidRPr="00AD0647">
        <w:rPr>
          <w:rFonts w:ascii="Calibri" w:eastAsia="Calibri" w:hAnsi="Calibri" w:cs="Calibri"/>
          <w:sz w:val="22"/>
        </w:rPr>
        <w:tab/>
      </w:r>
      <w:r w:rsidRPr="00AD0647">
        <w:t xml:space="preserve">Date  </w:t>
      </w:r>
      <w:r w:rsidRPr="00AD0647">
        <w:tab/>
        <w:t xml:space="preserve"> </w:t>
      </w:r>
    </w:p>
    <w:p w14:paraId="2EC775E8" w14:textId="77777777" w:rsidR="00C673A9" w:rsidRPr="00AD0647" w:rsidRDefault="00C673A9" w:rsidP="00C673A9">
      <w:pPr>
        <w:spacing w:after="117" w:line="259" w:lineRule="auto"/>
        <w:ind w:left="408" w:firstLine="0"/>
        <w:jc w:val="left"/>
      </w:pPr>
      <w:r w:rsidRPr="00AD0647">
        <w:t xml:space="preserve"> </w:t>
      </w:r>
    </w:p>
    <w:p w14:paraId="35030F16" w14:textId="77777777" w:rsidR="00C673A9" w:rsidRPr="00AD0647" w:rsidRDefault="00C673A9" w:rsidP="00C673A9">
      <w:pPr>
        <w:spacing w:after="115" w:line="259" w:lineRule="auto"/>
        <w:ind w:left="408" w:firstLine="0"/>
        <w:jc w:val="left"/>
      </w:pPr>
      <w:r w:rsidRPr="00AD0647">
        <w:t xml:space="preserve"> </w:t>
      </w:r>
    </w:p>
    <w:p w14:paraId="5166959C" w14:textId="77777777" w:rsidR="00C673A9" w:rsidRPr="00AD0647" w:rsidRDefault="00C673A9" w:rsidP="00C673A9">
      <w:pPr>
        <w:spacing w:after="115" w:line="259" w:lineRule="auto"/>
        <w:ind w:left="408" w:firstLine="0"/>
        <w:jc w:val="left"/>
        <w:rPr>
          <w:color w:val="auto"/>
        </w:rPr>
      </w:pPr>
    </w:p>
    <w:p w14:paraId="67865A9C" w14:textId="77777777" w:rsidR="00C673A9" w:rsidRPr="00AD0647" w:rsidRDefault="00C673A9" w:rsidP="00C673A9">
      <w:pPr>
        <w:spacing w:after="118" w:line="259" w:lineRule="auto"/>
        <w:ind w:left="403" w:right="60"/>
        <w:rPr>
          <w:color w:val="auto"/>
        </w:rPr>
      </w:pPr>
      <w:r w:rsidRPr="00AD0647">
        <w:rPr>
          <w:color w:val="auto"/>
        </w:rPr>
        <w:t xml:space="preserve">Signed (NITHC Chief Executive) </w:t>
      </w:r>
    </w:p>
    <w:p w14:paraId="284F03D1" w14:textId="77777777" w:rsidR="00C673A9" w:rsidRPr="00AD0647" w:rsidRDefault="00C673A9" w:rsidP="00C673A9">
      <w:pPr>
        <w:spacing w:after="115" w:line="259" w:lineRule="auto"/>
        <w:ind w:left="403" w:right="60"/>
        <w:rPr>
          <w:color w:val="auto"/>
        </w:rPr>
      </w:pPr>
      <w:r w:rsidRPr="00AD0647">
        <w:rPr>
          <w:color w:val="auto"/>
        </w:rPr>
        <w:t xml:space="preserve">Date  </w:t>
      </w:r>
    </w:p>
    <w:p w14:paraId="7A52270A" w14:textId="77777777" w:rsidR="00C673A9" w:rsidRPr="00AD0647" w:rsidRDefault="00C673A9" w:rsidP="00C673A9">
      <w:pPr>
        <w:spacing w:after="117" w:line="259" w:lineRule="auto"/>
        <w:ind w:left="408" w:firstLine="0"/>
        <w:jc w:val="left"/>
        <w:rPr>
          <w:color w:val="auto"/>
        </w:rPr>
      </w:pPr>
      <w:r w:rsidRPr="00AD0647">
        <w:rPr>
          <w:color w:val="auto"/>
        </w:rPr>
        <w:t xml:space="preserve">  </w:t>
      </w:r>
    </w:p>
    <w:p w14:paraId="3CB09ABA" w14:textId="77777777" w:rsidR="00C673A9" w:rsidRPr="00AD0647" w:rsidRDefault="00C673A9" w:rsidP="00C673A9">
      <w:pPr>
        <w:spacing w:after="117" w:line="259" w:lineRule="auto"/>
        <w:ind w:left="408" w:firstLine="0"/>
        <w:jc w:val="left"/>
        <w:rPr>
          <w:color w:val="auto"/>
        </w:rPr>
      </w:pPr>
      <w:r w:rsidRPr="00AD0647">
        <w:rPr>
          <w:color w:val="auto"/>
        </w:rPr>
        <w:t xml:space="preserve"> </w:t>
      </w:r>
    </w:p>
    <w:p w14:paraId="5E2CA138" w14:textId="77777777" w:rsidR="00C673A9" w:rsidRPr="00AD0647" w:rsidRDefault="00C673A9" w:rsidP="00C673A9">
      <w:pPr>
        <w:spacing w:after="113" w:line="259" w:lineRule="auto"/>
        <w:ind w:left="408" w:firstLine="0"/>
        <w:jc w:val="left"/>
        <w:rPr>
          <w:color w:val="auto"/>
        </w:rPr>
      </w:pPr>
      <w:r w:rsidRPr="00AD0647">
        <w:rPr>
          <w:color w:val="auto"/>
        </w:rPr>
        <w:t xml:space="preserve"> </w:t>
      </w:r>
    </w:p>
    <w:p w14:paraId="7131BE67" w14:textId="77777777" w:rsidR="00C673A9" w:rsidRPr="00AD0647" w:rsidRDefault="00C673A9" w:rsidP="00C673A9">
      <w:pPr>
        <w:spacing w:after="120" w:line="259" w:lineRule="auto"/>
        <w:ind w:left="408" w:firstLine="0"/>
        <w:jc w:val="left"/>
        <w:rPr>
          <w:color w:val="auto"/>
        </w:rPr>
      </w:pPr>
      <w:r w:rsidRPr="00AD0647">
        <w:rPr>
          <w:color w:val="auto"/>
        </w:rPr>
        <w:t>Signed (D</w:t>
      </w:r>
      <w:r w:rsidR="00377E31" w:rsidRPr="00AD0647">
        <w:rPr>
          <w:color w:val="auto"/>
        </w:rPr>
        <w:t>fI</w:t>
      </w:r>
      <w:r w:rsidRPr="00AD0647">
        <w:rPr>
          <w:color w:val="auto"/>
        </w:rPr>
        <w:t xml:space="preserve"> – </w:t>
      </w:r>
      <w:r w:rsidRPr="00AD0647">
        <w:rPr>
          <w:i/>
          <w:color w:val="auto"/>
        </w:rPr>
        <w:t>[at least Senior Lead Official]</w:t>
      </w:r>
      <w:r w:rsidRPr="00AD0647">
        <w:rPr>
          <w:color w:val="auto"/>
        </w:rPr>
        <w:t xml:space="preserve">) </w:t>
      </w:r>
    </w:p>
    <w:p w14:paraId="1C626630" w14:textId="77777777" w:rsidR="00C673A9" w:rsidRPr="00AD0647" w:rsidRDefault="00C673A9" w:rsidP="00C673A9">
      <w:pPr>
        <w:spacing w:after="115" w:line="259" w:lineRule="auto"/>
        <w:ind w:left="403" w:right="60"/>
        <w:rPr>
          <w:color w:val="auto"/>
        </w:rPr>
      </w:pPr>
      <w:r w:rsidRPr="00AD0647">
        <w:rPr>
          <w:color w:val="auto"/>
        </w:rPr>
        <w:t xml:space="preserve">Date  </w:t>
      </w:r>
    </w:p>
    <w:p w14:paraId="05F70127" w14:textId="77777777" w:rsidR="00C673A9" w:rsidRPr="00AD0647" w:rsidRDefault="00C673A9" w:rsidP="00C673A9">
      <w:pPr>
        <w:spacing w:after="115" w:line="259" w:lineRule="auto"/>
        <w:ind w:left="408" w:firstLine="0"/>
        <w:jc w:val="left"/>
        <w:rPr>
          <w:color w:val="auto"/>
        </w:rPr>
      </w:pPr>
      <w:r w:rsidRPr="00AD0647">
        <w:rPr>
          <w:color w:val="auto"/>
        </w:rPr>
        <w:t xml:space="preserve"> </w:t>
      </w:r>
    </w:p>
    <w:p w14:paraId="6FF3F41B" w14:textId="77777777" w:rsidR="00C673A9" w:rsidRPr="00AD0647" w:rsidRDefault="00C673A9" w:rsidP="00C673A9">
      <w:pPr>
        <w:spacing w:after="117" w:line="259" w:lineRule="auto"/>
        <w:ind w:left="408" w:firstLine="0"/>
        <w:jc w:val="left"/>
      </w:pPr>
      <w:r w:rsidRPr="00AD0647">
        <w:t xml:space="preserve"> </w:t>
      </w:r>
    </w:p>
    <w:p w14:paraId="7CE89FD3" w14:textId="77777777" w:rsidR="00C673A9" w:rsidRPr="00AD0647" w:rsidRDefault="00C673A9" w:rsidP="00C673A9">
      <w:pPr>
        <w:spacing w:after="115" w:line="259" w:lineRule="auto"/>
        <w:ind w:left="408" w:firstLine="0"/>
        <w:jc w:val="left"/>
      </w:pPr>
      <w:r w:rsidRPr="00AD0647">
        <w:t xml:space="preserve"> </w:t>
      </w:r>
    </w:p>
    <w:p w14:paraId="409AEF3E" w14:textId="77777777" w:rsidR="006F7CFD" w:rsidRDefault="006F7CFD" w:rsidP="00BF486C">
      <w:pPr>
        <w:spacing w:after="117" w:line="259" w:lineRule="auto"/>
        <w:ind w:left="408" w:firstLine="0"/>
        <w:jc w:val="left"/>
      </w:pPr>
    </w:p>
    <w:p w14:paraId="27DBA4DD" w14:textId="77777777" w:rsidR="006F7CFD" w:rsidRDefault="006F7CFD" w:rsidP="00BF486C">
      <w:pPr>
        <w:spacing w:after="117" w:line="259" w:lineRule="auto"/>
        <w:ind w:left="408" w:firstLine="0"/>
        <w:jc w:val="left"/>
      </w:pPr>
    </w:p>
    <w:p w14:paraId="1CF15B3D" w14:textId="77777777" w:rsidR="006F7CFD" w:rsidRDefault="006F7CFD" w:rsidP="00BF486C">
      <w:pPr>
        <w:spacing w:after="117" w:line="259" w:lineRule="auto"/>
        <w:ind w:left="408" w:firstLine="0"/>
        <w:jc w:val="left"/>
      </w:pPr>
    </w:p>
    <w:p w14:paraId="02204530" w14:textId="77777777" w:rsidR="006F7CFD" w:rsidRDefault="006F7CFD" w:rsidP="00BF486C">
      <w:pPr>
        <w:spacing w:after="117" w:line="259" w:lineRule="auto"/>
        <w:ind w:left="408" w:firstLine="0"/>
        <w:jc w:val="left"/>
      </w:pPr>
    </w:p>
    <w:p w14:paraId="5E9A22E8" w14:textId="77777777" w:rsidR="006F7CFD" w:rsidRDefault="006F7CFD" w:rsidP="00BF486C">
      <w:pPr>
        <w:spacing w:after="117" w:line="259" w:lineRule="auto"/>
        <w:ind w:left="408" w:firstLine="0"/>
        <w:jc w:val="left"/>
      </w:pPr>
    </w:p>
    <w:p w14:paraId="7C9D32AE" w14:textId="77777777" w:rsidR="006F7CFD" w:rsidRDefault="006F7CFD" w:rsidP="00BF486C">
      <w:pPr>
        <w:spacing w:after="117" w:line="259" w:lineRule="auto"/>
        <w:ind w:left="408" w:firstLine="0"/>
        <w:jc w:val="left"/>
      </w:pPr>
    </w:p>
    <w:p w14:paraId="790F3652" w14:textId="77777777" w:rsidR="006F7CFD" w:rsidRDefault="006F7CFD" w:rsidP="00BF486C">
      <w:pPr>
        <w:spacing w:after="117" w:line="259" w:lineRule="auto"/>
        <w:ind w:left="408" w:firstLine="0"/>
        <w:jc w:val="left"/>
      </w:pPr>
    </w:p>
    <w:p w14:paraId="04A0741B" w14:textId="77777777" w:rsidR="00C672AC" w:rsidRDefault="00C672AC" w:rsidP="00BF486C">
      <w:pPr>
        <w:spacing w:after="117" w:line="259" w:lineRule="auto"/>
        <w:ind w:left="408" w:firstLine="0"/>
        <w:jc w:val="left"/>
      </w:pPr>
    </w:p>
    <w:p w14:paraId="10AEDF93" w14:textId="77777777" w:rsidR="008B2300" w:rsidRDefault="008B2300" w:rsidP="00BF486C">
      <w:pPr>
        <w:spacing w:after="117" w:line="259" w:lineRule="auto"/>
        <w:ind w:left="408" w:firstLine="0"/>
        <w:jc w:val="left"/>
      </w:pPr>
    </w:p>
    <w:p w14:paraId="15155BEB" w14:textId="6A7A51F1" w:rsidR="00AB2097" w:rsidRPr="00AD0647" w:rsidRDefault="00AB2097" w:rsidP="00BF486C">
      <w:pPr>
        <w:spacing w:after="117" w:line="259" w:lineRule="auto"/>
        <w:ind w:left="408" w:firstLine="0"/>
        <w:jc w:val="left"/>
      </w:pPr>
      <w:r w:rsidRPr="00AD0647">
        <w:rPr>
          <w:b/>
          <w:color w:val="374C80"/>
          <w:sz w:val="28"/>
        </w:rPr>
        <w:t xml:space="preserve">Annex </w:t>
      </w:r>
      <w:r w:rsidR="000C232E" w:rsidRPr="00AD0647">
        <w:rPr>
          <w:b/>
          <w:color w:val="374C80"/>
          <w:sz w:val="28"/>
        </w:rPr>
        <w:t>1</w:t>
      </w:r>
      <w:r w:rsidRPr="00AD0647">
        <w:rPr>
          <w:b/>
          <w:color w:val="374C80"/>
          <w:sz w:val="28"/>
        </w:rPr>
        <w:t xml:space="preserve"> –Engagement Plan </w:t>
      </w:r>
      <w:r w:rsidRPr="00AD0647">
        <w:rPr>
          <w:rFonts w:ascii="Calibri" w:eastAsia="Calibri" w:hAnsi="Calibri" w:cs="Calibri"/>
          <w:noProof/>
          <w:sz w:val="22"/>
        </w:rPr>
        <mc:AlternateContent>
          <mc:Choice Requires="wpg">
            <w:drawing>
              <wp:inline distT="0" distB="0" distL="0" distR="0" wp14:anchorId="3FD9E519" wp14:editId="2536D5B0">
                <wp:extent cx="5769610" cy="6096"/>
                <wp:effectExtent l="0" t="0" r="0" b="0"/>
                <wp:docPr id="1" name="Group 1"/>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 name="Shape 3794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1D2D39B9" id="Group 1"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B5jfTtOwIAAH8FAAAOAAAAAAAAAAAA&#10;AAAAAC4CAABkcnMvZTJvRG9jLnhtbFBLAQItABQABgAIAAAAIQCDXyzr2gAAAAMBAAAPAAAAAAAA&#10;AAAAAAAAAJUEAABkcnMvZG93bnJldi54bWxQSwUGAAAAAAQABADzAAAAnAUAAAAA&#10;">
                <v:shape id="Shape 37942"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" path="m,l5769610,r,9144l,9144,,e" fillcolor="#4a66ac" stroked="f" strokeweight="0">
                  <v:stroke miterlimit="83231f" joinstyle="miter"/>
                  <v:path arrowok="t" textboxrect="0,0,5769610,9144"/>
                </v:shape>
                <w10:anchorlock/>
              </v:group>
            </w:pict>
          </mc:Fallback>
        </mc:AlternateContent>
      </w:r>
    </w:p>
    <w:p w14:paraId="6F73F739" w14:textId="77777777" w:rsidR="00AB2097" w:rsidRPr="00AD0647" w:rsidRDefault="00AB2097" w:rsidP="00AB2097">
      <w:pPr>
        <w:ind w:left="403" w:right="60"/>
      </w:pPr>
      <w:bookmarkStart w:id="26" w:name="_Toc62827976"/>
    </w:p>
    <w:p w14:paraId="4EE03008" w14:textId="77777777" w:rsidR="00AB2097" w:rsidRPr="00AD0647" w:rsidRDefault="00AB2097" w:rsidP="00AB2097">
      <w:pPr>
        <w:ind w:left="403" w:right="60"/>
      </w:pPr>
      <w:r w:rsidRPr="00AD0647">
        <w:t xml:space="preserve">Good engagement is one of the key principles in the Partnership Code, underpinning the other principles of: Leadership; Purpose; Assurance; and Value. </w:t>
      </w:r>
    </w:p>
    <w:p w14:paraId="099F7328" w14:textId="77777777" w:rsidR="00AB2097" w:rsidRPr="00AD0647" w:rsidRDefault="00AB2097" w:rsidP="00AB2097">
      <w:pPr>
        <w:spacing w:after="115" w:line="259" w:lineRule="auto"/>
        <w:ind w:left="408" w:firstLine="0"/>
        <w:jc w:val="left"/>
      </w:pPr>
      <w:r w:rsidRPr="00AD0647">
        <w:t xml:space="preserve"> </w:t>
      </w:r>
    </w:p>
    <w:p w14:paraId="45118D9D" w14:textId="77777777" w:rsidR="00AB2097" w:rsidRPr="00AD0647" w:rsidRDefault="00AB2097" w:rsidP="00AB2097">
      <w:pPr>
        <w:spacing w:after="61"/>
        <w:ind w:left="403" w:right="60"/>
      </w:pPr>
      <w:r w:rsidRPr="00AD0647">
        <w:t xml:space="preserve">As laid out in the NI Code, partnerships work well when relationships between departments and ALBs are open, transparent, honest, constructive and based on trust and when there is mutual understanding of each other’s objectives and clear expectations about the terms of engagement. </w:t>
      </w:r>
    </w:p>
    <w:p w14:paraId="4D728FD5" w14:textId="77777777" w:rsidR="00AB2097" w:rsidRPr="00AD0647" w:rsidRDefault="00AB2097" w:rsidP="00AB2097">
      <w:pPr>
        <w:spacing w:after="69" w:line="259" w:lineRule="auto"/>
        <w:ind w:left="408" w:firstLine="0"/>
        <w:jc w:val="left"/>
      </w:pPr>
      <w:r w:rsidRPr="00AD0647">
        <w:rPr>
          <w:rFonts w:ascii="Lucida Sans Unicode" w:eastAsia="Lucida Sans Unicode" w:hAnsi="Lucida Sans Unicode" w:cs="Lucida Sans Unicode"/>
          <w:sz w:val="22"/>
        </w:rPr>
        <w:t xml:space="preserve"> </w:t>
      </w:r>
    </w:p>
    <w:p w14:paraId="3F04C960" w14:textId="0DC4103D" w:rsidR="00AB2097" w:rsidRPr="00AD0647" w:rsidRDefault="00AB2097" w:rsidP="00AB2097">
      <w:pPr>
        <w:ind w:left="403" w:right="60"/>
        <w:rPr>
          <w:color w:val="auto"/>
        </w:rPr>
      </w:pPr>
      <w:r w:rsidRPr="00AD0647">
        <w:rPr>
          <w:color w:val="auto"/>
        </w:rPr>
        <w:t>The following table outlines the key areas of engagement between DfI and NITHC.</w:t>
      </w:r>
    </w:p>
    <w:p w14:paraId="35AE5067" w14:textId="77777777" w:rsidR="00AB2097" w:rsidRPr="00AD0647" w:rsidRDefault="00AB2097" w:rsidP="008B2300">
      <w:pPr>
        <w:ind w:left="0" w:right="60" w:firstLine="0"/>
        <w:rPr>
          <w:i/>
          <w:color w:val="auto"/>
        </w:rPr>
      </w:pPr>
    </w:p>
    <w:p w14:paraId="7B4F41CD" w14:textId="77777777" w:rsidR="00AB2097" w:rsidRPr="00AD0647" w:rsidRDefault="00AB2097" w:rsidP="00AB2097">
      <w:pPr>
        <w:spacing w:after="0" w:line="259" w:lineRule="auto"/>
        <w:ind w:left="408" w:firstLine="0"/>
        <w:jc w:val="left"/>
      </w:pPr>
      <w:r w:rsidRPr="00AD0647">
        <w:t xml:space="preserve"> </w:t>
      </w:r>
    </w:p>
    <w:tbl>
      <w:tblPr>
        <w:tblStyle w:val="TableGrid2"/>
        <w:tblW w:w="9049" w:type="dxa"/>
        <w:tblInd w:w="414" w:type="dxa"/>
        <w:tblCellMar>
          <w:top w:w="10" w:type="dxa"/>
          <w:left w:w="107" w:type="dxa"/>
        </w:tblCellMar>
        <w:tblLook w:val="04A0" w:firstRow="1" w:lastRow="0" w:firstColumn="1" w:lastColumn="0" w:noHBand="0" w:noVBand="1"/>
      </w:tblPr>
      <w:tblGrid>
        <w:gridCol w:w="2932"/>
        <w:gridCol w:w="592"/>
        <w:gridCol w:w="2550"/>
        <w:gridCol w:w="2975"/>
      </w:tblGrid>
      <w:tr w:rsidR="00AB2097" w:rsidRPr="00AD0647" w14:paraId="5D905A4B" w14:textId="77777777" w:rsidTr="002D09FE">
        <w:trPr>
          <w:trHeight w:val="482"/>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2A9C5321" w14:textId="35AFA47D" w:rsidR="00AB2097" w:rsidRPr="00AD0647" w:rsidRDefault="00AB2097" w:rsidP="00AB2097">
            <w:pPr>
              <w:spacing w:after="0" w:line="240" w:lineRule="auto"/>
              <w:ind w:left="0" w:right="106" w:firstLine="0"/>
              <w:jc w:val="center"/>
              <w:rPr>
                <w:b/>
                <w:color w:val="FFFFFF"/>
                <w:sz w:val="28"/>
              </w:rPr>
            </w:pPr>
            <w:r w:rsidRPr="00AD0647">
              <w:rPr>
                <w:b/>
                <w:color w:val="FFFFFF"/>
                <w:sz w:val="28"/>
              </w:rPr>
              <w:t xml:space="preserve">Engagement Plan  </w:t>
            </w:r>
          </w:p>
          <w:p w14:paraId="4A2DE3FE" w14:textId="77777777" w:rsidR="00AB2097" w:rsidRPr="00AD0647" w:rsidRDefault="00AB2097" w:rsidP="00AB2097">
            <w:pPr>
              <w:spacing w:after="0" w:line="240" w:lineRule="auto"/>
              <w:ind w:left="0" w:right="106" w:firstLine="0"/>
              <w:jc w:val="center"/>
            </w:pPr>
          </w:p>
        </w:tc>
      </w:tr>
      <w:tr w:rsidR="00AB2097" w:rsidRPr="00AD0647" w14:paraId="2939B3CC" w14:textId="77777777" w:rsidTr="002D09FE">
        <w:trPr>
          <w:trHeight w:val="1161"/>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05E4D2FB" w14:textId="77777777" w:rsidR="00AB2097" w:rsidRPr="00AD0647" w:rsidRDefault="00AB2097" w:rsidP="00AB2097">
            <w:pPr>
              <w:spacing w:after="124" w:line="240" w:lineRule="auto"/>
              <w:ind w:left="0" w:firstLine="0"/>
              <w:jc w:val="left"/>
            </w:pPr>
            <w:r w:rsidRPr="00AD0647">
              <w:rPr>
                <w:b/>
                <w:color w:val="FFFFFF"/>
              </w:rPr>
              <w:t xml:space="preserve">Policy Development and Delivery </w:t>
            </w:r>
          </w:p>
          <w:p w14:paraId="367E9198" w14:textId="4DB07A0E" w:rsidR="00AB2097" w:rsidRPr="00AD0647" w:rsidRDefault="00AB2097" w:rsidP="00AB2097">
            <w:pPr>
              <w:spacing w:after="0" w:line="240" w:lineRule="auto"/>
              <w:ind w:left="0" w:firstLine="0"/>
              <w:jc w:val="left"/>
              <w:rPr>
                <w:i/>
                <w:color w:val="FFFFFF"/>
              </w:rPr>
            </w:pPr>
            <w:r w:rsidRPr="00AD0647">
              <w:rPr>
                <w:i/>
                <w:color w:val="FFFFFF"/>
              </w:rPr>
              <w:t>Planned engagement between NITHC and the Department in relation to development and monitoring of existing and new areas of policy</w:t>
            </w:r>
            <w:r w:rsidR="006578CB">
              <w:rPr>
                <w:i/>
                <w:color w:val="FFFFFF"/>
              </w:rPr>
              <w:t>.</w:t>
            </w:r>
            <w:r w:rsidRPr="00AD0647">
              <w:rPr>
                <w:i/>
                <w:color w:val="FFFFFF"/>
              </w:rPr>
              <w:t xml:space="preserve"> </w:t>
            </w:r>
          </w:p>
          <w:p w14:paraId="30A446B7" w14:textId="77777777" w:rsidR="00AB2097" w:rsidRPr="00AD0647" w:rsidRDefault="00AB2097" w:rsidP="00AB2097">
            <w:pPr>
              <w:spacing w:after="0" w:line="240" w:lineRule="auto"/>
              <w:ind w:left="0" w:firstLine="0"/>
              <w:jc w:val="left"/>
            </w:pPr>
          </w:p>
        </w:tc>
      </w:tr>
      <w:tr w:rsidR="00AB2097" w:rsidRPr="00AD0647" w14:paraId="2C476D10" w14:textId="77777777" w:rsidTr="00EA5023">
        <w:trPr>
          <w:trHeight w:val="738"/>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605E" w14:textId="77777777" w:rsidR="00AB2097" w:rsidRPr="00AD0647" w:rsidRDefault="00AB2097" w:rsidP="00AB2097">
            <w:pPr>
              <w:spacing w:after="0" w:line="240" w:lineRule="auto"/>
              <w:ind w:left="0" w:firstLine="0"/>
              <w:jc w:val="left"/>
            </w:pPr>
            <w:r w:rsidRPr="00AD0647">
              <w:rPr>
                <w:b/>
              </w:rPr>
              <w:t xml:space="preserve">Policy Area  </w:t>
            </w:r>
          </w:p>
          <w:p w14:paraId="6D84C605" w14:textId="77777777" w:rsidR="00AB2097" w:rsidRPr="00AD0647" w:rsidRDefault="00AB2097" w:rsidP="00AB2097">
            <w:pPr>
              <w:spacing w:after="0" w:line="240" w:lineRule="auto"/>
              <w:ind w:left="0" w:firstLine="0"/>
              <w:jc w:val="left"/>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9FC9" w14:textId="77777777" w:rsidR="00AB2097" w:rsidRPr="00AD0647" w:rsidRDefault="00AB2097" w:rsidP="00AB2097">
            <w:pPr>
              <w:spacing w:after="0" w:line="240" w:lineRule="auto"/>
              <w:ind w:left="1" w:firstLine="0"/>
            </w:pPr>
            <w:r w:rsidRPr="00AD0647">
              <w:rPr>
                <w:b/>
              </w:rPr>
              <w:t xml:space="preserve">Frequency/Timing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A023" w14:textId="14F32817" w:rsidR="00AB2097" w:rsidRPr="00AD0647" w:rsidRDefault="00AB2097" w:rsidP="00AB2097">
            <w:pPr>
              <w:spacing w:after="4" w:line="240" w:lineRule="auto"/>
              <w:ind w:left="1" w:firstLine="0"/>
              <w:jc w:val="left"/>
            </w:pPr>
            <w:r w:rsidRPr="00AD0647">
              <w:rPr>
                <w:b/>
              </w:rPr>
              <w:t>Lead Departmental/NITHC</w:t>
            </w:r>
            <w:r w:rsidR="001C3F9D">
              <w:rPr>
                <w:b/>
              </w:rPr>
              <w:t xml:space="preserve"> (Translink)</w:t>
            </w:r>
            <w:r w:rsidRPr="00AD0647">
              <w:rPr>
                <w:b/>
              </w:rPr>
              <w:t xml:space="preserve"> </w:t>
            </w:r>
          </w:p>
          <w:p w14:paraId="4F272872" w14:textId="77777777" w:rsidR="00AB2097" w:rsidRPr="00AD0647" w:rsidRDefault="00AB2097" w:rsidP="00AB2097">
            <w:pPr>
              <w:spacing w:after="0" w:line="240" w:lineRule="auto"/>
              <w:ind w:left="1" w:firstLine="0"/>
              <w:jc w:val="left"/>
            </w:pPr>
            <w:r w:rsidRPr="00AD0647">
              <w:rPr>
                <w:b/>
              </w:rPr>
              <w:t xml:space="preserve">Officials  </w:t>
            </w:r>
          </w:p>
        </w:tc>
      </w:tr>
      <w:tr w:rsidR="00AB2097" w:rsidRPr="00AD0647" w14:paraId="76DD67BE" w14:textId="77777777" w:rsidTr="00EA5023">
        <w:trPr>
          <w:trHeight w:val="54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8BD1" w14:textId="094E4B76" w:rsidR="00E83312" w:rsidRPr="00AD0647" w:rsidRDefault="00AB2097" w:rsidP="00AB2097">
            <w:pPr>
              <w:autoSpaceDE w:val="0"/>
              <w:autoSpaceDN w:val="0"/>
              <w:adjustRightInd w:val="0"/>
              <w:spacing w:after="0" w:line="240" w:lineRule="auto"/>
              <w:ind w:left="0" w:firstLine="0"/>
              <w:jc w:val="left"/>
              <w:rPr>
                <w:rFonts w:eastAsiaTheme="minorEastAsia"/>
                <w:szCs w:val="24"/>
              </w:rPr>
            </w:pPr>
            <w:r w:rsidRPr="00AD0647">
              <w:rPr>
                <w:rFonts w:eastAsiaTheme="minorEastAsia"/>
                <w:szCs w:val="24"/>
              </w:rPr>
              <w:t>Public Transport Strategy – encompassing engagement and consultation on public transport strategy, policy and initiatives.</w:t>
            </w:r>
          </w:p>
          <w:p w14:paraId="0612EAC8" w14:textId="77777777" w:rsidR="00E83312" w:rsidRPr="00AD0647" w:rsidRDefault="00E83312" w:rsidP="00AB2097">
            <w:pPr>
              <w:autoSpaceDE w:val="0"/>
              <w:autoSpaceDN w:val="0"/>
              <w:adjustRightInd w:val="0"/>
              <w:spacing w:after="0" w:line="240" w:lineRule="auto"/>
              <w:ind w:left="0" w:firstLine="0"/>
              <w:jc w:val="left"/>
              <w:rPr>
                <w:rFonts w:eastAsiaTheme="minorEastAsia"/>
                <w:szCs w:val="24"/>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56795" w14:textId="3758D07E" w:rsidR="00AB2097" w:rsidRPr="00AD0647" w:rsidRDefault="001C4AEF" w:rsidP="00DA6A7B">
            <w:pPr>
              <w:autoSpaceDE w:val="0"/>
              <w:autoSpaceDN w:val="0"/>
              <w:adjustRightInd w:val="0"/>
              <w:spacing w:after="0" w:line="240" w:lineRule="auto"/>
              <w:ind w:left="0" w:firstLine="0"/>
              <w:jc w:val="left"/>
            </w:pPr>
            <w:r w:rsidRPr="00AD0647">
              <w:rPr>
                <w:rFonts w:eastAsiaTheme="minorEastAsia"/>
                <w:szCs w:val="24"/>
              </w:rPr>
              <w:t>As required</w:t>
            </w:r>
            <w:r w:rsidR="006578CB">
              <w:rPr>
                <w:rFonts w:eastAsiaTheme="minorEastAsia"/>
                <w:szCs w:val="24"/>
              </w:rPr>
              <w:t>.</w:t>
            </w:r>
          </w:p>
          <w:p w14:paraId="6FF38CE7" w14:textId="77777777" w:rsidR="00AB2097" w:rsidRPr="00AD0647" w:rsidRDefault="00AB2097" w:rsidP="00AB2097">
            <w:pPr>
              <w:spacing w:after="0" w:line="240" w:lineRule="auto"/>
              <w:ind w:left="0" w:firstLine="0"/>
              <w:jc w:val="left"/>
              <w:rPr>
                <w:color w:val="auto"/>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6896" w14:textId="30C25FF6" w:rsidR="00AB2097" w:rsidRPr="00AD0647" w:rsidRDefault="00AB2097" w:rsidP="00AB2097">
            <w:pPr>
              <w:spacing w:after="0" w:line="240" w:lineRule="auto"/>
              <w:ind w:left="1" w:firstLine="0"/>
              <w:jc w:val="left"/>
            </w:pPr>
            <w:r w:rsidRPr="00AD0647">
              <w:t xml:space="preserve">DfI </w:t>
            </w:r>
            <w:r w:rsidR="00061A15">
              <w:t xml:space="preserve">Director of </w:t>
            </w:r>
            <w:r w:rsidRPr="00AD0647">
              <w:t xml:space="preserve">Public Transport </w:t>
            </w:r>
            <w:r w:rsidR="00061A15">
              <w:t xml:space="preserve">Operations, </w:t>
            </w:r>
            <w:r w:rsidR="00184B99">
              <w:t xml:space="preserve"> DfI </w:t>
            </w:r>
            <w:r w:rsidR="006538E5">
              <w:t xml:space="preserve">Director of </w:t>
            </w:r>
            <w:r w:rsidR="00FF3793" w:rsidRPr="00FF3793">
              <w:t>Transport Regulation &amp; Public Transport Policy</w:t>
            </w:r>
            <w:r w:rsidR="002B77B0">
              <w:t>,</w:t>
            </w:r>
          </w:p>
          <w:p w14:paraId="32C62746" w14:textId="5FD78CE0" w:rsidR="00AB2097" w:rsidRPr="00AD0647" w:rsidRDefault="002B77B0" w:rsidP="00AB2097">
            <w:pPr>
              <w:spacing w:after="0" w:line="240" w:lineRule="auto"/>
              <w:ind w:left="1" w:firstLine="0"/>
              <w:jc w:val="left"/>
              <w:rPr>
                <w:color w:val="auto"/>
              </w:rPr>
            </w:pPr>
            <w:r>
              <w:rPr>
                <w:color w:val="auto"/>
              </w:rPr>
              <w:t xml:space="preserve">Translink </w:t>
            </w:r>
            <w:r w:rsidR="000C61BF" w:rsidRPr="00AD0647">
              <w:rPr>
                <w:color w:val="auto"/>
              </w:rPr>
              <w:t>Director of Operation</w:t>
            </w:r>
            <w:r w:rsidR="00D416C2" w:rsidRPr="00AD0647">
              <w:rPr>
                <w:color w:val="auto"/>
              </w:rPr>
              <w:t xml:space="preserve">s and Director of Commercial Operations </w:t>
            </w:r>
          </w:p>
        </w:tc>
      </w:tr>
      <w:tr w:rsidR="00EA5023" w:rsidRPr="00AD0647" w14:paraId="24EC7E82" w14:textId="77777777" w:rsidTr="00EA5023">
        <w:trPr>
          <w:trHeight w:val="54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10CD" w14:textId="674FFC0D" w:rsidR="00EA5023" w:rsidRPr="00AD0647" w:rsidRDefault="00EA5023" w:rsidP="00AB2097">
            <w:pPr>
              <w:autoSpaceDE w:val="0"/>
              <w:autoSpaceDN w:val="0"/>
              <w:adjustRightInd w:val="0"/>
              <w:spacing w:after="0" w:line="240" w:lineRule="auto"/>
              <w:ind w:left="0" w:firstLine="0"/>
              <w:jc w:val="left"/>
              <w:rPr>
                <w:rFonts w:eastAsiaTheme="minorEastAsia"/>
                <w:szCs w:val="24"/>
              </w:rPr>
            </w:pPr>
            <w:r>
              <w:rPr>
                <w:rFonts w:eastAsiaTheme="minorEastAsia"/>
                <w:szCs w:val="24"/>
              </w:rPr>
              <w:t>Policy Delivery</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7232" w14:textId="119AC9FD" w:rsidR="00EA5023" w:rsidRPr="00AD0647" w:rsidRDefault="00EA5023" w:rsidP="00DA6A7B">
            <w:pPr>
              <w:autoSpaceDE w:val="0"/>
              <w:autoSpaceDN w:val="0"/>
              <w:adjustRightInd w:val="0"/>
              <w:spacing w:after="0" w:line="240" w:lineRule="auto"/>
              <w:ind w:left="0" w:firstLine="0"/>
              <w:jc w:val="left"/>
              <w:rPr>
                <w:rFonts w:eastAsiaTheme="minorEastAsia"/>
                <w:szCs w:val="24"/>
              </w:rPr>
            </w:pPr>
            <w:r>
              <w:rPr>
                <w:rFonts w:eastAsiaTheme="minorEastAsia"/>
                <w:szCs w:val="24"/>
              </w:rPr>
              <w:t>As required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9148C" w14:textId="59C4A63C" w:rsidR="00EA5023" w:rsidRPr="00AD0647" w:rsidRDefault="00DB6FEC" w:rsidP="00EA5023">
            <w:pPr>
              <w:spacing w:after="0" w:line="240" w:lineRule="auto"/>
              <w:ind w:left="1" w:firstLine="0"/>
              <w:jc w:val="left"/>
            </w:pPr>
            <w:r w:rsidRPr="00AD0647">
              <w:t xml:space="preserve">DfI </w:t>
            </w:r>
            <w:r>
              <w:t xml:space="preserve">Director of </w:t>
            </w:r>
            <w:r w:rsidRPr="00AD0647">
              <w:t xml:space="preserve">Public Transport </w:t>
            </w:r>
            <w:r>
              <w:t>Operations</w:t>
            </w:r>
            <w:r w:rsidR="00EA5023">
              <w:t>,</w:t>
            </w:r>
          </w:p>
          <w:p w14:paraId="4FD7CD51" w14:textId="08260BD1" w:rsidR="00EA5023" w:rsidRPr="00AD0647" w:rsidRDefault="00EA5023" w:rsidP="00EA5023">
            <w:pPr>
              <w:spacing w:after="0" w:line="240" w:lineRule="auto"/>
              <w:ind w:left="1" w:firstLine="0"/>
              <w:jc w:val="left"/>
            </w:pPr>
            <w:r>
              <w:rPr>
                <w:color w:val="auto"/>
              </w:rPr>
              <w:t xml:space="preserve">Translink </w:t>
            </w:r>
            <w:r w:rsidRPr="00AD0647">
              <w:rPr>
                <w:color w:val="auto"/>
              </w:rPr>
              <w:t>Director of Operations and Director of Commercial Operations</w:t>
            </w:r>
          </w:p>
        </w:tc>
      </w:tr>
      <w:tr w:rsidR="00AB2097" w:rsidRPr="00AD0647" w14:paraId="400958C1" w14:textId="77777777" w:rsidTr="002D09FE">
        <w:trPr>
          <w:trHeight w:val="433"/>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26E1D085" w14:textId="77777777" w:rsidR="00AB2097" w:rsidRPr="00AD0647" w:rsidRDefault="00AB2097" w:rsidP="00AB2097">
            <w:pPr>
              <w:spacing w:after="0" w:line="240" w:lineRule="auto"/>
              <w:ind w:left="0" w:firstLine="0"/>
              <w:jc w:val="left"/>
            </w:pPr>
            <w:r w:rsidRPr="00AD0647">
              <w:rPr>
                <w:b/>
                <w:color w:val="FFFFFF"/>
              </w:rPr>
              <w:t xml:space="preserve">Strategic Planning  </w:t>
            </w:r>
            <w:r w:rsidRPr="00AD0647">
              <w:rPr>
                <w:i/>
              </w:rPr>
              <w:t xml:space="preserve"> </w:t>
            </w:r>
          </w:p>
        </w:tc>
      </w:tr>
      <w:tr w:rsidR="00AB2097" w:rsidRPr="00AD0647" w14:paraId="59222048" w14:textId="77777777" w:rsidTr="00A33159">
        <w:trPr>
          <w:trHeight w:val="738"/>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C72B" w14:textId="77777777" w:rsidR="00AB2097" w:rsidRPr="00AD0647" w:rsidRDefault="00AB2097" w:rsidP="00AB2097">
            <w:pPr>
              <w:spacing w:after="0" w:line="240" w:lineRule="auto"/>
              <w:ind w:left="0" w:firstLine="0"/>
              <w:jc w:val="left"/>
            </w:pPr>
            <w:r w:rsidRPr="00AD0647">
              <w:rPr>
                <w:b/>
              </w:rPr>
              <w:lastRenderedPageBreak/>
              <w:t xml:space="preserve">Activity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9B69" w14:textId="77777777" w:rsidR="00AB2097" w:rsidRPr="00AD0647" w:rsidRDefault="00AB2097" w:rsidP="00AB2097">
            <w:pPr>
              <w:spacing w:after="0" w:line="240" w:lineRule="auto"/>
              <w:ind w:left="1" w:firstLine="0"/>
              <w:jc w:val="left"/>
            </w:pPr>
            <w:r w:rsidRPr="00AD0647">
              <w:rPr>
                <w:b/>
              </w:rPr>
              <w:t xml:space="preserve">Indicative Date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B602" w14:textId="77777777" w:rsidR="00AB2097" w:rsidRPr="00AD0647" w:rsidRDefault="00AB2097" w:rsidP="00AB2097">
            <w:pPr>
              <w:spacing w:after="7" w:line="240" w:lineRule="auto"/>
              <w:ind w:left="1" w:firstLine="0"/>
              <w:jc w:val="left"/>
            </w:pPr>
            <w:r w:rsidRPr="00AD0647">
              <w:rPr>
                <w:b/>
              </w:rPr>
              <w:t xml:space="preserve">Lead Departmental/NITHC </w:t>
            </w:r>
          </w:p>
          <w:p w14:paraId="38741A4F" w14:textId="77777777" w:rsidR="00AB2097" w:rsidRPr="00AD0647" w:rsidRDefault="00AB2097" w:rsidP="00AB2097">
            <w:pPr>
              <w:spacing w:after="0" w:line="240" w:lineRule="auto"/>
              <w:ind w:left="1" w:firstLine="0"/>
              <w:jc w:val="left"/>
            </w:pPr>
            <w:r w:rsidRPr="00AD0647">
              <w:rPr>
                <w:b/>
              </w:rPr>
              <w:t xml:space="preserve">Official </w:t>
            </w:r>
          </w:p>
        </w:tc>
      </w:tr>
      <w:tr w:rsidR="00AB2097" w:rsidRPr="00AD0647" w14:paraId="1C7693CC" w14:textId="77777777" w:rsidTr="00A33159">
        <w:trPr>
          <w:trHeight w:val="1120"/>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41AD" w14:textId="2B87979F" w:rsidR="00C672AC" w:rsidRPr="00AD0647" w:rsidRDefault="00AB2097" w:rsidP="00C672AC">
            <w:pPr>
              <w:spacing w:after="0" w:line="240" w:lineRule="auto"/>
              <w:ind w:left="0" w:firstLine="0"/>
              <w:jc w:val="left"/>
            </w:pPr>
            <w:r w:rsidRPr="00AD0647">
              <w:t>NITHC Strategic Planning Engagement -</w:t>
            </w:r>
            <w:r w:rsidR="00735866" w:rsidRPr="00AD0647">
              <w:t>encompassing</w:t>
            </w:r>
            <w:r w:rsidRPr="00AD0647">
              <w:t xml:space="preserve"> strategic planning and risk identification. Informed by input on DfI priorities/plans and risk areas. Includes development and review of existing and new areas of policy</w:t>
            </w:r>
            <w:r w:rsidR="00DA6A7B" w:rsidRPr="00AD0647">
              <w:t>.</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C607A" w14:textId="251C0B57" w:rsidR="00AB2097" w:rsidRPr="00AD0647" w:rsidRDefault="00AB2097" w:rsidP="00AB2097">
            <w:pPr>
              <w:spacing w:after="0" w:line="240" w:lineRule="auto"/>
              <w:ind w:left="1" w:right="76" w:firstLine="0"/>
              <w:jc w:val="left"/>
            </w:pPr>
            <w:r w:rsidRPr="00AD0647">
              <w:t>Bi-Annually mid-</w:t>
            </w:r>
            <w:r w:rsidR="009F421D">
              <w:t>June</w:t>
            </w:r>
            <w:r w:rsidR="009F421D" w:rsidRPr="00AD0647">
              <w:t xml:space="preserve"> </w:t>
            </w:r>
            <w:r w:rsidRPr="00AD0647">
              <w:t>and mid-</w:t>
            </w:r>
            <w:r w:rsidR="009F421D">
              <w:t>November</w:t>
            </w:r>
            <w:r w:rsidRPr="00AD0647">
              <w:t xml:space="preserv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8A46" w14:textId="262B45A9" w:rsidR="00AB2097" w:rsidRPr="00AD0647" w:rsidRDefault="00AB2097" w:rsidP="008B2300">
            <w:pPr>
              <w:spacing w:after="0" w:line="240" w:lineRule="auto"/>
              <w:ind w:left="1" w:firstLine="0"/>
              <w:jc w:val="left"/>
            </w:pPr>
            <w:r w:rsidRPr="00AD0647">
              <w:t xml:space="preserve">DfI Accounting Officer/NITHC Board </w:t>
            </w:r>
            <w:r w:rsidRPr="00AD0647">
              <w:rPr>
                <w:i/>
                <w:iCs/>
              </w:rPr>
              <w:t>(Minister to attend one meeting in April/October)</w:t>
            </w:r>
          </w:p>
        </w:tc>
      </w:tr>
      <w:tr w:rsidR="00DA6A7B" w:rsidRPr="00AD0647" w14:paraId="6FD0F8EF" w14:textId="77777777" w:rsidTr="00A33159">
        <w:trPr>
          <w:trHeight w:val="1256"/>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E335B" w14:textId="77777777" w:rsidR="00B1034C" w:rsidRPr="00B1034C" w:rsidRDefault="00B1034C" w:rsidP="00B1034C">
            <w:pPr>
              <w:spacing w:after="0" w:line="240" w:lineRule="auto"/>
              <w:ind w:left="0" w:firstLine="0"/>
              <w:jc w:val="left"/>
            </w:pPr>
            <w:r w:rsidRPr="00B1034C">
              <w:t>Engagement on the draft Corporate &amp; Business Plan and identification of areas of strategic interest to DfI. Informed by input on DfI priorities/plans and risk areas.</w:t>
            </w:r>
          </w:p>
          <w:p w14:paraId="0D807677" w14:textId="77777777" w:rsidR="00DA6A7B" w:rsidRPr="00B1034C" w:rsidRDefault="00DA6A7B" w:rsidP="00B1034C">
            <w:pPr>
              <w:spacing w:after="0" w:line="240" w:lineRule="auto"/>
              <w:ind w:left="0" w:firstLine="0"/>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D7056" w14:textId="613A5B68" w:rsidR="00DA6A7B" w:rsidRPr="007556EB" w:rsidRDefault="00DA6A7B" w:rsidP="00DA6A7B">
            <w:pPr>
              <w:spacing w:after="0" w:line="240" w:lineRule="auto"/>
              <w:ind w:left="0" w:firstLine="0"/>
              <w:jc w:val="left"/>
              <w:rPr>
                <w:color w:val="auto"/>
              </w:rPr>
            </w:pPr>
            <w:r w:rsidRPr="007556EB">
              <w:rPr>
                <w:color w:val="auto"/>
              </w:rPr>
              <w:t xml:space="preserve">Sufficiently well in advance of the business year to inform development of the </w:t>
            </w:r>
            <w:r w:rsidR="00FD5956" w:rsidRPr="007556EB">
              <w:rPr>
                <w:color w:val="auto"/>
              </w:rPr>
              <w:t>Corporate and Business Plan</w:t>
            </w:r>
            <w:r w:rsidRPr="007556EB">
              <w:rPr>
                <w:color w:val="auto"/>
              </w:rPr>
              <w:t xml:space="preserve"> as part of the Corporate Planning Process.</w:t>
            </w:r>
            <w:r w:rsidR="00333205" w:rsidRPr="007556EB">
              <w:rPr>
                <w:color w:val="auto"/>
              </w:rPr>
              <w:t>(provisionally February)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A27C8" w14:textId="485350CB" w:rsidR="00DA6A7B" w:rsidRPr="007556EB" w:rsidRDefault="00DA6A7B" w:rsidP="00DA6A7B">
            <w:pPr>
              <w:spacing w:after="0" w:line="240" w:lineRule="auto"/>
              <w:ind w:left="1" w:firstLine="0"/>
              <w:jc w:val="left"/>
              <w:rPr>
                <w:color w:val="auto"/>
              </w:rPr>
            </w:pPr>
            <w:r w:rsidRPr="007556EB">
              <w:rPr>
                <w:color w:val="auto"/>
              </w:rPr>
              <w:t xml:space="preserve">DfI Public Transport </w:t>
            </w:r>
            <w:r w:rsidR="002B77B0" w:rsidRPr="007556EB">
              <w:rPr>
                <w:color w:val="auto"/>
              </w:rPr>
              <w:t xml:space="preserve">Operations </w:t>
            </w:r>
            <w:r w:rsidRPr="007556EB">
              <w:rPr>
                <w:color w:val="auto"/>
              </w:rPr>
              <w:t>Director / NITHC Chief Financial Officer</w:t>
            </w:r>
          </w:p>
          <w:p w14:paraId="79DB5ECE" w14:textId="77777777" w:rsidR="00DA6A7B" w:rsidRPr="007556EB" w:rsidRDefault="00DA6A7B" w:rsidP="00DA6A7B">
            <w:pPr>
              <w:spacing w:after="0" w:line="240" w:lineRule="auto"/>
              <w:ind w:left="1" w:firstLine="0"/>
              <w:jc w:val="left"/>
              <w:rPr>
                <w:color w:val="auto"/>
              </w:rPr>
            </w:pPr>
          </w:p>
        </w:tc>
      </w:tr>
      <w:tr w:rsidR="002901B7" w:rsidRPr="00AD0647" w14:paraId="0067E315" w14:textId="77777777" w:rsidTr="00A33159">
        <w:tblPrEx>
          <w:tblCellMar>
            <w:right w:w="53" w:type="dxa"/>
          </w:tblCellMar>
        </w:tblPrEx>
        <w:trPr>
          <w:trHeight w:val="106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6A6EA" w14:textId="5CB008D0" w:rsidR="002901B7" w:rsidRPr="007556EB" w:rsidRDefault="002901B7" w:rsidP="002901B7">
            <w:pPr>
              <w:spacing w:after="0" w:line="264" w:lineRule="auto"/>
              <w:ind w:left="0" w:firstLine="0"/>
              <w:jc w:val="left"/>
              <w:rPr>
                <w:color w:val="auto"/>
              </w:rPr>
            </w:pPr>
            <w:r w:rsidRPr="007556EB">
              <w:rPr>
                <w:color w:val="auto"/>
              </w:rPr>
              <w:t>Submission/ Presentation of the draft Corporate &amp; Business Plan</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E0898" w14:textId="71F1C1CB" w:rsidR="002901B7" w:rsidRPr="007556EB" w:rsidRDefault="002901B7" w:rsidP="002901B7">
            <w:pPr>
              <w:spacing w:after="0" w:line="240" w:lineRule="auto"/>
              <w:ind w:left="0" w:firstLine="0"/>
              <w:jc w:val="left"/>
              <w:rPr>
                <w:color w:val="auto"/>
              </w:rPr>
            </w:pPr>
            <w:r w:rsidRPr="007556EB">
              <w:rPr>
                <w:color w:val="auto"/>
              </w:rPr>
              <w:t>March</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8F72" w14:textId="00A65F4D" w:rsidR="002901B7" w:rsidRPr="007556EB" w:rsidRDefault="002901B7" w:rsidP="002901B7">
            <w:pPr>
              <w:spacing w:after="0" w:line="240" w:lineRule="auto"/>
              <w:ind w:left="1" w:firstLine="0"/>
              <w:jc w:val="left"/>
              <w:rPr>
                <w:color w:val="auto"/>
              </w:rPr>
            </w:pPr>
            <w:r w:rsidRPr="007556EB">
              <w:rPr>
                <w:color w:val="auto"/>
              </w:rPr>
              <w:t>DfI Public Transport Operations Director/NITHC Chief Financial Officer</w:t>
            </w:r>
          </w:p>
        </w:tc>
      </w:tr>
      <w:tr w:rsidR="002901B7" w:rsidRPr="00AD0647" w14:paraId="4BBB4D4D" w14:textId="77777777" w:rsidTr="00A33159">
        <w:tblPrEx>
          <w:tblCellMar>
            <w:right w:w="53" w:type="dxa"/>
          </w:tblCellMar>
        </w:tblPrEx>
        <w:trPr>
          <w:trHeight w:val="838"/>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25939" w14:textId="77777777" w:rsidR="002901B7" w:rsidRPr="007556EB" w:rsidRDefault="002901B7" w:rsidP="002901B7">
            <w:pPr>
              <w:spacing w:after="0" w:line="264" w:lineRule="auto"/>
              <w:ind w:left="0" w:firstLine="0"/>
              <w:jc w:val="left"/>
              <w:rPr>
                <w:color w:val="auto"/>
              </w:rPr>
            </w:pPr>
            <w:r w:rsidRPr="007556EB">
              <w:rPr>
                <w:color w:val="auto"/>
              </w:rPr>
              <w:t>Approval of the Corporate &amp; Business Plan</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5C0BE" w14:textId="1620BF81" w:rsidR="002901B7" w:rsidRPr="007556EB" w:rsidRDefault="002901B7" w:rsidP="002901B7">
            <w:pPr>
              <w:spacing w:after="0" w:line="240" w:lineRule="auto"/>
              <w:ind w:left="0" w:firstLine="0"/>
              <w:jc w:val="left"/>
              <w:rPr>
                <w:color w:val="auto"/>
              </w:rPr>
            </w:pPr>
            <w:r w:rsidRPr="007556EB">
              <w:rPr>
                <w:color w:val="auto"/>
              </w:rPr>
              <w:t>April</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FF51E" w14:textId="77777777" w:rsidR="002901B7" w:rsidRPr="007556EB" w:rsidRDefault="002901B7" w:rsidP="002901B7">
            <w:pPr>
              <w:spacing w:after="0" w:line="240" w:lineRule="auto"/>
              <w:ind w:left="1" w:firstLine="0"/>
              <w:jc w:val="left"/>
              <w:rPr>
                <w:color w:val="auto"/>
              </w:rPr>
            </w:pPr>
            <w:r w:rsidRPr="007556EB">
              <w:rPr>
                <w:color w:val="auto"/>
              </w:rPr>
              <w:t>DfI Minister</w:t>
            </w:r>
          </w:p>
        </w:tc>
      </w:tr>
      <w:tr w:rsidR="002901B7" w:rsidRPr="00AD0647" w14:paraId="5E3CA2B5" w14:textId="77777777" w:rsidTr="002D09FE">
        <w:tblPrEx>
          <w:tblCellMar>
            <w:right w:w="53" w:type="dxa"/>
          </w:tblCellMar>
        </w:tblPrEx>
        <w:trPr>
          <w:trHeight w:val="1159"/>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6B914ECC" w14:textId="77777777" w:rsidR="002901B7" w:rsidRPr="00AD0647" w:rsidRDefault="002901B7" w:rsidP="002901B7">
            <w:pPr>
              <w:spacing w:after="124" w:line="240" w:lineRule="auto"/>
              <w:ind w:left="0" w:firstLine="0"/>
              <w:jc w:val="left"/>
            </w:pPr>
            <w:r w:rsidRPr="00AD0647">
              <w:rPr>
                <w:b/>
                <w:color w:val="FFFFFF"/>
              </w:rPr>
              <w:t xml:space="preserve">Joint Working </w:t>
            </w:r>
          </w:p>
          <w:p w14:paraId="4088E16B" w14:textId="77777777" w:rsidR="002901B7" w:rsidRPr="00AD0647" w:rsidRDefault="002901B7" w:rsidP="002901B7">
            <w:pPr>
              <w:spacing w:after="0" w:line="240" w:lineRule="auto"/>
              <w:ind w:left="0" w:firstLine="0"/>
              <w:jc w:val="left"/>
            </w:pPr>
            <w:r w:rsidRPr="00AD0647">
              <w:rPr>
                <w:i/>
                <w:color w:val="FFFFFF"/>
              </w:rPr>
              <w:t xml:space="preserve">Interchange opportunities, and/or joint programme/project delivery boards </w:t>
            </w:r>
          </w:p>
        </w:tc>
      </w:tr>
      <w:tr w:rsidR="002901B7" w:rsidRPr="00AD0647" w14:paraId="3473ECC1" w14:textId="77777777" w:rsidTr="003B6A9B">
        <w:tblPrEx>
          <w:tblCellMar>
            <w:right w:w="53" w:type="dxa"/>
          </w:tblCellMar>
        </w:tblPrEx>
        <w:trPr>
          <w:trHeight w:val="738"/>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AD59D" w14:textId="77777777" w:rsidR="002901B7" w:rsidRPr="00AD0647" w:rsidRDefault="002901B7" w:rsidP="002901B7">
            <w:pPr>
              <w:spacing w:after="0" w:line="240" w:lineRule="auto"/>
              <w:ind w:left="0" w:firstLine="0"/>
              <w:jc w:val="left"/>
              <w:rPr>
                <w:color w:val="auto"/>
              </w:rPr>
            </w:pPr>
            <w:r w:rsidRPr="00AD0647">
              <w:rPr>
                <w:b/>
                <w:color w:val="auto"/>
              </w:rPr>
              <w:t xml:space="preserve">Activity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DC67" w14:textId="77777777" w:rsidR="002901B7" w:rsidRPr="00AD0647" w:rsidRDefault="002901B7" w:rsidP="002901B7">
            <w:pPr>
              <w:spacing w:after="0" w:line="240" w:lineRule="auto"/>
              <w:ind w:left="1" w:firstLine="0"/>
              <w:rPr>
                <w:color w:val="auto"/>
              </w:rPr>
            </w:pPr>
            <w:r w:rsidRPr="00AD0647">
              <w:rPr>
                <w:b/>
                <w:color w:val="auto"/>
              </w:rPr>
              <w:t xml:space="preserve">Frequency/Timing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11244" w14:textId="77777777" w:rsidR="002901B7" w:rsidRPr="00AD0647" w:rsidRDefault="002901B7" w:rsidP="002901B7">
            <w:pPr>
              <w:spacing w:after="4" w:line="240" w:lineRule="auto"/>
              <w:ind w:left="1" w:firstLine="0"/>
              <w:jc w:val="left"/>
              <w:rPr>
                <w:color w:val="auto"/>
              </w:rPr>
            </w:pPr>
            <w:r w:rsidRPr="00AD0647">
              <w:rPr>
                <w:b/>
                <w:color w:val="auto"/>
              </w:rPr>
              <w:t xml:space="preserve">Lead Departmental/NITHC </w:t>
            </w:r>
          </w:p>
          <w:p w14:paraId="5EF6930B" w14:textId="77777777" w:rsidR="002901B7" w:rsidRPr="00AD0647" w:rsidRDefault="002901B7" w:rsidP="002901B7">
            <w:pPr>
              <w:spacing w:after="0" w:line="240" w:lineRule="auto"/>
              <w:ind w:left="1" w:firstLine="0"/>
              <w:jc w:val="left"/>
              <w:rPr>
                <w:color w:val="auto"/>
              </w:rPr>
            </w:pPr>
            <w:r w:rsidRPr="00AD0647">
              <w:rPr>
                <w:b/>
                <w:color w:val="auto"/>
              </w:rPr>
              <w:t xml:space="preserve">Official </w:t>
            </w:r>
          </w:p>
        </w:tc>
      </w:tr>
      <w:tr w:rsidR="002901B7" w:rsidRPr="00AD0647" w14:paraId="7636538E"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E8732" w14:textId="10EE9952" w:rsidR="002901B7" w:rsidRPr="00AD0647" w:rsidRDefault="002901B7" w:rsidP="002901B7">
            <w:pPr>
              <w:spacing w:after="0" w:line="240" w:lineRule="auto"/>
              <w:ind w:left="0" w:firstLine="0"/>
              <w:jc w:val="left"/>
              <w:rPr>
                <w:bCs/>
                <w:color w:val="auto"/>
              </w:rPr>
            </w:pPr>
            <w:r w:rsidRPr="00AD0647">
              <w:t xml:space="preserve">Media management protocols – independence of NITHC to engage with media/announcements of corporate and policy communications significant to NITHC - arrangements to share press releases where relevant – ensure no surprises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57643" w14:textId="77777777" w:rsidR="002901B7" w:rsidRPr="00AD0647" w:rsidRDefault="002901B7" w:rsidP="002901B7">
            <w:pPr>
              <w:spacing w:after="0" w:line="240" w:lineRule="auto"/>
              <w:ind w:left="1" w:firstLine="0"/>
              <w:jc w:val="left"/>
              <w:rPr>
                <w:rFonts w:eastAsia="Times New Roman"/>
                <w:color w:val="auto"/>
                <w:szCs w:val="24"/>
              </w:rPr>
            </w:pPr>
            <w:r w:rsidRPr="00AD0647">
              <w:rPr>
                <w:rFonts w:eastAsia="Times New Roman"/>
                <w:color w:val="auto"/>
                <w:szCs w:val="24"/>
              </w:rPr>
              <w:t>Where relevant</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6ADCD" w14:textId="77777777" w:rsidR="002901B7" w:rsidRPr="00AD0647" w:rsidRDefault="002901B7" w:rsidP="002901B7">
            <w:pPr>
              <w:spacing w:after="0" w:line="240" w:lineRule="auto"/>
              <w:ind w:left="1" w:firstLine="0"/>
              <w:jc w:val="left"/>
              <w:rPr>
                <w:color w:val="auto"/>
                <w:szCs w:val="24"/>
              </w:rPr>
            </w:pPr>
            <w:r w:rsidRPr="00AD0647">
              <w:rPr>
                <w:color w:val="auto"/>
                <w:szCs w:val="24"/>
              </w:rPr>
              <w:t>DfI Translink Sponsor Unit/NITHC Communications Team</w:t>
            </w:r>
          </w:p>
        </w:tc>
      </w:tr>
      <w:tr w:rsidR="00AF2E98" w:rsidRPr="00AD0647" w14:paraId="75FA87E7"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D646A" w14:textId="340C3046" w:rsidR="00AF2E98" w:rsidRPr="00BD7C93" w:rsidRDefault="00AF2E98" w:rsidP="002901B7">
            <w:pPr>
              <w:spacing w:after="0" w:line="240" w:lineRule="auto"/>
              <w:ind w:left="0" w:firstLine="0"/>
              <w:jc w:val="left"/>
              <w:rPr>
                <w:b/>
                <w:color w:val="auto"/>
              </w:rPr>
            </w:pPr>
            <w:r w:rsidRPr="00BD7C93">
              <w:rPr>
                <w:b/>
                <w:color w:val="auto"/>
              </w:rPr>
              <w:t>Machinery of Government</w:t>
            </w:r>
            <w:r w:rsidR="003D4FD5">
              <w:rPr>
                <w:bCs/>
                <w:color w:val="auto"/>
              </w:rPr>
              <w:t xml:space="preserve"> - Working together to ensure the quality, accuracy and timeliness of responses to queries from the NI Assembly</w:t>
            </w:r>
          </w:p>
          <w:p w14:paraId="2EBDC450" w14:textId="253AAEFC" w:rsidR="001566EF" w:rsidRPr="00AD0647" w:rsidRDefault="001566EF" w:rsidP="002901B7">
            <w:pPr>
              <w:spacing w:after="0" w:line="240" w:lineRule="auto"/>
              <w:ind w:left="0" w:firstLine="0"/>
              <w:jc w:val="left"/>
              <w:rPr>
                <w:bCs/>
                <w:color w:val="auto"/>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0F326" w14:textId="6984261E" w:rsidR="00AF2E98" w:rsidRPr="00AD0647" w:rsidRDefault="001566EF" w:rsidP="002901B7">
            <w:pPr>
              <w:spacing w:after="0" w:line="240" w:lineRule="auto"/>
              <w:ind w:left="1" w:firstLine="0"/>
              <w:jc w:val="left"/>
            </w:pPr>
            <w:r>
              <w:t>Ongoing</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DA97" w14:textId="6AE5C932" w:rsidR="00AF2E98" w:rsidRPr="00AD0647" w:rsidRDefault="001566EF" w:rsidP="002901B7">
            <w:pPr>
              <w:spacing w:after="0" w:line="240" w:lineRule="auto"/>
              <w:ind w:left="1" w:firstLine="0"/>
              <w:jc w:val="left"/>
              <w:rPr>
                <w:color w:val="auto"/>
                <w:szCs w:val="24"/>
              </w:rPr>
            </w:pPr>
            <w:r>
              <w:rPr>
                <w:color w:val="auto"/>
                <w:szCs w:val="24"/>
              </w:rPr>
              <w:t xml:space="preserve">DfI </w:t>
            </w:r>
            <w:r w:rsidR="002B3FA2">
              <w:rPr>
                <w:color w:val="auto"/>
                <w:szCs w:val="24"/>
              </w:rPr>
              <w:t xml:space="preserve">Head of </w:t>
            </w:r>
            <w:r>
              <w:rPr>
                <w:color w:val="auto"/>
                <w:szCs w:val="24"/>
              </w:rPr>
              <w:t xml:space="preserve">Translink Sponsor Unit / NITHC </w:t>
            </w:r>
            <w:r w:rsidR="00F705F7">
              <w:rPr>
                <w:color w:val="auto"/>
                <w:szCs w:val="24"/>
              </w:rPr>
              <w:t>Information Governance Team</w:t>
            </w:r>
          </w:p>
        </w:tc>
      </w:tr>
      <w:tr w:rsidR="002901B7" w:rsidRPr="00AD0647" w14:paraId="530AD4EE"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76BC" w14:textId="77777777" w:rsidR="002901B7" w:rsidRPr="00AD0647" w:rsidDel="00CA324C" w:rsidRDefault="002901B7" w:rsidP="002901B7">
            <w:pPr>
              <w:spacing w:after="0" w:line="240" w:lineRule="auto"/>
              <w:ind w:left="0" w:firstLine="0"/>
              <w:jc w:val="left"/>
              <w:rPr>
                <w:bCs/>
                <w:color w:val="auto"/>
              </w:rPr>
            </w:pPr>
            <w:r w:rsidRPr="00AD0647">
              <w:rPr>
                <w:bCs/>
                <w:color w:val="auto"/>
              </w:rPr>
              <w:lastRenderedPageBreak/>
              <w:t>Identify staff development opportunities to share knowledge</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7BF6B" w14:textId="77777777" w:rsidR="002901B7" w:rsidRPr="00AD0647" w:rsidDel="00CA324C" w:rsidRDefault="002901B7" w:rsidP="002901B7">
            <w:pPr>
              <w:spacing w:after="0" w:line="240" w:lineRule="auto"/>
              <w:ind w:left="1" w:firstLine="0"/>
              <w:jc w:val="left"/>
            </w:pPr>
            <w:r w:rsidRPr="00AD0647">
              <w:t>As and when identified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763C2" w14:textId="5113D09A" w:rsidR="002901B7" w:rsidRPr="00AD0647" w:rsidDel="00CA324C" w:rsidRDefault="002901B7" w:rsidP="002901B7">
            <w:pPr>
              <w:spacing w:after="0" w:line="240" w:lineRule="auto"/>
              <w:ind w:left="1" w:firstLine="0"/>
              <w:jc w:val="left"/>
              <w:rPr>
                <w:color w:val="auto"/>
                <w:szCs w:val="24"/>
              </w:rPr>
            </w:pPr>
            <w:r w:rsidRPr="00AD0647">
              <w:rPr>
                <w:color w:val="auto"/>
                <w:szCs w:val="24"/>
              </w:rPr>
              <w:t xml:space="preserve">DfI Public Transport </w:t>
            </w:r>
            <w:r>
              <w:rPr>
                <w:color w:val="auto"/>
                <w:szCs w:val="24"/>
              </w:rPr>
              <w:t>Operations</w:t>
            </w:r>
            <w:r w:rsidRPr="00AD0647">
              <w:rPr>
                <w:color w:val="auto"/>
                <w:szCs w:val="24"/>
              </w:rPr>
              <w:t xml:space="preserve"> Director/NITHC Group HR &amp; Organisational Development Director</w:t>
            </w:r>
          </w:p>
        </w:tc>
      </w:tr>
      <w:tr w:rsidR="002901B7" w:rsidRPr="00AD0647" w14:paraId="7FABF3FA"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84ED" w14:textId="77777777" w:rsidR="002901B7" w:rsidRPr="00AD0647" w:rsidRDefault="002901B7" w:rsidP="002901B7">
            <w:pPr>
              <w:spacing w:after="0" w:line="240" w:lineRule="auto"/>
              <w:ind w:left="0" w:firstLine="0"/>
              <w:jc w:val="left"/>
              <w:rPr>
                <w:color w:val="auto"/>
              </w:rPr>
            </w:pPr>
            <w:r w:rsidRPr="00AD0647">
              <w:rPr>
                <w:color w:val="auto"/>
              </w:rPr>
              <w:t>DfI presence at Major Projects/Programme Boards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36978" w14:textId="77777777" w:rsidR="002901B7" w:rsidRPr="00AD0647" w:rsidRDefault="002901B7" w:rsidP="002901B7">
            <w:pPr>
              <w:spacing w:after="0" w:line="240" w:lineRule="auto"/>
              <w:ind w:left="1" w:firstLine="0"/>
              <w:jc w:val="left"/>
              <w:rPr>
                <w:color w:val="auto"/>
              </w:rPr>
            </w:pPr>
            <w:r w:rsidRPr="00AD0647">
              <w:rPr>
                <w:color w:val="auto"/>
              </w:rPr>
              <w:t>In line with Project/Programme Board Meetings</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1CD41" w14:textId="77777777" w:rsidR="002901B7" w:rsidRPr="00AD0647" w:rsidRDefault="002901B7" w:rsidP="002901B7">
            <w:pPr>
              <w:spacing w:after="0" w:line="240" w:lineRule="auto"/>
              <w:ind w:left="1" w:firstLine="0"/>
              <w:jc w:val="left"/>
              <w:rPr>
                <w:color w:val="auto"/>
              </w:rPr>
            </w:pPr>
            <w:r w:rsidRPr="00AD0647">
              <w:rPr>
                <w:color w:val="auto"/>
              </w:rPr>
              <w:t>Attendance by DfI Translink Sponsor Unit staff</w:t>
            </w:r>
          </w:p>
        </w:tc>
      </w:tr>
      <w:tr w:rsidR="002901B7" w:rsidRPr="00AD0647" w14:paraId="44B9A40B"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BB4F6" w14:textId="6FAC2539" w:rsidR="002901B7" w:rsidRPr="00AD0647" w:rsidRDefault="002901B7" w:rsidP="002901B7">
            <w:pPr>
              <w:spacing w:after="0" w:line="240" w:lineRule="auto"/>
              <w:ind w:left="0" w:firstLine="0"/>
              <w:jc w:val="left"/>
              <w:rPr>
                <w:color w:val="auto"/>
              </w:rPr>
            </w:pPr>
            <w:r>
              <w:rPr>
                <w:color w:val="auto"/>
              </w:rPr>
              <w:t>Assurance</w:t>
            </w:r>
            <w:r w:rsidRPr="00AD0647">
              <w:rPr>
                <w:color w:val="auto"/>
              </w:rPr>
              <w:t xml:space="preserve"> Meetings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9EDA6" w14:textId="6E1A76F5" w:rsidR="002901B7" w:rsidRPr="00AD0647" w:rsidRDefault="002901B7" w:rsidP="002901B7">
            <w:pPr>
              <w:spacing w:after="0" w:line="240" w:lineRule="auto"/>
              <w:ind w:left="1" w:firstLine="0"/>
              <w:jc w:val="left"/>
              <w:rPr>
                <w:color w:val="auto"/>
              </w:rPr>
            </w:pPr>
            <w:r>
              <w:rPr>
                <w:color w:val="auto"/>
              </w:rPr>
              <w:t>6-weekly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E08F" w14:textId="7AE2FE8A" w:rsidR="002901B7" w:rsidRPr="00AD0647" w:rsidRDefault="002901B7" w:rsidP="002901B7">
            <w:pPr>
              <w:spacing w:after="0" w:line="240" w:lineRule="auto"/>
              <w:ind w:left="1" w:firstLine="0"/>
              <w:jc w:val="left"/>
              <w:rPr>
                <w:color w:val="auto"/>
              </w:rPr>
            </w:pPr>
            <w:r w:rsidRPr="00AD0647">
              <w:rPr>
                <w:color w:val="auto"/>
              </w:rPr>
              <w:t xml:space="preserve">DfI Public Transport </w:t>
            </w:r>
            <w:r>
              <w:rPr>
                <w:color w:val="auto"/>
              </w:rPr>
              <w:t>Operations</w:t>
            </w:r>
            <w:r w:rsidRPr="00AD0647">
              <w:rPr>
                <w:color w:val="auto"/>
              </w:rPr>
              <w:t xml:space="preserve"> Director, DfI Head of Translink Sponsor Unit, Translink Chief Financial Officer, Translink General Counsel &amp; Company Secretary </w:t>
            </w:r>
          </w:p>
        </w:tc>
      </w:tr>
      <w:tr w:rsidR="002901B7" w:rsidRPr="00AD0647" w14:paraId="4560EF57"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3DCEA" w14:textId="2A0EB368" w:rsidR="002901B7" w:rsidRDefault="002901B7" w:rsidP="002901B7">
            <w:pPr>
              <w:spacing w:after="0" w:line="240" w:lineRule="auto"/>
              <w:ind w:left="0" w:firstLine="0"/>
              <w:jc w:val="left"/>
              <w:rPr>
                <w:color w:val="000000" w:themeColor="text1"/>
                <w:szCs w:val="24"/>
              </w:rPr>
            </w:pPr>
            <w:r w:rsidRPr="00AD0647">
              <w:rPr>
                <w:color w:val="000000" w:themeColor="text1"/>
                <w:szCs w:val="24"/>
              </w:rPr>
              <w:t>Minutes to be provided to DFI for</w:t>
            </w:r>
            <w:r>
              <w:rPr>
                <w:color w:val="000000" w:themeColor="text1"/>
                <w:szCs w:val="24"/>
              </w:rPr>
              <w:t>:-</w:t>
            </w:r>
          </w:p>
          <w:p w14:paraId="5B736499" w14:textId="425A1B73" w:rsidR="002901B7" w:rsidRDefault="002901B7" w:rsidP="002901B7">
            <w:pPr>
              <w:spacing w:after="0" w:line="240" w:lineRule="auto"/>
              <w:ind w:left="0" w:firstLine="0"/>
              <w:jc w:val="left"/>
              <w:rPr>
                <w:color w:val="000000" w:themeColor="text1"/>
                <w:szCs w:val="24"/>
              </w:rPr>
            </w:pPr>
            <w:r w:rsidRPr="00AD0647">
              <w:rPr>
                <w:color w:val="000000" w:themeColor="text1"/>
                <w:szCs w:val="24"/>
              </w:rPr>
              <w:t>NITHC Board</w:t>
            </w:r>
          </w:p>
          <w:p w14:paraId="62E85AD3" w14:textId="77777777" w:rsidR="002901B7" w:rsidRDefault="002901B7" w:rsidP="002901B7">
            <w:pPr>
              <w:spacing w:after="0" w:line="240" w:lineRule="auto"/>
              <w:ind w:left="0" w:firstLine="0"/>
              <w:jc w:val="left"/>
              <w:rPr>
                <w:color w:val="000000" w:themeColor="text1"/>
                <w:szCs w:val="24"/>
              </w:rPr>
            </w:pPr>
            <w:r>
              <w:rPr>
                <w:color w:val="000000" w:themeColor="text1"/>
                <w:szCs w:val="24"/>
              </w:rPr>
              <w:t xml:space="preserve">Board Audit &amp; Risk Committee </w:t>
            </w:r>
          </w:p>
          <w:p w14:paraId="20D70886" w14:textId="46066879" w:rsidR="002901B7" w:rsidRDefault="002901B7" w:rsidP="002901B7">
            <w:pPr>
              <w:spacing w:after="0" w:line="240" w:lineRule="auto"/>
              <w:ind w:left="0" w:firstLine="0"/>
              <w:jc w:val="left"/>
              <w:rPr>
                <w:color w:val="000000" w:themeColor="text1"/>
                <w:szCs w:val="24"/>
              </w:rPr>
            </w:pPr>
            <w:r>
              <w:rPr>
                <w:color w:val="000000" w:themeColor="text1"/>
                <w:szCs w:val="24"/>
              </w:rPr>
              <w:t>Project Oversight Committee</w:t>
            </w:r>
            <w:r w:rsidRPr="00AD0647">
              <w:rPr>
                <w:color w:val="000000" w:themeColor="text1"/>
                <w:szCs w:val="24"/>
              </w:rPr>
              <w:t xml:space="preserve"> </w:t>
            </w:r>
          </w:p>
          <w:p w14:paraId="2B7D650D" w14:textId="1C3037A2" w:rsidR="002901B7" w:rsidRDefault="002901B7" w:rsidP="002901B7">
            <w:pPr>
              <w:spacing w:after="0" w:line="240" w:lineRule="auto"/>
              <w:ind w:left="0" w:firstLine="0"/>
              <w:jc w:val="left"/>
              <w:rPr>
                <w:color w:val="000000" w:themeColor="text1"/>
                <w:szCs w:val="24"/>
              </w:rPr>
            </w:pPr>
            <w:r>
              <w:rPr>
                <w:color w:val="000000" w:themeColor="text1"/>
                <w:szCs w:val="24"/>
              </w:rPr>
              <w:t>Safety Oversight Committee</w:t>
            </w:r>
          </w:p>
          <w:p w14:paraId="5A2C3939" w14:textId="77777777" w:rsidR="002901B7" w:rsidRPr="00AD0647" w:rsidRDefault="002901B7" w:rsidP="002901B7">
            <w:pPr>
              <w:spacing w:after="0" w:line="240" w:lineRule="auto"/>
              <w:ind w:left="0" w:firstLine="0"/>
              <w:jc w:val="left"/>
              <w:rPr>
                <w:color w:val="000000" w:themeColor="text1"/>
                <w:szCs w:val="24"/>
              </w:rPr>
            </w:pPr>
          </w:p>
          <w:p w14:paraId="3F435B17" w14:textId="77777777" w:rsidR="002901B7" w:rsidRPr="00AD0647" w:rsidRDefault="002901B7" w:rsidP="002901B7">
            <w:pPr>
              <w:spacing w:after="0" w:line="240" w:lineRule="auto"/>
              <w:ind w:left="720" w:firstLine="0"/>
              <w:contextualSpacing/>
              <w:jc w:val="left"/>
              <w:rPr>
                <w:color w:val="auto"/>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68C2" w14:textId="0A874A92" w:rsidR="002901B7" w:rsidRPr="00AD0647" w:rsidRDefault="002901B7" w:rsidP="002901B7">
            <w:pPr>
              <w:spacing w:after="0" w:line="240" w:lineRule="auto"/>
              <w:ind w:left="1" w:firstLine="0"/>
              <w:jc w:val="left"/>
              <w:rPr>
                <w:color w:val="auto"/>
              </w:rPr>
            </w:pPr>
            <w:r w:rsidRPr="00AD0647">
              <w:rPr>
                <w:color w:val="000000" w:themeColor="text1"/>
              </w:rPr>
              <w:t>Within 4 weeks from date of meeting</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A76E" w14:textId="6853EB8E" w:rsidR="002901B7" w:rsidRPr="00AD0647" w:rsidRDefault="002901B7" w:rsidP="002901B7">
            <w:pPr>
              <w:spacing w:after="0" w:line="240" w:lineRule="auto"/>
              <w:ind w:left="1" w:firstLine="0"/>
              <w:jc w:val="left"/>
              <w:rPr>
                <w:color w:val="auto"/>
              </w:rPr>
            </w:pPr>
            <w:r w:rsidRPr="00AD0647">
              <w:rPr>
                <w:color w:val="auto"/>
              </w:rPr>
              <w:t>NITHC</w:t>
            </w:r>
          </w:p>
        </w:tc>
      </w:tr>
      <w:tr w:rsidR="002901B7" w:rsidRPr="00AD0647" w14:paraId="4F40617E"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3A634" w14:textId="5AAAD2EC" w:rsidR="002901B7" w:rsidRPr="00AD0647" w:rsidRDefault="002901B7" w:rsidP="002901B7">
            <w:pPr>
              <w:spacing w:after="0" w:line="240" w:lineRule="auto"/>
              <w:ind w:left="0" w:firstLine="0"/>
              <w:jc w:val="left"/>
              <w:rPr>
                <w:color w:val="auto"/>
                <w:szCs w:val="24"/>
              </w:rPr>
            </w:pPr>
            <w:r w:rsidRPr="00AD0647">
              <w:rPr>
                <w:color w:val="auto"/>
                <w:szCs w:val="24"/>
              </w:rPr>
              <w:t>Passenger Charter Survey Monitoring</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C0ADB" w14:textId="347DBAEF" w:rsidR="002901B7" w:rsidRPr="00AD0647" w:rsidRDefault="002901B7" w:rsidP="002901B7">
            <w:pPr>
              <w:spacing w:after="0" w:line="240" w:lineRule="auto"/>
              <w:ind w:left="1" w:firstLine="0"/>
              <w:jc w:val="left"/>
              <w:rPr>
                <w:color w:val="auto"/>
                <w:szCs w:val="24"/>
              </w:rPr>
            </w:pPr>
            <w:r w:rsidRPr="00AD0647">
              <w:rPr>
                <w:color w:val="auto"/>
                <w:szCs w:val="24"/>
              </w:rPr>
              <w:t>Bi-Monthly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957F7" w14:textId="21D50318" w:rsidR="002901B7" w:rsidRPr="00AD0647" w:rsidRDefault="002901B7" w:rsidP="002901B7">
            <w:pPr>
              <w:spacing w:after="0" w:line="240" w:lineRule="auto"/>
              <w:ind w:left="1" w:firstLine="0"/>
              <w:jc w:val="left"/>
              <w:rPr>
                <w:color w:val="auto"/>
                <w:szCs w:val="24"/>
              </w:rPr>
            </w:pPr>
            <w:r w:rsidRPr="00AD0647">
              <w:rPr>
                <w:color w:val="auto"/>
                <w:szCs w:val="24"/>
              </w:rPr>
              <w:t xml:space="preserve">Attended by NITHC, CCNI and DfI </w:t>
            </w:r>
            <w:r>
              <w:rPr>
                <w:color w:val="auto"/>
                <w:szCs w:val="24"/>
              </w:rPr>
              <w:t>Public and Community Transport Branch</w:t>
            </w:r>
          </w:p>
        </w:tc>
      </w:tr>
      <w:tr w:rsidR="002901B7" w:rsidRPr="00AD0647" w14:paraId="08321098"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2565" w14:textId="1E1B900D" w:rsidR="002901B7" w:rsidRPr="00AD0647" w:rsidRDefault="002901B7" w:rsidP="002901B7">
            <w:pPr>
              <w:spacing w:after="0" w:line="240" w:lineRule="auto"/>
              <w:ind w:left="0" w:firstLine="0"/>
              <w:jc w:val="left"/>
              <w:rPr>
                <w:color w:val="auto"/>
                <w:szCs w:val="24"/>
              </w:rPr>
            </w:pPr>
            <w:r w:rsidRPr="00AD0647">
              <w:t>Translink to seek approval if pay increases for the Senior Executive Team fall outside the SCS proposals &amp; Corporate and Business Plan</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16AD5" w14:textId="5EF63F6F" w:rsidR="002901B7" w:rsidRPr="00AD0647" w:rsidRDefault="00BE0ED6" w:rsidP="002901B7">
            <w:pPr>
              <w:spacing w:after="0" w:line="240" w:lineRule="auto"/>
              <w:ind w:left="1" w:firstLine="0"/>
              <w:jc w:val="left"/>
              <w:rPr>
                <w:color w:val="auto"/>
                <w:szCs w:val="24"/>
              </w:rPr>
            </w:pPr>
            <w:r>
              <w:t>A</w:t>
            </w:r>
            <w:r w:rsidR="00E74B35">
              <w:t>s required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C50BC" w14:textId="49DC9E21" w:rsidR="002901B7" w:rsidRPr="00AD0647" w:rsidRDefault="002901B7" w:rsidP="002901B7">
            <w:pPr>
              <w:spacing w:after="0" w:line="240" w:lineRule="auto"/>
              <w:ind w:left="1" w:firstLine="0"/>
              <w:jc w:val="left"/>
              <w:rPr>
                <w:color w:val="auto"/>
                <w:szCs w:val="24"/>
              </w:rPr>
            </w:pPr>
            <w:r w:rsidRPr="00AD0647">
              <w:t>NITHC Accounting Officer/DfI Head of Translink Sponsor Unit</w:t>
            </w:r>
          </w:p>
        </w:tc>
      </w:tr>
      <w:tr w:rsidR="002901B7" w:rsidRPr="00AD0647" w14:paraId="3CC5E133"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1189B" w14:textId="5B709967" w:rsidR="002901B7" w:rsidRPr="00AD0647" w:rsidRDefault="002901B7" w:rsidP="002901B7">
            <w:pPr>
              <w:spacing w:after="0" w:line="240" w:lineRule="auto"/>
              <w:ind w:left="0" w:firstLine="0"/>
              <w:jc w:val="left"/>
              <w:rPr>
                <w:color w:val="auto"/>
                <w:szCs w:val="24"/>
              </w:rPr>
            </w:pPr>
            <w:r w:rsidRPr="00AD0647">
              <w:t xml:space="preserve">Consultation on annual NITHC staff pay settlement Pay settlements outside the agreed Corporate </w:t>
            </w:r>
            <w:r>
              <w:t xml:space="preserve">and </w:t>
            </w:r>
            <w:r w:rsidRPr="00AD0647">
              <w:t>Business Plan will require further Departmental Approval</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D2AA" w14:textId="1668F6A5" w:rsidR="002901B7" w:rsidRPr="00AD0647" w:rsidRDefault="002901B7" w:rsidP="002901B7">
            <w:pPr>
              <w:spacing w:after="0" w:line="240" w:lineRule="auto"/>
              <w:ind w:left="1" w:firstLine="0"/>
              <w:jc w:val="left"/>
              <w:rPr>
                <w:color w:val="auto"/>
                <w:szCs w:val="24"/>
              </w:rPr>
            </w:pPr>
            <w:r>
              <w:t>As required.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B439" w14:textId="103E042A" w:rsidR="002901B7" w:rsidRPr="00AD0647" w:rsidRDefault="002901B7" w:rsidP="002901B7">
            <w:pPr>
              <w:spacing w:after="0" w:line="240" w:lineRule="auto"/>
              <w:ind w:left="1" w:firstLine="0"/>
              <w:jc w:val="left"/>
              <w:rPr>
                <w:color w:val="auto"/>
                <w:szCs w:val="24"/>
              </w:rPr>
            </w:pPr>
            <w:r w:rsidRPr="00AD0647">
              <w:t>NITHC Accounting Officer/ DfI Head of Translink Sponsor Unit</w:t>
            </w:r>
          </w:p>
        </w:tc>
      </w:tr>
      <w:tr w:rsidR="002901B7" w:rsidRPr="00AD0647" w14:paraId="5F8778CD" w14:textId="77777777" w:rsidTr="003B6A9B">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BD027" w14:textId="7F9C7E84" w:rsidR="002901B7" w:rsidRPr="00AD0647" w:rsidRDefault="002901B7" w:rsidP="002901B7">
            <w:pPr>
              <w:spacing w:after="0" w:line="240" w:lineRule="auto"/>
              <w:ind w:left="0" w:firstLine="0"/>
              <w:jc w:val="left"/>
              <w:rPr>
                <w:color w:val="auto"/>
                <w:szCs w:val="24"/>
              </w:rPr>
            </w:pPr>
            <w:r w:rsidRPr="00AD0647">
              <w:t>Seek approval to increase pay rate for Chair and Non-Executive Directors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223D" w14:textId="4CE1CF9A" w:rsidR="002901B7" w:rsidRPr="00AD0647" w:rsidRDefault="002901B7" w:rsidP="002901B7">
            <w:pPr>
              <w:spacing w:after="0" w:line="240" w:lineRule="auto"/>
              <w:ind w:left="1" w:firstLine="0"/>
              <w:jc w:val="left"/>
              <w:rPr>
                <w:color w:val="auto"/>
                <w:szCs w:val="24"/>
              </w:rPr>
            </w:pPr>
            <w:r w:rsidRPr="00AD0647">
              <w:t>Following issue of DoF guidance – ‘Remuneration of Chairpersons &amp; Members of Public Bodies</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74F3B" w14:textId="31AE7FB2" w:rsidR="002901B7" w:rsidRPr="00AD0647" w:rsidRDefault="002901B7" w:rsidP="002901B7">
            <w:pPr>
              <w:spacing w:after="0" w:line="240" w:lineRule="auto"/>
              <w:ind w:left="1" w:firstLine="0"/>
              <w:jc w:val="left"/>
              <w:rPr>
                <w:color w:val="auto"/>
                <w:szCs w:val="24"/>
              </w:rPr>
            </w:pPr>
            <w:r w:rsidRPr="00AD0647">
              <w:t xml:space="preserve">NITHC Accounting Officer / DfI Head of Translink Sponsor Unit  </w:t>
            </w:r>
          </w:p>
        </w:tc>
      </w:tr>
      <w:tr w:rsidR="002901B7" w:rsidRPr="00AD0647" w14:paraId="76F1E848" w14:textId="77777777" w:rsidTr="002D09FE">
        <w:tblPrEx>
          <w:tblCellMar>
            <w:right w:w="53" w:type="dxa"/>
          </w:tblCellMar>
        </w:tblPrEx>
        <w:trPr>
          <w:trHeight w:val="2068"/>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2587A81E" w14:textId="77777777" w:rsidR="002901B7" w:rsidRPr="00AD0647" w:rsidRDefault="002901B7" w:rsidP="002901B7">
            <w:pPr>
              <w:spacing w:after="122" w:line="240" w:lineRule="auto"/>
              <w:ind w:left="0" w:firstLine="0"/>
              <w:jc w:val="left"/>
            </w:pPr>
            <w:r w:rsidRPr="00AD0647">
              <w:rPr>
                <w:b/>
                <w:color w:val="FFFFFF"/>
              </w:rPr>
              <w:lastRenderedPageBreak/>
              <w:t xml:space="preserve">Chief Executive Recruitment </w:t>
            </w:r>
          </w:p>
          <w:p w14:paraId="60494BE8" w14:textId="11D23B8D" w:rsidR="002901B7" w:rsidRPr="00AD0647" w:rsidRDefault="002901B7" w:rsidP="002901B7">
            <w:pPr>
              <w:spacing w:after="0" w:line="240" w:lineRule="auto"/>
              <w:ind w:left="0" w:firstLine="0"/>
              <w:jc w:val="left"/>
            </w:pPr>
            <w:r w:rsidRPr="00AD0647">
              <w:rPr>
                <w:i/>
                <w:color w:val="FFFFFF"/>
              </w:rPr>
              <w:t>Engagement related to the recruitment of a new Chief Executive (if anticipated during the year ahead). NITHC should</w:t>
            </w:r>
            <w:r w:rsidRPr="00AD0647">
              <w:rPr>
                <w:color w:val="FFFFFF"/>
              </w:rPr>
              <w:t xml:space="preserve"> </w:t>
            </w:r>
            <w:r w:rsidRPr="00AD0647">
              <w:rPr>
                <w:i/>
                <w:color w:val="FFFFFF"/>
              </w:rPr>
              <w:t>engage with the Department at an early stage in the event of the recruitment of a new Chief Executive</w:t>
            </w:r>
            <w:r w:rsidR="004942C7" w:rsidRPr="00AD0647">
              <w:rPr>
                <w:i/>
                <w:color w:val="FFFFFF"/>
              </w:rPr>
              <w:t xml:space="preserve">. </w:t>
            </w:r>
            <w:r w:rsidRPr="00AD0647">
              <w:rPr>
                <w:i/>
                <w:color w:val="FFFFFF"/>
              </w:rPr>
              <w:t>While recognising the role of the Board as employer, DfI will work closely with NITHC in the recruitment and selection process in line with extant guidance.</w:t>
            </w:r>
            <w:r w:rsidRPr="00AD0647">
              <w:rPr>
                <w:i/>
              </w:rPr>
              <w:t xml:space="preserve"> </w:t>
            </w:r>
          </w:p>
        </w:tc>
      </w:tr>
      <w:tr w:rsidR="002901B7" w:rsidRPr="00AD0647" w14:paraId="6A8BAFF7" w14:textId="77777777" w:rsidTr="00E74B35">
        <w:tblPrEx>
          <w:tblCellMar>
            <w:right w:w="53" w:type="dxa"/>
          </w:tblCellMar>
        </w:tblPrEx>
        <w:trPr>
          <w:trHeight w:val="741"/>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90CAA" w14:textId="77777777" w:rsidR="002901B7" w:rsidRPr="00AD0647" w:rsidRDefault="002901B7" w:rsidP="002901B7">
            <w:pPr>
              <w:spacing w:after="0" w:line="240" w:lineRule="auto"/>
              <w:ind w:left="0" w:firstLine="0"/>
              <w:jc w:val="left"/>
            </w:pPr>
            <w:r w:rsidRPr="00AD0647">
              <w:rPr>
                <w:b/>
              </w:rPr>
              <w:t xml:space="preserve">Activity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AF00" w14:textId="77777777" w:rsidR="002901B7" w:rsidRPr="00AD0647" w:rsidRDefault="002901B7" w:rsidP="002901B7">
            <w:pPr>
              <w:spacing w:after="0" w:line="240" w:lineRule="auto"/>
              <w:ind w:left="1" w:firstLine="0"/>
              <w:jc w:val="left"/>
            </w:pPr>
            <w:r w:rsidRPr="00AD0647">
              <w:rPr>
                <w:b/>
              </w:rPr>
              <w:t xml:space="preserve">Date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534A" w14:textId="77777777" w:rsidR="002901B7" w:rsidRPr="00AD0647" w:rsidRDefault="002901B7" w:rsidP="002901B7">
            <w:pPr>
              <w:spacing w:after="4" w:line="240" w:lineRule="auto"/>
              <w:ind w:left="1" w:firstLine="0"/>
              <w:jc w:val="left"/>
            </w:pPr>
            <w:r w:rsidRPr="00AD0647">
              <w:rPr>
                <w:b/>
              </w:rPr>
              <w:t xml:space="preserve">Lead Departmental/NITHC </w:t>
            </w:r>
          </w:p>
          <w:p w14:paraId="710511E0" w14:textId="77777777" w:rsidR="002901B7" w:rsidRPr="00AD0647" w:rsidRDefault="002901B7" w:rsidP="002901B7">
            <w:pPr>
              <w:spacing w:after="0" w:line="240" w:lineRule="auto"/>
              <w:ind w:left="1" w:firstLine="0"/>
              <w:jc w:val="left"/>
            </w:pPr>
            <w:r w:rsidRPr="00AD0647">
              <w:rPr>
                <w:b/>
              </w:rPr>
              <w:t xml:space="preserve">Official </w:t>
            </w:r>
          </w:p>
        </w:tc>
      </w:tr>
      <w:tr w:rsidR="002901B7" w:rsidRPr="00AD0647" w14:paraId="46146492" w14:textId="77777777" w:rsidTr="00E74B35">
        <w:tblPrEx>
          <w:tblCellMar>
            <w:right w:w="53" w:type="dxa"/>
          </w:tblCellMar>
        </w:tblPrEx>
        <w:trPr>
          <w:trHeight w:val="432"/>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7EA9" w14:textId="77777777" w:rsidR="002901B7" w:rsidRPr="00AD0647" w:rsidRDefault="002901B7" w:rsidP="002901B7">
            <w:pPr>
              <w:spacing w:after="0" w:line="240" w:lineRule="auto"/>
              <w:ind w:left="0" w:firstLine="0"/>
              <w:jc w:val="left"/>
              <w:rPr>
                <w:color w:val="auto"/>
              </w:rPr>
            </w:pPr>
            <w:r w:rsidRPr="00AD0647">
              <w:rPr>
                <w:color w:val="auto"/>
              </w:rPr>
              <w:t>Chief Executive Recruitment considerations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9CA66" w14:textId="77777777" w:rsidR="002901B7" w:rsidRPr="00AD0647" w:rsidRDefault="002901B7" w:rsidP="002901B7">
            <w:pPr>
              <w:spacing w:after="0" w:line="240" w:lineRule="auto"/>
              <w:ind w:left="1" w:firstLine="0"/>
              <w:jc w:val="left"/>
              <w:rPr>
                <w:color w:val="auto"/>
              </w:rPr>
            </w:pPr>
            <w:r w:rsidRPr="00AD0647">
              <w:rPr>
                <w:color w:val="auto"/>
              </w:rPr>
              <w:t>If anticipated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CF4" w14:textId="07E87697" w:rsidR="002901B7" w:rsidRPr="00AD0647" w:rsidRDefault="002901B7" w:rsidP="002901B7">
            <w:pPr>
              <w:spacing w:after="0" w:line="240" w:lineRule="auto"/>
              <w:ind w:left="1" w:firstLine="0"/>
              <w:jc w:val="left"/>
              <w:rPr>
                <w:color w:val="auto"/>
              </w:rPr>
            </w:pPr>
            <w:r w:rsidRPr="00AD0647">
              <w:rPr>
                <w:color w:val="auto"/>
              </w:rPr>
              <w:t>DfI PT</w:t>
            </w:r>
            <w:r>
              <w:rPr>
                <w:color w:val="auto"/>
              </w:rPr>
              <w:t>O</w:t>
            </w:r>
            <w:r w:rsidRPr="00AD0647">
              <w:rPr>
                <w:color w:val="auto"/>
              </w:rPr>
              <w:t xml:space="preserve"> Director</w:t>
            </w:r>
            <w:r>
              <w:rPr>
                <w:color w:val="auto"/>
              </w:rPr>
              <w:t xml:space="preserve"> </w:t>
            </w:r>
            <w:r w:rsidRPr="00AD0647">
              <w:rPr>
                <w:color w:val="auto"/>
              </w:rPr>
              <w:t>/</w:t>
            </w:r>
            <w:r>
              <w:rPr>
                <w:color w:val="auto"/>
              </w:rPr>
              <w:t xml:space="preserve"> </w:t>
            </w:r>
            <w:r w:rsidRPr="00AD0647">
              <w:rPr>
                <w:color w:val="auto"/>
              </w:rPr>
              <w:t>Chair NITHC Board</w:t>
            </w:r>
          </w:p>
        </w:tc>
      </w:tr>
      <w:tr w:rsidR="002901B7" w:rsidRPr="00AD0647" w14:paraId="7071823C" w14:textId="77777777" w:rsidTr="002D09FE">
        <w:tblPrEx>
          <w:tblCellMar>
            <w:right w:w="82" w:type="dxa"/>
          </w:tblCellMar>
        </w:tblPrEx>
        <w:trPr>
          <w:trHeight w:val="1160"/>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0845C38C" w14:textId="0989D67C" w:rsidR="002901B7" w:rsidRPr="00AD0647" w:rsidRDefault="002901B7" w:rsidP="002901B7">
            <w:pPr>
              <w:spacing w:after="124" w:line="240" w:lineRule="auto"/>
              <w:ind w:left="0" w:firstLine="0"/>
              <w:jc w:val="left"/>
            </w:pPr>
            <w:r w:rsidRPr="00AD0647">
              <w:br w:type="page"/>
            </w:r>
            <w:r w:rsidRPr="00AD0647">
              <w:rPr>
                <w:b/>
                <w:color w:val="FFFFFF"/>
              </w:rPr>
              <w:t xml:space="preserve">Assurances   </w:t>
            </w:r>
          </w:p>
          <w:p w14:paraId="776B74EC" w14:textId="77777777" w:rsidR="002901B7" w:rsidRPr="00AD0647" w:rsidRDefault="002901B7" w:rsidP="002901B7">
            <w:pPr>
              <w:spacing w:after="0" w:line="240" w:lineRule="auto"/>
              <w:ind w:left="0" w:firstLine="0"/>
              <w:jc w:val="left"/>
            </w:pPr>
            <w:r w:rsidRPr="00AD0647">
              <w:rPr>
                <w:i/>
                <w:color w:val="FFFFFF"/>
              </w:rPr>
              <w:t>Timetable for submission of</w:t>
            </w:r>
            <w:r w:rsidRPr="00AD0647">
              <w:rPr>
                <w:bCs/>
                <w:i/>
                <w:color w:val="FFFFFF"/>
              </w:rPr>
              <w:t xml:space="preserve"> key</w:t>
            </w:r>
            <w:r w:rsidRPr="00AD0647">
              <w:rPr>
                <w:i/>
                <w:color w:val="FFFFFF"/>
              </w:rPr>
              <w:t xml:space="preserve"> assurance sources and any other assurance related activity  </w:t>
            </w:r>
            <w:r w:rsidRPr="00AD0647">
              <w:rPr>
                <w:i/>
              </w:rPr>
              <w:t xml:space="preserve"> </w:t>
            </w:r>
          </w:p>
        </w:tc>
      </w:tr>
      <w:tr w:rsidR="002901B7" w:rsidRPr="00AD0647" w14:paraId="3E83B364" w14:textId="77777777" w:rsidTr="00E74B35">
        <w:tblPrEx>
          <w:tblCellMar>
            <w:right w:w="82" w:type="dxa"/>
          </w:tblCellMar>
        </w:tblPrEx>
        <w:trPr>
          <w:trHeight w:val="738"/>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E256B" w14:textId="77777777" w:rsidR="002901B7" w:rsidRPr="00AD0647" w:rsidRDefault="002901B7" w:rsidP="002901B7">
            <w:pPr>
              <w:spacing w:after="0" w:line="240" w:lineRule="auto"/>
              <w:ind w:left="0" w:firstLine="0"/>
              <w:jc w:val="left"/>
            </w:pPr>
            <w:r w:rsidRPr="00AD0647">
              <w:rPr>
                <w:b/>
              </w:rPr>
              <w:t xml:space="preserve">Action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49D2" w14:textId="77777777" w:rsidR="002901B7" w:rsidRPr="00AD0647" w:rsidRDefault="002901B7" w:rsidP="002901B7">
            <w:pPr>
              <w:spacing w:after="0" w:line="240" w:lineRule="auto"/>
              <w:ind w:left="1" w:firstLine="0"/>
              <w:jc w:val="left"/>
            </w:pPr>
            <w:r w:rsidRPr="00AD0647">
              <w:rPr>
                <w:b/>
              </w:rPr>
              <w:t xml:space="preserve">Date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2CFDD" w14:textId="77777777" w:rsidR="002901B7" w:rsidRPr="00AD0647" w:rsidRDefault="002901B7" w:rsidP="002901B7">
            <w:pPr>
              <w:spacing w:after="4" w:line="240" w:lineRule="auto"/>
              <w:ind w:left="1" w:firstLine="0"/>
              <w:jc w:val="left"/>
            </w:pPr>
            <w:r w:rsidRPr="00AD0647">
              <w:rPr>
                <w:b/>
              </w:rPr>
              <w:t xml:space="preserve">Lead Departmental/NITHC </w:t>
            </w:r>
          </w:p>
          <w:p w14:paraId="5A5D0B34" w14:textId="77777777" w:rsidR="002901B7" w:rsidRPr="00AD0647" w:rsidRDefault="002901B7" w:rsidP="002901B7">
            <w:pPr>
              <w:spacing w:after="0" w:line="240" w:lineRule="auto"/>
              <w:ind w:left="1" w:firstLine="0"/>
              <w:jc w:val="left"/>
            </w:pPr>
            <w:r w:rsidRPr="00AD0647">
              <w:rPr>
                <w:b/>
              </w:rPr>
              <w:t xml:space="preserve">Official </w:t>
            </w:r>
          </w:p>
        </w:tc>
      </w:tr>
      <w:tr w:rsidR="002901B7" w:rsidRPr="00AD0647" w14:paraId="34E5AAB4" w14:textId="77777777" w:rsidTr="00E74B35">
        <w:tblPrEx>
          <w:tblCellMar>
            <w:right w:w="82" w:type="dxa"/>
          </w:tblCellMar>
        </w:tblPrEx>
        <w:trPr>
          <w:trHeight w:val="1344"/>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5FE9D" w14:textId="55C0130F" w:rsidR="002901B7" w:rsidRPr="00AD0647" w:rsidRDefault="002901B7" w:rsidP="002901B7">
            <w:pPr>
              <w:tabs>
                <w:tab w:val="left" w:pos="604"/>
              </w:tabs>
              <w:spacing w:after="2" w:line="263" w:lineRule="auto"/>
              <w:ind w:left="0" w:firstLine="0"/>
              <w:jc w:val="left"/>
              <w:rPr>
                <w:color w:val="auto"/>
              </w:rPr>
            </w:pPr>
            <w:r w:rsidRPr="00AD0647">
              <w:rPr>
                <w:color w:val="auto"/>
              </w:rPr>
              <w:t xml:space="preserve">Board Performance Assessments and planned training/development for Board members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4D4D2" w14:textId="02B850C7" w:rsidR="00D25DC8" w:rsidRDefault="002901B7" w:rsidP="002901B7">
            <w:pPr>
              <w:tabs>
                <w:tab w:val="left" w:pos="604"/>
              </w:tabs>
              <w:spacing w:after="0" w:line="240" w:lineRule="auto"/>
              <w:ind w:left="1" w:firstLine="0"/>
              <w:jc w:val="left"/>
              <w:rPr>
                <w:color w:val="auto"/>
              </w:rPr>
            </w:pPr>
            <w:r w:rsidRPr="00AD0647">
              <w:rPr>
                <w:color w:val="auto"/>
              </w:rPr>
              <w:t xml:space="preserve">Annually </w:t>
            </w:r>
            <w:r w:rsidR="00BE0ED6">
              <w:rPr>
                <w:color w:val="auto"/>
              </w:rPr>
              <w:t>(usually</w:t>
            </w:r>
          </w:p>
          <w:p w14:paraId="28E588C1" w14:textId="1EB30CF9" w:rsidR="002901B7" w:rsidRPr="00AD0647" w:rsidRDefault="00BE0ED6" w:rsidP="002901B7">
            <w:pPr>
              <w:tabs>
                <w:tab w:val="left" w:pos="604"/>
              </w:tabs>
              <w:spacing w:after="0" w:line="240" w:lineRule="auto"/>
              <w:ind w:left="1" w:firstLine="0"/>
              <w:jc w:val="left"/>
              <w:rPr>
                <w:color w:val="auto"/>
              </w:rPr>
            </w:pPr>
            <w:r>
              <w:rPr>
                <w:color w:val="auto"/>
              </w:rPr>
              <w:t>c</w:t>
            </w:r>
            <w:r w:rsidR="00854320">
              <w:rPr>
                <w:color w:val="auto"/>
              </w:rPr>
              <w:t xml:space="preserve">ommission </w:t>
            </w:r>
            <w:r w:rsidR="00BD7C93">
              <w:rPr>
                <w:color w:val="auto"/>
              </w:rPr>
              <w:t>November</w:t>
            </w:r>
            <w:r w:rsidR="00854320">
              <w:rPr>
                <w:color w:val="auto"/>
              </w:rPr>
              <w:t xml:space="preserve"> </w:t>
            </w:r>
            <w:r w:rsidR="00D25DC8">
              <w:rPr>
                <w:color w:val="auto"/>
              </w:rPr>
              <w:t xml:space="preserve">for completion by </w:t>
            </w:r>
            <w:r w:rsidR="00BD7C93">
              <w:rPr>
                <w:color w:val="auto"/>
              </w:rPr>
              <w:t>March</w:t>
            </w:r>
            <w:r>
              <w:rPr>
                <w:color w:val="auto"/>
              </w:rPr>
              <w:t>)</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250A" w14:textId="61CCFF62" w:rsidR="002901B7" w:rsidRPr="00AD0647" w:rsidRDefault="00BE0ED6" w:rsidP="002901B7">
            <w:pPr>
              <w:tabs>
                <w:tab w:val="left" w:pos="604"/>
              </w:tabs>
              <w:spacing w:after="0" w:line="240" w:lineRule="auto"/>
              <w:ind w:left="1" w:firstLine="0"/>
              <w:jc w:val="left"/>
              <w:rPr>
                <w:color w:val="auto"/>
              </w:rPr>
            </w:pPr>
            <w:r>
              <w:rPr>
                <w:color w:val="auto"/>
              </w:rPr>
              <w:t>DfI Translink Sponsor Unit /</w:t>
            </w:r>
            <w:r w:rsidR="002901B7" w:rsidRPr="00AD0647">
              <w:rPr>
                <w:color w:val="auto"/>
              </w:rPr>
              <w:t xml:space="preserve">NITHC Chair </w:t>
            </w:r>
          </w:p>
        </w:tc>
      </w:tr>
      <w:tr w:rsidR="002901B7" w:rsidRPr="00AD0647" w14:paraId="4D47BC71" w14:textId="77777777" w:rsidTr="00E74B35">
        <w:tblPrEx>
          <w:tblCellMar>
            <w:right w:w="82" w:type="dxa"/>
          </w:tblCellMar>
        </w:tblPrEx>
        <w:trPr>
          <w:trHeight w:val="737"/>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28C76" w14:textId="77777777" w:rsidR="002901B7" w:rsidRPr="00AD0647" w:rsidRDefault="002901B7" w:rsidP="002901B7">
            <w:pPr>
              <w:spacing w:after="2" w:line="263" w:lineRule="auto"/>
              <w:ind w:left="0" w:firstLine="0"/>
              <w:jc w:val="left"/>
            </w:pPr>
            <w:r w:rsidRPr="00AD0647">
              <w:t>Chair Appraisal</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F3FE2" w14:textId="572E0391" w:rsidR="00D25DC8" w:rsidRDefault="002340B6" w:rsidP="002901B7">
            <w:pPr>
              <w:spacing w:after="0" w:line="240" w:lineRule="auto"/>
              <w:ind w:left="1" w:firstLine="0"/>
              <w:jc w:val="left"/>
              <w:rPr>
                <w:color w:val="auto"/>
              </w:rPr>
            </w:pPr>
            <w:r>
              <w:rPr>
                <w:color w:val="auto"/>
              </w:rPr>
              <w:t xml:space="preserve">Annually </w:t>
            </w:r>
            <w:r w:rsidR="00BE0ED6">
              <w:rPr>
                <w:color w:val="auto"/>
              </w:rPr>
              <w:t>(usually</w:t>
            </w:r>
          </w:p>
          <w:p w14:paraId="7C2EE1FD" w14:textId="626FECCD" w:rsidR="002901B7" w:rsidRPr="00AD0647" w:rsidRDefault="00BE0ED6" w:rsidP="002901B7">
            <w:pPr>
              <w:spacing w:after="0" w:line="240" w:lineRule="auto"/>
              <w:ind w:left="1" w:firstLine="0"/>
              <w:jc w:val="left"/>
            </w:pPr>
            <w:r>
              <w:rPr>
                <w:color w:val="auto"/>
              </w:rPr>
              <w:t>c</w:t>
            </w:r>
            <w:r w:rsidR="00D25DC8">
              <w:rPr>
                <w:color w:val="auto"/>
              </w:rPr>
              <w:t>ommission April/May for completion by September</w:t>
            </w:r>
            <w:r>
              <w:rPr>
                <w:color w:val="auto"/>
              </w:rPr>
              <w:t>)</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872C6" w14:textId="55D6BF0F" w:rsidR="002901B7" w:rsidRPr="00AD0647" w:rsidRDefault="002901B7" w:rsidP="002901B7">
            <w:pPr>
              <w:spacing w:after="0" w:line="240" w:lineRule="auto"/>
              <w:ind w:left="1" w:firstLine="0"/>
              <w:jc w:val="left"/>
              <w:rPr>
                <w:color w:val="7030A0"/>
              </w:rPr>
            </w:pPr>
            <w:r w:rsidRPr="00AD0647">
              <w:rPr>
                <w:color w:val="auto"/>
              </w:rPr>
              <w:t>DfI Accounting Officer</w:t>
            </w:r>
          </w:p>
        </w:tc>
      </w:tr>
      <w:tr w:rsidR="002901B7" w:rsidRPr="00AD0647" w14:paraId="2DD82588" w14:textId="77777777" w:rsidTr="00E74B35">
        <w:tblPrEx>
          <w:tblCellMar>
            <w:right w:w="82" w:type="dxa"/>
          </w:tblCellMar>
        </w:tblPrEx>
        <w:trPr>
          <w:trHeight w:val="855"/>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937A" w14:textId="107925AB" w:rsidR="002901B7" w:rsidRPr="00AD0647" w:rsidRDefault="002901B7" w:rsidP="002901B7">
            <w:pPr>
              <w:spacing w:after="0" w:line="240" w:lineRule="auto"/>
              <w:ind w:left="0" w:firstLine="0"/>
              <w:jc w:val="left"/>
              <w:rPr>
                <w:color w:val="auto"/>
                <w:szCs w:val="24"/>
              </w:rPr>
            </w:pPr>
            <w:r w:rsidRPr="00AD0647">
              <w:rPr>
                <w:color w:val="auto"/>
                <w:szCs w:val="24"/>
              </w:rPr>
              <w:t>NITHC Board Audit &amp; Risk Committee</w:t>
            </w:r>
          </w:p>
          <w:p w14:paraId="617C58AE" w14:textId="77777777" w:rsidR="002901B7" w:rsidRPr="00AD0647" w:rsidRDefault="002901B7" w:rsidP="002901B7">
            <w:pPr>
              <w:spacing w:after="0" w:line="240" w:lineRule="auto"/>
              <w:ind w:left="0" w:firstLine="0"/>
              <w:jc w:val="left"/>
              <w:rPr>
                <w:color w:val="auto"/>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2EF3D" w14:textId="77777777" w:rsidR="002901B7" w:rsidRPr="00AD0647" w:rsidRDefault="002901B7" w:rsidP="002901B7">
            <w:pPr>
              <w:spacing w:after="0" w:line="240" w:lineRule="auto"/>
              <w:ind w:left="1" w:firstLine="0"/>
              <w:jc w:val="left"/>
              <w:rPr>
                <w:color w:val="auto"/>
              </w:rPr>
            </w:pPr>
            <w:r w:rsidRPr="00AD0647">
              <w:rPr>
                <w:color w:val="auto"/>
                <w:szCs w:val="24"/>
              </w:rPr>
              <w:t xml:space="preserve">Quarterly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F231" w14:textId="6408E2F0" w:rsidR="002901B7" w:rsidRPr="00AD0647" w:rsidRDefault="002901B7" w:rsidP="002901B7">
            <w:pPr>
              <w:spacing w:after="0" w:line="240" w:lineRule="auto"/>
              <w:ind w:left="1" w:firstLine="0"/>
              <w:jc w:val="left"/>
              <w:rPr>
                <w:color w:val="auto"/>
              </w:rPr>
            </w:pPr>
            <w:r w:rsidRPr="00AD0647">
              <w:rPr>
                <w:color w:val="auto"/>
                <w:szCs w:val="24"/>
              </w:rPr>
              <w:t xml:space="preserve">DfI Public Transport </w:t>
            </w:r>
            <w:r>
              <w:rPr>
                <w:color w:val="auto"/>
                <w:szCs w:val="24"/>
              </w:rPr>
              <w:t>Operations</w:t>
            </w:r>
            <w:r w:rsidRPr="00AD0647">
              <w:rPr>
                <w:color w:val="auto"/>
                <w:szCs w:val="24"/>
              </w:rPr>
              <w:t xml:space="preserve"> Director</w:t>
            </w:r>
            <w:r>
              <w:rPr>
                <w:color w:val="auto"/>
                <w:szCs w:val="24"/>
              </w:rPr>
              <w:t xml:space="preserve"> or Head of Translink Sponsor Unit</w:t>
            </w:r>
            <w:r w:rsidRPr="00AD0647">
              <w:rPr>
                <w:color w:val="auto"/>
                <w:szCs w:val="24"/>
              </w:rPr>
              <w:t xml:space="preserve"> and BARC </w:t>
            </w:r>
          </w:p>
        </w:tc>
      </w:tr>
      <w:tr w:rsidR="002901B7" w:rsidRPr="00AD0647" w14:paraId="1250E84D" w14:textId="77777777" w:rsidTr="00E74B35">
        <w:tblPrEx>
          <w:tblCellMar>
            <w:right w:w="82" w:type="dxa"/>
          </w:tblCellMar>
        </w:tblPrEx>
        <w:trPr>
          <w:trHeight w:val="855"/>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4A32E" w14:textId="77777777" w:rsidR="002901B7" w:rsidRPr="00AD0647" w:rsidRDefault="002901B7" w:rsidP="002901B7">
            <w:pPr>
              <w:spacing w:after="0" w:line="240" w:lineRule="auto"/>
              <w:ind w:left="0" w:firstLine="0"/>
              <w:jc w:val="left"/>
              <w:rPr>
                <w:color w:val="auto"/>
              </w:rPr>
            </w:pPr>
            <w:r w:rsidRPr="00AD0647">
              <w:rPr>
                <w:color w:val="auto"/>
              </w:rPr>
              <w:t>NITHC Accounting Officer Assurance Statement</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F62D8" w14:textId="77777777" w:rsidR="002340B6" w:rsidRDefault="002901B7" w:rsidP="00BB7CD6">
            <w:pPr>
              <w:spacing w:after="0" w:line="240" w:lineRule="auto"/>
              <w:ind w:left="1" w:firstLine="0"/>
              <w:jc w:val="left"/>
              <w:rPr>
                <w:color w:val="auto"/>
              </w:rPr>
            </w:pPr>
            <w:r w:rsidRPr="00AD0647">
              <w:rPr>
                <w:color w:val="auto"/>
              </w:rPr>
              <w:t>Bi-annually</w:t>
            </w:r>
          </w:p>
          <w:p w14:paraId="446064C6" w14:textId="60D6F887" w:rsidR="00F705F7" w:rsidRDefault="00F705F7" w:rsidP="00BB7CD6">
            <w:pPr>
              <w:spacing w:after="0" w:line="240" w:lineRule="auto"/>
              <w:ind w:left="1" w:firstLine="0"/>
              <w:jc w:val="left"/>
              <w:rPr>
                <w:color w:val="auto"/>
              </w:rPr>
            </w:pPr>
            <w:r>
              <w:rPr>
                <w:color w:val="auto"/>
              </w:rPr>
              <w:t>(draft end-year by June and draft mid-year by October)</w:t>
            </w:r>
          </w:p>
          <w:p w14:paraId="1094EE36" w14:textId="28E3B3B2" w:rsidR="009D7E82" w:rsidRPr="00AD0647" w:rsidRDefault="009D7E82" w:rsidP="00BB7CD6">
            <w:pPr>
              <w:spacing w:after="0" w:line="240" w:lineRule="auto"/>
              <w:ind w:left="1" w:firstLine="0"/>
              <w:jc w:val="left"/>
              <w:rPr>
                <w:color w:val="auto"/>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4092" w14:textId="77777777" w:rsidR="002901B7" w:rsidRPr="00AD0647" w:rsidRDefault="002901B7" w:rsidP="002901B7">
            <w:pPr>
              <w:spacing w:after="0" w:line="240" w:lineRule="auto"/>
              <w:ind w:left="1" w:firstLine="0"/>
              <w:jc w:val="left"/>
              <w:rPr>
                <w:color w:val="auto"/>
              </w:rPr>
            </w:pPr>
            <w:r w:rsidRPr="00AD0647">
              <w:rPr>
                <w:color w:val="auto"/>
              </w:rPr>
              <w:t xml:space="preserve">NITHC Chief Executive Officer and DfI Permanent Secretary </w:t>
            </w:r>
          </w:p>
        </w:tc>
      </w:tr>
      <w:tr w:rsidR="002901B7" w:rsidRPr="00AD0647" w14:paraId="285D31EA" w14:textId="77777777" w:rsidTr="00E74B35">
        <w:tblPrEx>
          <w:tblCellMar>
            <w:right w:w="82" w:type="dxa"/>
          </w:tblCellMar>
        </w:tblPrEx>
        <w:trPr>
          <w:trHeight w:val="855"/>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7B7C" w14:textId="33DEE28F" w:rsidR="002901B7" w:rsidRPr="00AD0647" w:rsidRDefault="002901B7" w:rsidP="002901B7">
            <w:pPr>
              <w:spacing w:after="0" w:line="240" w:lineRule="auto"/>
              <w:ind w:left="0" w:firstLine="0"/>
              <w:jc w:val="left"/>
              <w:rPr>
                <w:color w:val="auto"/>
              </w:rPr>
            </w:pPr>
            <w:r w:rsidRPr="00AD0647">
              <w:rPr>
                <w:color w:val="auto"/>
              </w:rPr>
              <w:t>Reporting on Direct Award Contracts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0FA6" w14:textId="77777777" w:rsidR="002901B7" w:rsidRPr="00AD0647" w:rsidRDefault="002901B7" w:rsidP="002901B7">
            <w:pPr>
              <w:spacing w:after="0" w:line="240" w:lineRule="auto"/>
              <w:ind w:left="1" w:firstLine="0"/>
              <w:jc w:val="left"/>
              <w:rPr>
                <w:color w:val="auto"/>
              </w:rPr>
            </w:pPr>
            <w:r w:rsidRPr="00AD0647">
              <w:rPr>
                <w:color w:val="auto"/>
              </w:rPr>
              <w:t>Bi-Annually</w:t>
            </w:r>
          </w:p>
          <w:p w14:paraId="174737B6" w14:textId="77777777" w:rsidR="002901B7" w:rsidRPr="00AD0647" w:rsidRDefault="002901B7" w:rsidP="002901B7">
            <w:pPr>
              <w:spacing w:after="0" w:line="240" w:lineRule="auto"/>
              <w:ind w:left="1" w:firstLine="0"/>
              <w:jc w:val="left"/>
              <w:rPr>
                <w:color w:val="auto"/>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A282" w14:textId="263916F2" w:rsidR="002901B7" w:rsidRPr="00AD0647" w:rsidRDefault="002901B7" w:rsidP="002901B7">
            <w:pPr>
              <w:spacing w:after="0" w:line="240" w:lineRule="auto"/>
              <w:ind w:left="1" w:firstLine="0"/>
              <w:jc w:val="left"/>
              <w:rPr>
                <w:color w:val="auto"/>
              </w:rPr>
            </w:pPr>
            <w:r w:rsidRPr="00AD0647">
              <w:rPr>
                <w:color w:val="auto"/>
              </w:rPr>
              <w:t>DfI Translink Sponsor Unit/Translink Head of Procurement</w:t>
            </w:r>
          </w:p>
        </w:tc>
      </w:tr>
      <w:tr w:rsidR="002901B7" w:rsidRPr="00AD0647" w14:paraId="4DB6086E" w14:textId="77777777" w:rsidTr="00E74B35">
        <w:tblPrEx>
          <w:tblCellMar>
            <w:right w:w="82" w:type="dxa"/>
          </w:tblCellMar>
        </w:tblPrEx>
        <w:trPr>
          <w:trHeight w:val="855"/>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8C097" w14:textId="3EE2B4DB" w:rsidR="002901B7" w:rsidRPr="00AD0647" w:rsidRDefault="002901B7" w:rsidP="002901B7">
            <w:pPr>
              <w:spacing w:after="0" w:line="240" w:lineRule="auto"/>
              <w:ind w:left="0" w:firstLine="0"/>
              <w:jc w:val="left"/>
              <w:rPr>
                <w:i/>
                <w:iCs/>
                <w:color w:val="auto"/>
              </w:rPr>
            </w:pPr>
            <w:r>
              <w:t>Notification of significant changes to</w:t>
            </w:r>
            <w:r w:rsidRPr="00AD0647">
              <w:t xml:space="preserve"> NITHC Anti Bribery, Fraud and Theft Policy</w:t>
            </w:r>
            <w:r>
              <w:t xml:space="preserve"> or Response Plan.</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10E1D" w14:textId="499A3486" w:rsidR="002901B7" w:rsidRPr="00AD0647" w:rsidRDefault="002901B7" w:rsidP="002901B7">
            <w:pPr>
              <w:spacing w:after="0" w:line="240" w:lineRule="auto"/>
              <w:ind w:left="1" w:firstLine="0"/>
              <w:jc w:val="left"/>
              <w:rPr>
                <w:color w:val="auto"/>
              </w:rPr>
            </w:pPr>
            <w:r w:rsidRPr="00AD0647">
              <w:t>In line with agreed renewal date in policy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6EFB0" w14:textId="491E3BC3" w:rsidR="002901B7" w:rsidRPr="00AD0647" w:rsidRDefault="002901B7" w:rsidP="002901B7">
            <w:pPr>
              <w:spacing w:after="0" w:line="240" w:lineRule="auto"/>
              <w:ind w:left="1" w:firstLine="0"/>
              <w:jc w:val="left"/>
              <w:rPr>
                <w:i/>
                <w:iCs/>
                <w:color w:val="auto"/>
              </w:rPr>
            </w:pPr>
            <w:r w:rsidRPr="00AD0647">
              <w:t>NITHC and DfI Sponsor Unit.</w:t>
            </w:r>
          </w:p>
        </w:tc>
      </w:tr>
      <w:tr w:rsidR="002901B7" w:rsidRPr="00AD0647" w14:paraId="4F5EC4A9" w14:textId="77777777" w:rsidTr="00E74B35">
        <w:tblPrEx>
          <w:tblCellMar>
            <w:right w:w="82" w:type="dxa"/>
          </w:tblCellMar>
        </w:tblPrEx>
        <w:trPr>
          <w:trHeight w:val="451"/>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4777" w14:textId="77777777" w:rsidR="002901B7" w:rsidRPr="00AD0647" w:rsidRDefault="002901B7" w:rsidP="002901B7">
            <w:pPr>
              <w:spacing w:after="124" w:line="240" w:lineRule="auto"/>
              <w:ind w:left="0" w:firstLine="0"/>
              <w:jc w:val="left"/>
              <w:rPr>
                <w:color w:val="000000" w:themeColor="text1"/>
              </w:rPr>
            </w:pPr>
            <w:r w:rsidRPr="00AD0647">
              <w:rPr>
                <w:color w:val="000000" w:themeColor="text1"/>
              </w:rPr>
              <w:t>Whistleblowing Register</w:t>
            </w:r>
          </w:p>
          <w:p w14:paraId="30B88276" w14:textId="77777777" w:rsidR="002901B7" w:rsidRPr="00AD0647" w:rsidRDefault="002901B7" w:rsidP="002901B7">
            <w:pPr>
              <w:spacing w:after="124" w:line="240" w:lineRule="auto"/>
              <w:ind w:left="0" w:firstLine="0"/>
              <w:jc w:val="left"/>
              <w:rPr>
                <w:color w:val="000000" w:themeColor="text1"/>
              </w:rPr>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1C7BA" w14:textId="706FE628" w:rsidR="002901B7" w:rsidRPr="00AD0647" w:rsidRDefault="002901B7" w:rsidP="002901B7">
            <w:pPr>
              <w:spacing w:after="0" w:line="240" w:lineRule="auto"/>
              <w:ind w:left="1" w:firstLine="0"/>
              <w:jc w:val="left"/>
            </w:pPr>
            <w:r w:rsidRPr="00AD0647">
              <w:rPr>
                <w:color w:val="000000" w:themeColor="text1"/>
              </w:rPr>
              <w:t>Quarterly (with BARC papers)</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802C2" w14:textId="77777777" w:rsidR="002901B7" w:rsidRPr="00AD0647" w:rsidRDefault="002901B7" w:rsidP="002901B7">
            <w:pPr>
              <w:spacing w:after="0" w:line="240" w:lineRule="auto"/>
              <w:ind w:left="0" w:firstLine="0"/>
              <w:jc w:val="left"/>
              <w:rPr>
                <w:color w:val="000000" w:themeColor="text1"/>
              </w:rPr>
            </w:pPr>
            <w:r w:rsidRPr="00AD0647">
              <w:rPr>
                <w:color w:val="000000" w:themeColor="text1"/>
              </w:rPr>
              <w:t>DfI Translink Sponsor Unit/Translink Head of Financial  Governance</w:t>
            </w:r>
          </w:p>
        </w:tc>
      </w:tr>
      <w:tr w:rsidR="002901B7" w:rsidRPr="00AD0647" w14:paraId="3D8FF104" w14:textId="77777777" w:rsidTr="00E74B35">
        <w:tblPrEx>
          <w:tblCellMar>
            <w:right w:w="82" w:type="dxa"/>
          </w:tblCellMar>
        </w:tblPrEx>
        <w:trPr>
          <w:trHeight w:val="451"/>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B6EBA" w14:textId="77777777" w:rsidR="002901B7" w:rsidRPr="00AD0647" w:rsidRDefault="002901B7" w:rsidP="002901B7">
            <w:pPr>
              <w:spacing w:after="124" w:line="240" w:lineRule="auto"/>
              <w:ind w:left="0" w:firstLine="0"/>
              <w:jc w:val="left"/>
            </w:pPr>
            <w:r w:rsidRPr="00AD0647">
              <w:t xml:space="preserve">Head of Internal Audit Annual Opinion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7531" w14:textId="77777777" w:rsidR="002901B7" w:rsidRPr="00AD0647" w:rsidRDefault="002901B7" w:rsidP="002901B7">
            <w:pPr>
              <w:spacing w:after="0" w:line="240" w:lineRule="auto"/>
              <w:ind w:left="1" w:firstLine="0"/>
              <w:jc w:val="left"/>
            </w:pPr>
            <w:r w:rsidRPr="00AD0647">
              <w:t>Annually</w:t>
            </w:r>
          </w:p>
          <w:p w14:paraId="6D73A54D" w14:textId="77777777" w:rsidR="002901B7" w:rsidRPr="00AD0647" w:rsidRDefault="002901B7" w:rsidP="002901B7">
            <w:pPr>
              <w:spacing w:after="0" w:line="240" w:lineRule="auto"/>
              <w:ind w:left="1" w:firstLine="0"/>
              <w:jc w:val="left"/>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97D47" w14:textId="77777777" w:rsidR="002901B7" w:rsidRPr="00AD0647" w:rsidRDefault="002901B7" w:rsidP="002901B7">
            <w:pPr>
              <w:spacing w:after="0" w:line="240" w:lineRule="auto"/>
              <w:ind w:left="1" w:firstLine="0"/>
              <w:jc w:val="left"/>
            </w:pPr>
            <w:r w:rsidRPr="00AD0647">
              <w:t>NITHC</w:t>
            </w:r>
            <w:r w:rsidRPr="00AD0647">
              <w:rPr>
                <w:b/>
              </w:rPr>
              <w:t xml:space="preserve"> </w:t>
            </w:r>
            <w:r w:rsidRPr="00AD0647">
              <w:t xml:space="preserve">Head of </w:t>
            </w:r>
            <w:r w:rsidRPr="00AD0647">
              <w:rPr>
                <w:color w:val="auto"/>
              </w:rPr>
              <w:t xml:space="preserve">Financial </w:t>
            </w:r>
            <w:r w:rsidRPr="00AD0647">
              <w:t>Governance</w:t>
            </w:r>
          </w:p>
          <w:p w14:paraId="0367BB7A" w14:textId="77777777" w:rsidR="002901B7" w:rsidRPr="00AD0647" w:rsidRDefault="002901B7" w:rsidP="002901B7">
            <w:pPr>
              <w:spacing w:after="0" w:line="240" w:lineRule="auto"/>
              <w:ind w:left="1" w:firstLine="0"/>
              <w:jc w:val="left"/>
              <w:rPr>
                <w:lang w:val="en-US"/>
              </w:rPr>
            </w:pPr>
            <w:r w:rsidRPr="00AD0647" w:rsidDel="00082FEE">
              <w:rPr>
                <w:b/>
              </w:rPr>
              <w:t xml:space="preserve"> </w:t>
            </w:r>
          </w:p>
        </w:tc>
      </w:tr>
      <w:tr w:rsidR="002901B7" w:rsidRPr="00AD0647" w14:paraId="4FF0E6DF" w14:textId="77777777" w:rsidTr="00E74B35">
        <w:tblPrEx>
          <w:tblCellMar>
            <w:right w:w="82" w:type="dxa"/>
          </w:tblCellMar>
        </w:tblPrEx>
        <w:trPr>
          <w:trHeight w:val="773"/>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FB0C" w14:textId="77777777" w:rsidR="002901B7" w:rsidRPr="00AD0647" w:rsidRDefault="002901B7" w:rsidP="002901B7">
            <w:pPr>
              <w:spacing w:after="0" w:line="240" w:lineRule="auto"/>
              <w:ind w:left="0" w:firstLine="0"/>
              <w:jc w:val="left"/>
            </w:pPr>
            <w:r w:rsidRPr="00AD0647">
              <w:lastRenderedPageBreak/>
              <w:t xml:space="preserve">Draft Governance Statement </w:t>
            </w:r>
            <w:r w:rsidRPr="00AD0647">
              <w:rPr>
                <w:i/>
                <w:iCs/>
              </w:rPr>
              <w:t>(annual reports and accounts)</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D7F8" w14:textId="086C068A" w:rsidR="002901B7" w:rsidRPr="00AD0647" w:rsidRDefault="002901B7" w:rsidP="002901B7">
            <w:pPr>
              <w:spacing w:after="0" w:line="240" w:lineRule="auto"/>
              <w:ind w:left="1" w:firstLine="0"/>
              <w:jc w:val="left"/>
            </w:pPr>
            <w:r w:rsidRPr="00AD0647">
              <w:t>Annually – by end of May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E326B" w14:textId="77777777" w:rsidR="002901B7" w:rsidRPr="00AD0647" w:rsidRDefault="002901B7" w:rsidP="002901B7">
            <w:pPr>
              <w:spacing w:after="0" w:line="240" w:lineRule="auto"/>
              <w:ind w:left="1" w:firstLine="0"/>
              <w:jc w:val="left"/>
            </w:pPr>
            <w:r w:rsidRPr="00AD0647">
              <w:t>DfI Translink Sponsor Unit/ NITHC Finance Team</w:t>
            </w:r>
          </w:p>
        </w:tc>
      </w:tr>
      <w:tr w:rsidR="002901B7" w:rsidRPr="00AD0647" w14:paraId="4EB40FF1" w14:textId="77777777" w:rsidTr="00E74B35">
        <w:tblPrEx>
          <w:tblCellMar>
            <w:right w:w="82" w:type="dxa"/>
          </w:tblCellMar>
        </w:tblPrEx>
        <w:trPr>
          <w:trHeight w:val="737"/>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D519" w14:textId="3683EEC0" w:rsidR="002901B7" w:rsidRPr="00AD0647" w:rsidRDefault="002901B7" w:rsidP="002901B7">
            <w:pPr>
              <w:spacing w:after="0" w:line="240" w:lineRule="auto"/>
              <w:ind w:left="0" w:firstLine="0"/>
              <w:jc w:val="left"/>
            </w:pPr>
            <w:r w:rsidRPr="00AD0647">
              <w:t xml:space="preserve">Report to those Charged with Governance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D02FE" w14:textId="66C389DA" w:rsidR="002901B7" w:rsidRPr="00AD0647" w:rsidRDefault="002901B7" w:rsidP="002901B7">
            <w:pPr>
              <w:spacing w:after="0" w:line="240" w:lineRule="auto"/>
              <w:ind w:left="0" w:firstLine="0"/>
              <w:jc w:val="left"/>
            </w:pPr>
            <w:r w:rsidRPr="00AD0647">
              <w:t>Annually - June</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74C2" w14:textId="51DFB156" w:rsidR="002901B7" w:rsidRPr="00AD0647" w:rsidRDefault="002901B7" w:rsidP="002901B7">
            <w:pPr>
              <w:spacing w:after="0" w:line="240" w:lineRule="auto"/>
              <w:ind w:left="1" w:firstLine="0"/>
              <w:jc w:val="left"/>
            </w:pPr>
            <w:r>
              <w:rPr>
                <w:color w:val="000000" w:themeColor="text1"/>
              </w:rPr>
              <w:t xml:space="preserve">NITHC </w:t>
            </w:r>
            <w:r w:rsidRPr="00AD0647">
              <w:rPr>
                <w:color w:val="000000" w:themeColor="text1"/>
              </w:rPr>
              <w:t>Head of Financial  Governance</w:t>
            </w:r>
          </w:p>
        </w:tc>
      </w:tr>
      <w:tr w:rsidR="002901B7" w:rsidRPr="00AD0647" w14:paraId="09F3024F" w14:textId="77777777" w:rsidTr="00E74B35">
        <w:tblPrEx>
          <w:tblCellMar>
            <w:right w:w="82" w:type="dxa"/>
          </w:tblCellMar>
        </w:tblPrEx>
        <w:trPr>
          <w:trHeight w:val="737"/>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465BE" w14:textId="77777777" w:rsidR="002901B7" w:rsidRPr="00AD0647" w:rsidRDefault="002901B7" w:rsidP="002901B7">
            <w:pPr>
              <w:spacing w:after="4" w:line="240" w:lineRule="auto"/>
              <w:ind w:left="0" w:firstLine="0"/>
              <w:jc w:val="left"/>
            </w:pPr>
            <w:r w:rsidRPr="00AD0647">
              <w:t xml:space="preserve">Internal Audit External </w:t>
            </w:r>
          </w:p>
          <w:p w14:paraId="2B501805" w14:textId="77777777" w:rsidR="002901B7" w:rsidRPr="00AD0647" w:rsidRDefault="002901B7" w:rsidP="002901B7">
            <w:pPr>
              <w:spacing w:after="127" w:line="240" w:lineRule="auto"/>
              <w:ind w:left="0" w:firstLine="0"/>
              <w:jc w:val="left"/>
            </w:pPr>
            <w:r w:rsidRPr="00AD0647">
              <w:t xml:space="preserve">Quality Assessment   </w:t>
            </w:r>
          </w:p>
          <w:p w14:paraId="3AB6442B" w14:textId="77777777" w:rsidR="002901B7" w:rsidRPr="00AD0647" w:rsidRDefault="002901B7" w:rsidP="002901B7">
            <w:pPr>
              <w:spacing w:after="0" w:line="240" w:lineRule="auto"/>
              <w:ind w:left="0" w:firstLine="0"/>
              <w:jc w:val="left"/>
            </w:pP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02FA" w14:textId="77777777" w:rsidR="002901B7" w:rsidRPr="00AD0647" w:rsidRDefault="002901B7" w:rsidP="002901B7">
            <w:pPr>
              <w:spacing w:after="0" w:line="240" w:lineRule="auto"/>
              <w:ind w:left="1" w:firstLine="0"/>
              <w:jc w:val="left"/>
              <w:rPr>
                <w:color w:val="auto"/>
              </w:rPr>
            </w:pPr>
            <w:r w:rsidRPr="00AD0647">
              <w:t xml:space="preserve">Once every five years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3D76" w14:textId="77777777" w:rsidR="002901B7" w:rsidRPr="00AD0647" w:rsidRDefault="002901B7" w:rsidP="002901B7">
            <w:pPr>
              <w:spacing w:after="0" w:line="240" w:lineRule="auto"/>
              <w:ind w:left="0" w:firstLine="0"/>
              <w:jc w:val="left"/>
              <w:rPr>
                <w:rFonts w:ascii="Times New Roman" w:eastAsiaTheme="minorEastAsia" w:hAnsi="Times New Roman" w:cs="Times New Roman"/>
                <w:bCs/>
                <w:color w:val="auto"/>
                <w:szCs w:val="24"/>
              </w:rPr>
            </w:pPr>
            <w:r w:rsidRPr="00AD0647">
              <w:rPr>
                <w:bCs/>
              </w:rPr>
              <w:t>NITHC Head of Financial Governance</w:t>
            </w:r>
            <w:r w:rsidRPr="00AD0647">
              <w:rPr>
                <w:rFonts w:ascii="Times New Roman" w:eastAsiaTheme="minorEastAsia" w:hAnsi="Times New Roman" w:cs="Times New Roman"/>
                <w:bCs/>
                <w:color w:val="auto"/>
                <w:szCs w:val="24"/>
              </w:rPr>
              <w:t xml:space="preserve"> </w:t>
            </w:r>
          </w:p>
          <w:p w14:paraId="4757AF75" w14:textId="77777777" w:rsidR="002901B7" w:rsidRPr="00AD0647" w:rsidRDefault="002901B7" w:rsidP="002901B7">
            <w:pPr>
              <w:spacing w:after="0" w:line="240" w:lineRule="auto"/>
              <w:ind w:left="1" w:firstLine="0"/>
              <w:jc w:val="left"/>
              <w:rPr>
                <w:b/>
                <w:color w:val="auto"/>
              </w:rPr>
            </w:pPr>
          </w:p>
        </w:tc>
      </w:tr>
      <w:tr w:rsidR="002901B7" w:rsidRPr="00AD0647" w14:paraId="12168E62" w14:textId="77777777" w:rsidTr="00E74B35">
        <w:tblPrEx>
          <w:tblCellMar>
            <w:right w:w="82" w:type="dxa"/>
          </w:tblCellMar>
        </w:tblPrEx>
        <w:trPr>
          <w:trHeight w:val="737"/>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4C44" w14:textId="7C57F00F" w:rsidR="007A7966" w:rsidRPr="00AD0647" w:rsidRDefault="007A7966" w:rsidP="002901B7">
            <w:pPr>
              <w:spacing w:after="0" w:line="240" w:lineRule="auto"/>
              <w:ind w:left="0" w:firstLine="0"/>
              <w:jc w:val="left"/>
            </w:pPr>
            <w:r>
              <w:t xml:space="preserve">Provision of </w:t>
            </w:r>
            <w:r w:rsidR="002901B7" w:rsidRPr="00AD0647">
              <w:t xml:space="preserve">Annual Report and Accounts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FE8EA" w14:textId="77777777" w:rsidR="002901B7" w:rsidRDefault="002901B7" w:rsidP="002901B7">
            <w:pPr>
              <w:spacing w:after="0" w:line="240" w:lineRule="auto"/>
              <w:ind w:left="1" w:firstLine="0"/>
              <w:jc w:val="left"/>
              <w:rPr>
                <w:color w:val="auto"/>
              </w:rPr>
            </w:pPr>
            <w:r w:rsidRPr="00AD0647">
              <w:rPr>
                <w:color w:val="auto"/>
              </w:rPr>
              <w:t>Annually – by end of June</w:t>
            </w:r>
          </w:p>
          <w:p w14:paraId="25BDB700" w14:textId="77777777" w:rsidR="007A7966" w:rsidRDefault="007A7966" w:rsidP="002901B7">
            <w:pPr>
              <w:spacing w:after="0" w:line="240" w:lineRule="auto"/>
              <w:ind w:left="1" w:firstLine="0"/>
              <w:jc w:val="left"/>
              <w:rPr>
                <w:color w:val="auto"/>
              </w:rPr>
            </w:pPr>
          </w:p>
          <w:p w14:paraId="4EF6B60D" w14:textId="28EF2E7B" w:rsidR="007A7966" w:rsidRPr="00AD0647" w:rsidRDefault="007A7966" w:rsidP="002901B7">
            <w:pPr>
              <w:spacing w:after="0" w:line="240" w:lineRule="auto"/>
              <w:ind w:left="1" w:firstLine="0"/>
              <w:jc w:val="left"/>
              <w:rPr>
                <w:color w:val="auto"/>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F965" w14:textId="7E2CFA6B" w:rsidR="002901B7" w:rsidRPr="00AD0647" w:rsidRDefault="002901B7" w:rsidP="002901B7">
            <w:pPr>
              <w:spacing w:after="0" w:line="240" w:lineRule="auto"/>
              <w:ind w:left="1" w:firstLine="0"/>
              <w:jc w:val="left"/>
              <w:rPr>
                <w:color w:val="auto"/>
              </w:rPr>
            </w:pPr>
            <w:r w:rsidRPr="00AD0647">
              <w:rPr>
                <w:color w:val="auto"/>
              </w:rPr>
              <w:t>DfI/NITHC</w:t>
            </w:r>
          </w:p>
        </w:tc>
      </w:tr>
      <w:tr w:rsidR="002901B7" w:rsidRPr="00AD0647" w14:paraId="400F178E" w14:textId="77777777" w:rsidTr="00E74B35">
        <w:tblPrEx>
          <w:tblCellMar>
            <w:right w:w="82" w:type="dxa"/>
          </w:tblCellMar>
        </w:tblPrEx>
        <w:trPr>
          <w:trHeight w:val="737"/>
        </w:trPr>
        <w:tc>
          <w:tcPr>
            <w:tcW w:w="3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1294B" w14:textId="5575E1EE" w:rsidR="002901B7" w:rsidRPr="00AD0647" w:rsidRDefault="002901B7" w:rsidP="002901B7">
            <w:pPr>
              <w:spacing w:after="0" w:line="240" w:lineRule="auto"/>
              <w:ind w:left="0" w:firstLine="0"/>
              <w:jc w:val="left"/>
            </w:pPr>
            <w:r w:rsidRPr="00AD0647">
              <w:t xml:space="preserve">Bus Route Subsidy &amp; Public Service Obligation Grant </w:t>
            </w:r>
            <w:r w:rsidRPr="00AD0647">
              <w:rPr>
                <w:i/>
                <w:iCs/>
              </w:rPr>
              <w:t>(external audit)</w:t>
            </w:r>
            <w:r w:rsidRPr="00AD0647" w:rsidDel="00CA15E9">
              <w:t xml:space="preserve">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93E4E" w14:textId="77777777" w:rsidR="002901B7" w:rsidRPr="00AD0647" w:rsidRDefault="002901B7" w:rsidP="002901B7">
            <w:pPr>
              <w:spacing w:after="0" w:line="240" w:lineRule="auto"/>
              <w:ind w:left="1" w:firstLine="0"/>
              <w:jc w:val="left"/>
            </w:pPr>
            <w:r w:rsidRPr="00AD0647">
              <w:t>Annually - June</w:t>
            </w:r>
          </w:p>
          <w:p w14:paraId="06D9FF3C" w14:textId="77777777" w:rsidR="002901B7" w:rsidRPr="00AD0647" w:rsidRDefault="002901B7" w:rsidP="002901B7">
            <w:pPr>
              <w:spacing w:after="0" w:line="240" w:lineRule="auto"/>
              <w:ind w:left="1" w:firstLine="0"/>
              <w:jc w:val="left"/>
              <w:rPr>
                <w:color w:val="auto"/>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B8F0" w14:textId="77777777" w:rsidR="002901B7" w:rsidRDefault="002901B7" w:rsidP="002901B7">
            <w:pPr>
              <w:spacing w:after="0" w:line="240" w:lineRule="auto"/>
              <w:ind w:left="1" w:firstLine="0"/>
              <w:jc w:val="left"/>
            </w:pPr>
            <w:r w:rsidRPr="00AD0647">
              <w:t>DfI Head of Translink Sponsor Unit/ NITHC Chief Financial Officer</w:t>
            </w:r>
          </w:p>
          <w:p w14:paraId="7421643B" w14:textId="7F1A17EC" w:rsidR="002901B7" w:rsidRPr="00AD0647" w:rsidRDefault="002901B7" w:rsidP="002901B7">
            <w:pPr>
              <w:spacing w:after="0" w:line="240" w:lineRule="auto"/>
              <w:ind w:left="1" w:firstLine="0"/>
              <w:jc w:val="left"/>
              <w:rPr>
                <w:b/>
                <w:color w:val="auto"/>
              </w:rPr>
            </w:pPr>
          </w:p>
        </w:tc>
      </w:tr>
      <w:tr w:rsidR="002901B7" w:rsidRPr="00AD0647" w14:paraId="70EB8FEB" w14:textId="77777777" w:rsidTr="002D09FE">
        <w:tblPrEx>
          <w:tblCellMar>
            <w:right w:w="41" w:type="dxa"/>
          </w:tblCellMar>
        </w:tblPrEx>
        <w:trPr>
          <w:trHeight w:val="854"/>
        </w:trPr>
        <w:tc>
          <w:tcPr>
            <w:tcW w:w="9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7D851826" w14:textId="77777777" w:rsidR="002901B7" w:rsidRPr="00AD0647" w:rsidRDefault="002901B7" w:rsidP="002901B7">
            <w:pPr>
              <w:spacing w:after="124" w:line="240" w:lineRule="auto"/>
              <w:ind w:left="0" w:firstLine="0"/>
              <w:jc w:val="left"/>
            </w:pPr>
            <w:r w:rsidRPr="00AD0647">
              <w:rPr>
                <w:b/>
                <w:color w:val="FFFFFF"/>
              </w:rPr>
              <w:t xml:space="preserve">Budget Management  </w:t>
            </w:r>
          </w:p>
          <w:p w14:paraId="75FC7398" w14:textId="3726BD91" w:rsidR="002901B7" w:rsidRPr="00AD0647" w:rsidRDefault="002901B7" w:rsidP="002901B7">
            <w:pPr>
              <w:spacing w:after="0" w:line="240" w:lineRule="auto"/>
              <w:ind w:left="0" w:firstLine="0"/>
              <w:jc w:val="left"/>
            </w:pPr>
            <w:r w:rsidRPr="00AD0647">
              <w:rPr>
                <w:i/>
                <w:color w:val="FFFFFF"/>
              </w:rPr>
              <w:t>Details of the information and returns to be provided</w:t>
            </w:r>
            <w:r w:rsidR="004942C7" w:rsidRPr="00AD0647">
              <w:rPr>
                <w:i/>
                <w:color w:val="FFFFFF"/>
              </w:rPr>
              <w:t xml:space="preserve">. </w:t>
            </w:r>
          </w:p>
        </w:tc>
      </w:tr>
      <w:tr w:rsidR="002901B7" w:rsidRPr="00AD0647" w14:paraId="4F5880B0" w14:textId="77777777" w:rsidTr="00814919">
        <w:tblPrEx>
          <w:tblCellMar>
            <w:right w:w="41" w:type="dxa"/>
          </w:tblCellMar>
        </w:tblPrEx>
        <w:trPr>
          <w:trHeight w:val="738"/>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D1466" w14:textId="77777777" w:rsidR="002901B7" w:rsidRPr="00AD0647" w:rsidRDefault="002901B7" w:rsidP="002901B7">
            <w:pPr>
              <w:spacing w:after="0" w:line="240" w:lineRule="auto"/>
              <w:ind w:left="0" w:firstLine="0"/>
              <w:jc w:val="left"/>
            </w:pPr>
            <w:r w:rsidRPr="00AD0647">
              <w:rPr>
                <w:b/>
              </w:rPr>
              <w:t xml:space="preserve">Item and Purpose  </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416E" w14:textId="77777777" w:rsidR="002901B7" w:rsidRPr="00AD0647" w:rsidRDefault="002901B7" w:rsidP="002901B7">
            <w:pPr>
              <w:spacing w:after="0" w:line="240" w:lineRule="auto"/>
              <w:ind w:left="1" w:firstLine="0"/>
              <w:jc w:val="left"/>
            </w:pPr>
            <w:r w:rsidRPr="00AD0647">
              <w:rPr>
                <w:b/>
              </w:rPr>
              <w:t xml:space="preserve">Indicative Date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EF187" w14:textId="77777777" w:rsidR="002901B7" w:rsidRPr="00AD0647" w:rsidRDefault="002901B7" w:rsidP="002901B7">
            <w:pPr>
              <w:spacing w:after="7" w:line="240" w:lineRule="auto"/>
              <w:ind w:left="1" w:firstLine="0"/>
              <w:jc w:val="left"/>
            </w:pPr>
            <w:r w:rsidRPr="00AD0647">
              <w:rPr>
                <w:b/>
              </w:rPr>
              <w:t>Lead Departmental/NITHC</w:t>
            </w:r>
          </w:p>
          <w:p w14:paraId="30949658" w14:textId="77777777" w:rsidR="002901B7" w:rsidRPr="00AD0647" w:rsidRDefault="002901B7" w:rsidP="002901B7">
            <w:pPr>
              <w:spacing w:after="0" w:line="240" w:lineRule="auto"/>
              <w:ind w:left="1" w:firstLine="0"/>
              <w:jc w:val="left"/>
            </w:pPr>
            <w:r w:rsidRPr="00AD0647">
              <w:rPr>
                <w:b/>
              </w:rPr>
              <w:t xml:space="preserve">Official </w:t>
            </w:r>
          </w:p>
        </w:tc>
      </w:tr>
      <w:tr w:rsidR="002901B7" w:rsidRPr="00AD0647" w14:paraId="1C35D0DD" w14:textId="77777777" w:rsidTr="00814919">
        <w:tblPrEx>
          <w:tblCellMar>
            <w:right w:w="41" w:type="dxa"/>
          </w:tblCellMar>
        </w:tblPrEx>
        <w:trPr>
          <w:trHeight w:val="1344"/>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76135" w14:textId="77777777" w:rsidR="002901B7" w:rsidRPr="00AD0647" w:rsidRDefault="002901B7" w:rsidP="002901B7">
            <w:pPr>
              <w:spacing w:after="0" w:line="240" w:lineRule="auto"/>
              <w:ind w:left="0" w:firstLine="0"/>
              <w:jc w:val="left"/>
            </w:pPr>
            <w:r w:rsidRPr="00AD0647">
              <w:rPr>
                <w:color w:val="auto"/>
              </w:rPr>
              <w:t>Statement of Funding Conditions for Bus Route Subsidy (BRS) and Public Service Obligations (PSO) Subsidy</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FB21" w14:textId="77777777" w:rsidR="002901B7" w:rsidRPr="00AD0647" w:rsidRDefault="002901B7" w:rsidP="002901B7">
            <w:pPr>
              <w:spacing w:after="0" w:line="240" w:lineRule="auto"/>
              <w:ind w:left="1" w:firstLine="0"/>
              <w:jc w:val="left"/>
              <w:rPr>
                <w:color w:val="auto"/>
              </w:rPr>
            </w:pPr>
            <w:r w:rsidRPr="00AD0647">
              <w:rPr>
                <w:color w:val="auto"/>
              </w:rPr>
              <w:t>Annually – by end of June</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08C3" w14:textId="77777777" w:rsidR="002901B7" w:rsidRPr="00AD0647" w:rsidRDefault="002901B7" w:rsidP="002901B7">
            <w:pPr>
              <w:spacing w:after="0" w:line="240" w:lineRule="auto"/>
              <w:ind w:left="1" w:firstLine="0"/>
              <w:jc w:val="left"/>
            </w:pPr>
            <w:r w:rsidRPr="00AD0647">
              <w:t>DfI Translink Sponsor Unit</w:t>
            </w:r>
          </w:p>
          <w:p w14:paraId="3EC810B5" w14:textId="77777777" w:rsidR="002901B7" w:rsidRPr="00AD0647" w:rsidRDefault="002901B7" w:rsidP="002901B7">
            <w:pPr>
              <w:spacing w:after="0" w:line="240" w:lineRule="auto"/>
              <w:ind w:left="1" w:firstLine="0"/>
              <w:jc w:val="left"/>
            </w:pPr>
          </w:p>
        </w:tc>
      </w:tr>
      <w:tr w:rsidR="002901B7" w:rsidRPr="00AD0647" w14:paraId="4701DF68" w14:textId="77777777" w:rsidTr="00814919">
        <w:tblPrEx>
          <w:tblCellMar>
            <w:right w:w="41" w:type="dxa"/>
          </w:tblCellMar>
        </w:tblPrEx>
        <w:trPr>
          <w:trHeight w:val="1344"/>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290A7" w14:textId="77777777" w:rsidR="002901B7" w:rsidRPr="00AD0647" w:rsidDel="006B5151" w:rsidRDefault="002901B7" w:rsidP="002901B7">
            <w:pPr>
              <w:spacing w:after="0" w:line="240" w:lineRule="auto"/>
              <w:ind w:left="0" w:firstLine="0"/>
              <w:jc w:val="left"/>
              <w:rPr>
                <w:color w:val="auto"/>
              </w:rPr>
            </w:pPr>
            <w:r w:rsidRPr="00AD0647">
              <w:rPr>
                <w:color w:val="auto"/>
              </w:rPr>
              <w:t>Monthly Cash Forecast</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40713" w14:textId="4C16D612" w:rsidR="002901B7" w:rsidRPr="00AD0647" w:rsidDel="006B5151" w:rsidRDefault="002901B7" w:rsidP="002901B7">
            <w:pPr>
              <w:spacing w:after="0" w:line="240" w:lineRule="auto"/>
              <w:ind w:left="0" w:firstLine="0"/>
              <w:jc w:val="left"/>
              <w:rPr>
                <w:color w:val="auto"/>
              </w:rPr>
            </w:pPr>
            <w:r w:rsidRPr="00AD0647">
              <w:rPr>
                <w:color w:val="auto"/>
              </w:rPr>
              <w:t>Monthly</w:t>
            </w:r>
            <w:r w:rsidRPr="00AD0647">
              <w:rPr>
                <w:color w:val="FF0000"/>
              </w:rPr>
              <w:t xml:space="preserve">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0246A" w14:textId="77777777" w:rsidR="002901B7" w:rsidRPr="00AD0647" w:rsidDel="006B5151" w:rsidRDefault="002901B7" w:rsidP="002901B7">
            <w:pPr>
              <w:spacing w:after="0" w:line="240" w:lineRule="auto"/>
              <w:ind w:left="1" w:firstLine="0"/>
              <w:jc w:val="left"/>
            </w:pPr>
            <w:r w:rsidRPr="00AD0647">
              <w:t>NITHC Finance Team</w:t>
            </w:r>
          </w:p>
        </w:tc>
      </w:tr>
      <w:tr w:rsidR="002901B7" w:rsidRPr="00AD0647" w14:paraId="178C4F87" w14:textId="77777777" w:rsidTr="00814919">
        <w:tblPrEx>
          <w:tblCellMar>
            <w:right w:w="41" w:type="dxa"/>
          </w:tblCellMar>
        </w:tblPrEx>
        <w:trPr>
          <w:trHeight w:val="885"/>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47E03" w14:textId="77777777" w:rsidR="002901B7" w:rsidRPr="00AD0647" w:rsidDel="006B5151" w:rsidRDefault="002901B7" w:rsidP="002901B7">
            <w:pPr>
              <w:spacing w:after="0" w:line="240" w:lineRule="auto"/>
              <w:ind w:left="0" w:firstLine="0"/>
              <w:jc w:val="left"/>
              <w:rPr>
                <w:color w:val="7030A0"/>
              </w:rPr>
            </w:pPr>
            <w:r w:rsidRPr="00AD0647">
              <w:rPr>
                <w:color w:val="auto"/>
              </w:rPr>
              <w:t>Monitoring Rounds Engagement</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FBC7" w14:textId="77777777" w:rsidR="002901B7" w:rsidRPr="00177F02" w:rsidDel="006B5151" w:rsidRDefault="002901B7" w:rsidP="002901B7">
            <w:pPr>
              <w:spacing w:after="0" w:line="240" w:lineRule="auto"/>
              <w:ind w:left="0" w:firstLine="0"/>
              <w:jc w:val="left"/>
              <w:rPr>
                <w:color w:val="auto"/>
              </w:rPr>
            </w:pPr>
            <w:r w:rsidRPr="00AD0647">
              <w:rPr>
                <w:color w:val="auto"/>
              </w:rPr>
              <w:t>May, September, December</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1CE19" w14:textId="77777777" w:rsidR="002901B7" w:rsidRPr="00AD0647" w:rsidDel="006B5151" w:rsidRDefault="002901B7" w:rsidP="002901B7">
            <w:pPr>
              <w:spacing w:after="0" w:line="240" w:lineRule="auto"/>
              <w:ind w:left="1" w:firstLine="0"/>
              <w:jc w:val="left"/>
            </w:pPr>
            <w:r w:rsidRPr="00AD0647">
              <w:t>DfI Translink Sponsor Unit/NITHC Finance Team</w:t>
            </w:r>
          </w:p>
        </w:tc>
      </w:tr>
      <w:tr w:rsidR="002901B7" w:rsidRPr="00AD0647" w14:paraId="74E11180" w14:textId="77777777" w:rsidTr="00814919">
        <w:tblPrEx>
          <w:tblCellMar>
            <w:right w:w="41" w:type="dxa"/>
          </w:tblCellMar>
        </w:tblPrEx>
        <w:trPr>
          <w:trHeight w:val="789"/>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3BB97" w14:textId="2CA7A89F" w:rsidR="002901B7" w:rsidRPr="00AD0647" w:rsidDel="006B5151" w:rsidRDefault="002901B7" w:rsidP="002901B7">
            <w:pPr>
              <w:spacing w:after="0" w:line="240" w:lineRule="auto"/>
              <w:ind w:left="0" w:firstLine="0"/>
              <w:jc w:val="left"/>
              <w:rPr>
                <w:color w:val="auto"/>
              </w:rPr>
            </w:pPr>
            <w:r w:rsidRPr="00AD0647">
              <w:rPr>
                <w:color w:val="auto"/>
              </w:rPr>
              <w:t>Estimates Engagement</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08FFB" w14:textId="7BF7C2E6" w:rsidR="002901B7" w:rsidRPr="00AD0647" w:rsidDel="006B5151" w:rsidRDefault="002901B7" w:rsidP="002901B7">
            <w:pPr>
              <w:spacing w:after="0" w:line="240" w:lineRule="auto"/>
              <w:ind w:left="0" w:firstLine="0"/>
              <w:jc w:val="left"/>
              <w:rPr>
                <w:color w:val="auto"/>
              </w:rPr>
            </w:pPr>
            <w:r w:rsidRPr="00AD0647">
              <w:rPr>
                <w:color w:val="auto"/>
              </w:rPr>
              <w:t>As required</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08167" w14:textId="77777777" w:rsidR="002901B7" w:rsidRPr="00AD0647" w:rsidDel="006B5151" w:rsidRDefault="002901B7" w:rsidP="002901B7">
            <w:pPr>
              <w:spacing w:after="0" w:line="240" w:lineRule="auto"/>
              <w:ind w:left="1" w:firstLine="0"/>
              <w:jc w:val="left"/>
            </w:pPr>
            <w:r w:rsidRPr="00AD0647">
              <w:t>DfI Translink Sponsor Unit/NITHC Finance Team</w:t>
            </w:r>
          </w:p>
        </w:tc>
      </w:tr>
      <w:tr w:rsidR="002901B7" w:rsidRPr="00AD0647" w14:paraId="7E095920" w14:textId="77777777" w:rsidTr="00814919">
        <w:tblPrEx>
          <w:tblCellMar>
            <w:right w:w="41" w:type="dxa"/>
          </w:tblCellMar>
        </w:tblPrEx>
        <w:trPr>
          <w:trHeight w:val="829"/>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94778" w14:textId="77777777" w:rsidR="002901B7" w:rsidRPr="00AD0647" w:rsidDel="006B5151" w:rsidRDefault="002901B7" w:rsidP="002901B7">
            <w:pPr>
              <w:spacing w:after="0" w:line="240" w:lineRule="auto"/>
              <w:ind w:left="0" w:firstLine="0"/>
              <w:jc w:val="left"/>
              <w:rPr>
                <w:color w:val="auto"/>
              </w:rPr>
            </w:pPr>
            <w:r w:rsidRPr="00AD0647">
              <w:rPr>
                <w:color w:val="auto"/>
              </w:rPr>
              <w:t>Provisional &amp; Final Outturn Engagement</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7BD0E" w14:textId="77777777" w:rsidR="002901B7" w:rsidRPr="00AD0647" w:rsidDel="006B5151" w:rsidRDefault="002901B7" w:rsidP="002901B7">
            <w:pPr>
              <w:spacing w:after="0" w:line="240" w:lineRule="auto"/>
              <w:ind w:left="0" w:firstLine="0"/>
              <w:jc w:val="left"/>
              <w:rPr>
                <w:color w:val="auto"/>
              </w:rPr>
            </w:pPr>
            <w:r w:rsidRPr="00AD0647">
              <w:rPr>
                <w:color w:val="auto"/>
              </w:rPr>
              <w:t>April &amp; July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CA2AC" w14:textId="77777777" w:rsidR="002901B7" w:rsidRPr="00AD0647" w:rsidDel="006B5151" w:rsidRDefault="002901B7" w:rsidP="002901B7">
            <w:pPr>
              <w:spacing w:after="0" w:line="240" w:lineRule="auto"/>
              <w:ind w:left="1" w:firstLine="0"/>
              <w:jc w:val="left"/>
            </w:pPr>
            <w:r w:rsidRPr="00AD0647">
              <w:t>DfI Translink Sponsor Unit/NITHC Finance Team</w:t>
            </w:r>
          </w:p>
        </w:tc>
      </w:tr>
      <w:tr w:rsidR="002901B7" w:rsidRPr="00AD0647" w14:paraId="081A4AE4" w14:textId="77777777" w:rsidTr="00814919">
        <w:tblPrEx>
          <w:tblCellMar>
            <w:right w:w="41" w:type="dxa"/>
          </w:tblCellMar>
        </w:tblPrEx>
        <w:trPr>
          <w:trHeight w:val="1344"/>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2D1E" w14:textId="0DE48991" w:rsidR="002901B7" w:rsidRPr="00AD0647" w:rsidRDefault="002901B7" w:rsidP="002901B7">
            <w:pPr>
              <w:spacing w:after="0" w:line="240" w:lineRule="auto"/>
              <w:ind w:left="0" w:firstLine="0"/>
              <w:jc w:val="left"/>
              <w:rPr>
                <w:color w:val="auto"/>
              </w:rPr>
            </w:pPr>
            <w:r w:rsidRPr="00AD0647">
              <w:rPr>
                <w:color w:val="auto"/>
              </w:rPr>
              <w:t>Submission of Claims for payment of BRS, Concessionary Fares, Other Revenue Grants, and Capital Payments</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8A18D" w14:textId="77777777" w:rsidR="002901B7" w:rsidRPr="00AD0647" w:rsidRDefault="002901B7" w:rsidP="002901B7">
            <w:pPr>
              <w:spacing w:after="0" w:line="240" w:lineRule="auto"/>
              <w:ind w:left="0" w:firstLine="0"/>
              <w:jc w:val="left"/>
              <w:rPr>
                <w:color w:val="auto"/>
              </w:rPr>
            </w:pPr>
            <w:r w:rsidRPr="00AD0647">
              <w:rPr>
                <w:color w:val="auto"/>
              </w:rPr>
              <w:t>Per Translink Financial Periods</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A8D44" w14:textId="77777777" w:rsidR="002901B7" w:rsidRPr="00AD0647" w:rsidRDefault="002901B7" w:rsidP="002901B7">
            <w:pPr>
              <w:spacing w:after="0" w:line="240" w:lineRule="auto"/>
              <w:ind w:left="1" w:firstLine="0"/>
              <w:jc w:val="left"/>
            </w:pPr>
            <w:r w:rsidRPr="00AD0647">
              <w:t>DfI Translink Sponsor Unit/NITHC Finance Team</w:t>
            </w:r>
          </w:p>
        </w:tc>
      </w:tr>
      <w:tr w:rsidR="002901B7" w:rsidRPr="00AD0647" w14:paraId="1767B237" w14:textId="77777777" w:rsidTr="00814919">
        <w:tblPrEx>
          <w:tblCellMar>
            <w:right w:w="41" w:type="dxa"/>
          </w:tblCellMar>
        </w:tblPrEx>
        <w:trPr>
          <w:trHeight w:val="864"/>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7B07E" w14:textId="77777777" w:rsidR="002901B7" w:rsidRPr="00AD0647" w:rsidRDefault="002901B7" w:rsidP="002901B7">
            <w:pPr>
              <w:spacing w:after="0" w:line="240" w:lineRule="auto"/>
              <w:ind w:left="0" w:firstLine="0"/>
              <w:jc w:val="left"/>
              <w:rPr>
                <w:color w:val="auto"/>
              </w:rPr>
            </w:pPr>
            <w:r w:rsidRPr="00AD0647">
              <w:rPr>
                <w:color w:val="auto"/>
              </w:rPr>
              <w:t>Annual Managed Expenditure Engagement</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ABD4B" w14:textId="77777777" w:rsidR="002901B7" w:rsidRPr="00AD0647" w:rsidRDefault="002901B7" w:rsidP="002901B7">
            <w:pPr>
              <w:spacing w:after="0" w:line="240" w:lineRule="auto"/>
              <w:ind w:left="0" w:firstLine="0"/>
              <w:jc w:val="left"/>
              <w:rPr>
                <w:color w:val="auto"/>
              </w:rPr>
            </w:pPr>
            <w:r w:rsidRPr="00AD0647">
              <w:rPr>
                <w:color w:val="auto"/>
              </w:rPr>
              <w:t>September &amp; January</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CD942" w14:textId="77777777" w:rsidR="002901B7" w:rsidRPr="00AD0647" w:rsidDel="006B5151" w:rsidRDefault="002901B7" w:rsidP="002901B7">
            <w:pPr>
              <w:spacing w:after="0" w:line="240" w:lineRule="auto"/>
              <w:ind w:left="1" w:firstLine="0"/>
              <w:jc w:val="left"/>
            </w:pPr>
            <w:r w:rsidRPr="00AD0647">
              <w:t>DfI Translink Sponsor Unit/NITHC Finance Team</w:t>
            </w:r>
          </w:p>
        </w:tc>
      </w:tr>
      <w:tr w:rsidR="002901B7" w:rsidRPr="00AD0647" w14:paraId="226E70BB" w14:textId="77777777" w:rsidTr="00814919">
        <w:tblPrEx>
          <w:tblCellMar>
            <w:right w:w="41" w:type="dxa"/>
          </w:tblCellMar>
        </w:tblPrEx>
        <w:trPr>
          <w:trHeight w:val="1344"/>
        </w:trPr>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C9790" w14:textId="77777777" w:rsidR="002901B7" w:rsidRPr="00AD0647" w:rsidRDefault="002901B7" w:rsidP="002901B7">
            <w:pPr>
              <w:spacing w:after="0" w:line="240" w:lineRule="auto"/>
              <w:ind w:left="0" w:firstLine="0"/>
              <w:jc w:val="left"/>
              <w:rPr>
                <w:color w:val="auto"/>
              </w:rPr>
            </w:pPr>
            <w:r w:rsidRPr="00AD0647">
              <w:rPr>
                <w:color w:val="auto"/>
              </w:rPr>
              <w:lastRenderedPageBreak/>
              <w:t>Annual letter of Assurance for Translink as Going Concern (audit considerations)</w:t>
            </w:r>
          </w:p>
        </w:tc>
        <w:tc>
          <w:tcPr>
            <w:tcW w:w="3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F2FE7" w14:textId="77777777" w:rsidR="002901B7" w:rsidRPr="00AD0647" w:rsidRDefault="002901B7" w:rsidP="002901B7">
            <w:pPr>
              <w:spacing w:after="0" w:line="240" w:lineRule="auto"/>
              <w:ind w:left="0" w:firstLine="0"/>
              <w:jc w:val="left"/>
              <w:rPr>
                <w:color w:val="auto"/>
              </w:rPr>
            </w:pPr>
            <w:r w:rsidRPr="00AD0647">
              <w:rPr>
                <w:color w:val="auto"/>
              </w:rPr>
              <w:t xml:space="preserve">As Required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A6D" w14:textId="77777777" w:rsidR="002901B7" w:rsidRPr="00AD0647" w:rsidRDefault="002901B7" w:rsidP="002901B7">
            <w:pPr>
              <w:spacing w:after="0" w:line="240" w:lineRule="auto"/>
              <w:ind w:left="1" w:firstLine="0"/>
              <w:jc w:val="left"/>
            </w:pPr>
            <w:r w:rsidRPr="00AD0647">
              <w:t>DfI Translink Sponsor Unit</w:t>
            </w:r>
          </w:p>
        </w:tc>
      </w:tr>
    </w:tbl>
    <w:p w14:paraId="468E42A5" w14:textId="56EE253A" w:rsidR="286001E4" w:rsidRDefault="286001E4"/>
    <w:p w14:paraId="57F488AD" w14:textId="7B65B8EC" w:rsidR="00AB2097" w:rsidRPr="00AD0647" w:rsidRDefault="00AB2097" w:rsidP="00AB2097">
      <w:pPr>
        <w:keepNext/>
        <w:keepLines/>
        <w:spacing w:after="0" w:line="259" w:lineRule="auto"/>
        <w:ind w:left="403"/>
        <w:jc w:val="left"/>
        <w:outlineLvl w:val="0"/>
        <w:rPr>
          <w:b/>
          <w:color w:val="374C80"/>
          <w:sz w:val="28"/>
        </w:rPr>
      </w:pPr>
    </w:p>
    <w:bookmarkEnd w:id="26"/>
    <w:p w14:paraId="7CBF3A06" w14:textId="77777777" w:rsidR="00AB2097" w:rsidRPr="00AD0647" w:rsidRDefault="00AB2097" w:rsidP="00AB2097"/>
    <w:p w14:paraId="7270BF5A" w14:textId="2F3AC6F7" w:rsidR="00AB2097" w:rsidRPr="00AD0647" w:rsidRDefault="00AB2097" w:rsidP="00D25DC8">
      <w:pPr>
        <w:spacing w:after="160" w:line="259" w:lineRule="auto"/>
        <w:ind w:left="0" w:firstLine="0"/>
        <w:jc w:val="left"/>
      </w:pPr>
      <w:r w:rsidRPr="00AD0647">
        <w:br w:type="page"/>
      </w:r>
      <w:r w:rsidRPr="00AD0647">
        <w:rPr>
          <w:b/>
          <w:color w:val="374C80"/>
          <w:sz w:val="28"/>
        </w:rPr>
        <w:lastRenderedPageBreak/>
        <w:t xml:space="preserve">Annex </w:t>
      </w:r>
      <w:r w:rsidR="00363211" w:rsidRPr="00AD0647">
        <w:rPr>
          <w:b/>
          <w:color w:val="374C80"/>
          <w:sz w:val="28"/>
        </w:rPr>
        <w:t>2</w:t>
      </w:r>
      <w:r w:rsidRPr="00AD0647">
        <w:rPr>
          <w:b/>
          <w:color w:val="374C80"/>
          <w:sz w:val="28"/>
        </w:rPr>
        <w:t xml:space="preserve"> - Delegations</w:t>
      </w:r>
      <w:r w:rsidRPr="00AD0647">
        <w:rPr>
          <w:rFonts w:ascii="Calibri" w:eastAsia="Calibri" w:hAnsi="Calibri" w:cs="Calibri"/>
          <w:noProof/>
          <w:sz w:val="22"/>
        </w:rPr>
        <mc:AlternateContent>
          <mc:Choice Requires="wpg">
            <w:drawing>
              <wp:inline distT="0" distB="0" distL="0" distR="0" wp14:anchorId="43B0801A" wp14:editId="652F4401">
                <wp:extent cx="5769610" cy="6096"/>
                <wp:effectExtent l="0" t="0" r="0" b="0"/>
                <wp:docPr id="5" name="Group 5"/>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6" name="Shape 3794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6E35B3EE" id="Group 5"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KDlEr46AgAAfwUAAA4AAAAAAAAAAAAA&#10;AAAALgIAAGRycy9lMm9Eb2MueG1sUEsBAi0AFAAGAAgAAAAhAINfLOvaAAAAAwEAAA8AAAAAAAAA&#10;AAAAAAAAlAQAAGRycy9kb3ducmV2LnhtbFBLBQYAAAAABAAEAPMAAACbBQAAAAA=&#10;">
                <v:shape id="Shape 37942"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" path="m,l5769610,r,9144l,9144,,e" fillcolor="#4a66ac" stroked="f" strokeweight="0">
                  <v:stroke miterlimit="83231f" joinstyle="miter"/>
                  <v:path arrowok="t" textboxrect="0,0,5769610,9144"/>
                </v:shape>
                <w10:anchorlock/>
              </v:group>
            </w:pict>
          </mc:Fallback>
        </mc:AlternateContent>
      </w:r>
    </w:p>
    <w:p w14:paraId="1CE0B074" w14:textId="409AE7C9" w:rsidR="00017CDA" w:rsidRPr="00AD0647" w:rsidRDefault="00EC7A11" w:rsidP="008B2300">
      <w:pPr>
        <w:rPr>
          <w:b/>
          <w:bCs/>
        </w:rPr>
      </w:pPr>
      <w:r w:rsidRPr="00AD0647">
        <w:t xml:space="preserve"> </w:t>
      </w:r>
    </w:p>
    <w:p w14:paraId="72DE23CF" w14:textId="77777777" w:rsidR="00017CDA" w:rsidRPr="00AD0647" w:rsidRDefault="00017CDA" w:rsidP="00017CDA">
      <w:pPr>
        <w:rPr>
          <w:b/>
          <w:bCs/>
        </w:rPr>
      </w:pPr>
      <w:r w:rsidRPr="00AD0647">
        <w:rPr>
          <w:b/>
          <w:bCs/>
        </w:rPr>
        <w:t xml:space="preserve">INTRODUCTION </w:t>
      </w:r>
    </w:p>
    <w:p w14:paraId="4F10BBF4" w14:textId="025F6558" w:rsidR="00017CDA" w:rsidRPr="00AD0647" w:rsidRDefault="00017CDA" w:rsidP="00017CDA">
      <w:r w:rsidRPr="00AD0647">
        <w:t>These Delegations shall not be altered without the prior agreement of DfI and, where applicable, DoF</w:t>
      </w:r>
      <w:r w:rsidR="004942C7" w:rsidRPr="00AD0647">
        <w:t xml:space="preserve">. </w:t>
      </w:r>
    </w:p>
    <w:p w14:paraId="50074DF1" w14:textId="77777777" w:rsidR="00017CDA" w:rsidRPr="00AD0647" w:rsidRDefault="00017CDA" w:rsidP="00017CDA">
      <w:r w:rsidRPr="00AD0647">
        <w:t xml:space="preserve">NITHC provides assurance that it has complied with these delegations in the bi-annual assurance statement from NITHC’s Accounting Officer to DfI. </w:t>
      </w:r>
    </w:p>
    <w:p w14:paraId="53EBAC6D" w14:textId="71A67818" w:rsidR="00AC7242" w:rsidRDefault="001363D3" w:rsidP="00017CDA">
      <w:pPr>
        <w:rPr>
          <w:rStyle w:val="CommentReference"/>
          <w:sz w:val="24"/>
          <w:szCs w:val="24"/>
        </w:rPr>
      </w:pPr>
      <w:r>
        <w:rPr>
          <w:rStyle w:val="CommentReference"/>
          <w:sz w:val="24"/>
          <w:szCs w:val="24"/>
        </w:rPr>
        <w:t>T</w:t>
      </w:r>
      <w:r w:rsidR="00D14004" w:rsidRPr="001363D3">
        <w:rPr>
          <w:rStyle w:val="CommentReference"/>
          <w:sz w:val="24"/>
          <w:szCs w:val="24"/>
        </w:rPr>
        <w:t>he parties will adhere to applicable DoF guidance which may be in force or issued in future regarding delegations.</w:t>
      </w:r>
    </w:p>
    <w:p w14:paraId="6C12EA49" w14:textId="4CA0E7DB" w:rsidR="00017CDA" w:rsidRPr="00AD0647" w:rsidRDefault="00017CDA" w:rsidP="00017CDA">
      <w:r w:rsidRPr="00AD0647">
        <w:t xml:space="preserve">These Delegations are divided into the following sections: </w:t>
      </w:r>
    </w:p>
    <w:p w14:paraId="2CB2D3C7" w14:textId="77777777" w:rsidR="00017CDA" w:rsidRPr="00AD0647" w:rsidRDefault="00017CDA" w:rsidP="00017CDA"/>
    <w:p w14:paraId="63734A70" w14:textId="5859621D" w:rsidR="00017CDA" w:rsidRPr="00AD0647" w:rsidRDefault="00017CDA" w:rsidP="00017CDA">
      <w:pPr>
        <w:rPr>
          <w:b/>
          <w:bCs/>
        </w:rPr>
      </w:pPr>
      <w:r w:rsidRPr="00AD0647">
        <w:rPr>
          <w:b/>
          <w:bCs/>
        </w:rPr>
        <w:t xml:space="preserve">SECTION A: General Delegated Authorities </w:t>
      </w:r>
    </w:p>
    <w:p w14:paraId="7815C9AC" w14:textId="77777777" w:rsidR="00017CDA" w:rsidRPr="00AD0647" w:rsidRDefault="00017CDA" w:rsidP="00017CDA">
      <w:pPr>
        <w:rPr>
          <w:b/>
          <w:bCs/>
        </w:rPr>
      </w:pPr>
    </w:p>
    <w:p w14:paraId="58FBA006" w14:textId="77777777" w:rsidR="00017CDA" w:rsidRPr="00AD0647" w:rsidRDefault="00017CDA" w:rsidP="00017CDA">
      <w:pPr>
        <w:rPr>
          <w:b/>
          <w:bCs/>
        </w:rPr>
      </w:pPr>
      <w:r w:rsidRPr="00AD0647">
        <w:rPr>
          <w:b/>
          <w:bCs/>
        </w:rPr>
        <w:t xml:space="preserve">SECTION B: NITHC Specific Delegated Authorities </w:t>
      </w:r>
    </w:p>
    <w:p w14:paraId="4836F141" w14:textId="77777777" w:rsidR="00017CDA" w:rsidRPr="00AD0647" w:rsidRDefault="00017CDA" w:rsidP="00017CDA">
      <w:pPr>
        <w:pStyle w:val="ListParagraph"/>
        <w:numPr>
          <w:ilvl w:val="0"/>
          <w:numId w:val="30"/>
        </w:numPr>
        <w:spacing w:after="160" w:line="259" w:lineRule="auto"/>
      </w:pPr>
      <w:r w:rsidRPr="00AD0647">
        <w:t xml:space="preserve">Compensation Claims </w:t>
      </w:r>
    </w:p>
    <w:p w14:paraId="7ED213BD" w14:textId="77777777" w:rsidR="00017CDA" w:rsidRPr="00AD0647" w:rsidRDefault="00017CDA" w:rsidP="00017CDA">
      <w:pPr>
        <w:pStyle w:val="ListParagraph"/>
        <w:numPr>
          <w:ilvl w:val="0"/>
          <w:numId w:val="30"/>
        </w:numPr>
        <w:spacing w:after="160" w:line="259" w:lineRule="auto"/>
      </w:pPr>
      <w:r w:rsidRPr="00AD0647">
        <w:t xml:space="preserve">Asset Disposals </w:t>
      </w:r>
    </w:p>
    <w:p w14:paraId="5C4C44A7" w14:textId="77777777" w:rsidR="00017CDA" w:rsidRPr="00AD0647" w:rsidRDefault="00017CDA" w:rsidP="00017CDA">
      <w:pPr>
        <w:pStyle w:val="ListParagraph"/>
        <w:numPr>
          <w:ilvl w:val="0"/>
          <w:numId w:val="30"/>
        </w:numPr>
        <w:spacing w:after="160" w:line="259" w:lineRule="auto"/>
      </w:pPr>
      <w:r w:rsidRPr="00AD0647">
        <w:t>Project Mandates, Business Cases and Post Project Evaluation</w:t>
      </w:r>
    </w:p>
    <w:p w14:paraId="74F29268" w14:textId="77777777" w:rsidR="00017CDA" w:rsidRPr="00AD0647" w:rsidRDefault="00017CDA" w:rsidP="00017CDA">
      <w:pPr>
        <w:pStyle w:val="ListParagraph"/>
        <w:numPr>
          <w:ilvl w:val="0"/>
          <w:numId w:val="30"/>
        </w:numPr>
        <w:spacing w:after="160" w:line="259" w:lineRule="auto"/>
      </w:pPr>
      <w:r w:rsidRPr="00AD0647">
        <w:t xml:space="preserve">Procurement </w:t>
      </w:r>
    </w:p>
    <w:p w14:paraId="07398C29" w14:textId="6F071A09" w:rsidR="00017CDA" w:rsidRPr="00AD0647" w:rsidRDefault="00017CDA" w:rsidP="00017CDA">
      <w:pPr>
        <w:pStyle w:val="ListParagraph"/>
        <w:numPr>
          <w:ilvl w:val="0"/>
          <w:numId w:val="30"/>
        </w:numPr>
        <w:spacing w:after="160" w:line="259" w:lineRule="auto"/>
      </w:pPr>
      <w:r w:rsidRPr="00AD0647">
        <w:t xml:space="preserve">Grant or Loan Schemes </w:t>
      </w:r>
    </w:p>
    <w:p w14:paraId="45C2AC34" w14:textId="77777777" w:rsidR="00017CDA" w:rsidRPr="00AD0647" w:rsidRDefault="00017CDA" w:rsidP="00017CDA">
      <w:pPr>
        <w:pStyle w:val="ListParagraph"/>
        <w:numPr>
          <w:ilvl w:val="0"/>
          <w:numId w:val="30"/>
        </w:numPr>
        <w:spacing w:after="160" w:line="259" w:lineRule="auto"/>
      </w:pPr>
      <w:r w:rsidRPr="00AD0647">
        <w:t>Financial Investments</w:t>
      </w:r>
    </w:p>
    <w:p w14:paraId="58552047" w14:textId="77777777" w:rsidR="00017CDA" w:rsidRPr="00AD0647" w:rsidRDefault="00017CDA" w:rsidP="00017CDA">
      <w:pPr>
        <w:pStyle w:val="ListParagraph"/>
        <w:numPr>
          <w:ilvl w:val="0"/>
          <w:numId w:val="30"/>
        </w:numPr>
        <w:spacing w:after="160" w:line="259" w:lineRule="auto"/>
      </w:pPr>
      <w:r w:rsidRPr="00AD0647">
        <w:t>NITHC Derogations (Previously Appendix 6 in MSFM)</w:t>
      </w:r>
    </w:p>
    <w:p w14:paraId="54C43861" w14:textId="77777777" w:rsidR="00017CDA" w:rsidRPr="00AD0647" w:rsidRDefault="00017CDA" w:rsidP="00017CDA">
      <w:pPr>
        <w:pStyle w:val="ListParagraph"/>
        <w:numPr>
          <w:ilvl w:val="0"/>
          <w:numId w:val="30"/>
        </w:numPr>
        <w:spacing w:after="160" w:line="259" w:lineRule="auto"/>
      </w:pPr>
      <w:r w:rsidRPr="00AD0647">
        <w:t xml:space="preserve">External Consultancy </w:t>
      </w:r>
    </w:p>
    <w:p w14:paraId="7713DEFB" w14:textId="77777777" w:rsidR="00BA65E5" w:rsidRPr="00AD0647" w:rsidRDefault="00BA65E5" w:rsidP="008B2300">
      <w:pPr>
        <w:ind w:left="0" w:firstLine="0"/>
        <w:rPr>
          <w:b/>
          <w:bCs/>
        </w:rPr>
      </w:pPr>
    </w:p>
    <w:p w14:paraId="2ABAAE3B" w14:textId="6AA9BF6F" w:rsidR="00AC7242" w:rsidRPr="00AD0647" w:rsidRDefault="00017CDA" w:rsidP="00AC7242">
      <w:r w:rsidRPr="00AD0647">
        <w:rPr>
          <w:b/>
          <w:bCs/>
        </w:rPr>
        <w:t>SECTION A: General Delegated Authorities </w:t>
      </w:r>
      <w:r w:rsidRPr="00AD0647">
        <w:t> </w:t>
      </w:r>
    </w:p>
    <w:p w14:paraId="531A3827" w14:textId="77777777" w:rsidR="00017CDA" w:rsidRDefault="00017CDA" w:rsidP="00017CDA">
      <w:r w:rsidRPr="00AD0647">
        <w:t xml:space="preserve">NITHC shall obtain DfI’s prior written approval before: </w:t>
      </w:r>
    </w:p>
    <w:p w14:paraId="6A5AFED2" w14:textId="77777777" w:rsidR="00AC7242" w:rsidRPr="00AD0647" w:rsidRDefault="00AC7242" w:rsidP="00017CDA"/>
    <w:p w14:paraId="2FE904B0" w14:textId="26468F8A" w:rsidR="00017CDA" w:rsidRPr="00AD0647" w:rsidRDefault="00017CDA" w:rsidP="00017CDA">
      <w:pPr>
        <w:pStyle w:val="ListParagraph"/>
        <w:numPr>
          <w:ilvl w:val="0"/>
          <w:numId w:val="32"/>
        </w:numPr>
        <w:spacing w:after="160" w:line="259" w:lineRule="auto"/>
      </w:pPr>
      <w:r w:rsidRPr="00AD0647">
        <w:t xml:space="preserve">entering into any undertaking to incur any expenditure that falls outside these delegations or which is not provided for in the NITHC annual budget as approved by DfI </w:t>
      </w:r>
      <w:r w:rsidR="00B4621A">
        <w:t xml:space="preserve">and </w:t>
      </w:r>
      <w:r w:rsidRPr="00AD0647">
        <w:t xml:space="preserve">that Departmental </w:t>
      </w:r>
      <w:r w:rsidR="00B4621A">
        <w:t>funding</w:t>
      </w:r>
      <w:r w:rsidR="00B4621A" w:rsidRPr="00AD0647">
        <w:t xml:space="preserve"> </w:t>
      </w:r>
      <w:r w:rsidRPr="00AD0647">
        <w:t>may be sought in respect of such items;</w:t>
      </w:r>
    </w:p>
    <w:p w14:paraId="1965A995" w14:textId="77777777" w:rsidR="00017CDA" w:rsidRPr="00AD0647" w:rsidRDefault="00017CDA" w:rsidP="00017CDA">
      <w:pPr>
        <w:pStyle w:val="ListParagraph"/>
      </w:pPr>
    </w:p>
    <w:p w14:paraId="6C278434" w14:textId="77777777" w:rsidR="00017CDA" w:rsidRPr="00AD0647" w:rsidRDefault="00017CDA" w:rsidP="00017CDA">
      <w:pPr>
        <w:pStyle w:val="ListParagraph"/>
        <w:numPr>
          <w:ilvl w:val="0"/>
          <w:numId w:val="32"/>
        </w:numPr>
        <w:spacing w:after="160" w:line="259" w:lineRule="auto"/>
      </w:pPr>
      <w:r w:rsidRPr="00AD0647">
        <w:t>incurring expenditure for any purpose that is or might be considered novel or contentious, or which has or could have significant future cost implications;</w:t>
      </w:r>
    </w:p>
    <w:p w14:paraId="4307BF3E" w14:textId="77777777" w:rsidR="00017CDA" w:rsidRPr="00AD0647" w:rsidRDefault="00017CDA" w:rsidP="00017CDA">
      <w:pPr>
        <w:pStyle w:val="ListParagraph"/>
      </w:pPr>
    </w:p>
    <w:p w14:paraId="1B408D36" w14:textId="77777777" w:rsidR="00017CDA" w:rsidRPr="00AD0647" w:rsidRDefault="00017CDA" w:rsidP="00017CDA">
      <w:pPr>
        <w:pStyle w:val="ListParagraph"/>
        <w:numPr>
          <w:ilvl w:val="0"/>
          <w:numId w:val="32"/>
        </w:numPr>
        <w:spacing w:after="160" w:line="259" w:lineRule="auto"/>
      </w:pPr>
      <w:r w:rsidRPr="00AD0647">
        <w:t>making any significant change in the scale of operation or funding of any initiative or particular scheme previously approved by DfI;</w:t>
      </w:r>
    </w:p>
    <w:p w14:paraId="1676025F" w14:textId="77777777" w:rsidR="00017CDA" w:rsidRPr="00AD0647" w:rsidRDefault="00017CDA" w:rsidP="00017CDA">
      <w:pPr>
        <w:pStyle w:val="ListParagraph"/>
      </w:pPr>
    </w:p>
    <w:p w14:paraId="4845C15D" w14:textId="77777777" w:rsidR="00017CDA" w:rsidRPr="00AD0647" w:rsidRDefault="00017CDA" w:rsidP="00017CDA">
      <w:pPr>
        <w:pStyle w:val="ListParagraph"/>
        <w:numPr>
          <w:ilvl w:val="0"/>
          <w:numId w:val="32"/>
        </w:numPr>
        <w:spacing w:after="160" w:line="259" w:lineRule="auto"/>
      </w:pPr>
      <w:r w:rsidRPr="00AD0647">
        <w:lastRenderedPageBreak/>
        <w:t>making any change of policy or practice which has wider financial implications that might prove repercussive, or which might significantly affect the future level of resources required;</w:t>
      </w:r>
    </w:p>
    <w:p w14:paraId="3717F83C" w14:textId="77777777" w:rsidR="00017CDA" w:rsidRPr="00AD0647" w:rsidRDefault="00017CDA" w:rsidP="00017CDA">
      <w:pPr>
        <w:pStyle w:val="ListParagraph"/>
      </w:pPr>
    </w:p>
    <w:p w14:paraId="2D9ADB68" w14:textId="33CF0FE8" w:rsidR="00017CDA" w:rsidRPr="00AD0647" w:rsidRDefault="00017CDA" w:rsidP="00017CDA">
      <w:pPr>
        <w:pStyle w:val="ListParagraph"/>
        <w:numPr>
          <w:ilvl w:val="0"/>
          <w:numId w:val="32"/>
        </w:numPr>
        <w:spacing w:after="160" w:line="259" w:lineRule="auto"/>
      </w:pPr>
      <w:r w:rsidRPr="00AD0647">
        <w:t xml:space="preserve">creating policies that conflict with the principles, rules, guidance and advice in MPMNI with the exception of those derogations from MPMNI outlined at Section B part </w:t>
      </w:r>
      <w:r w:rsidR="008E58AB">
        <w:t>7</w:t>
      </w:r>
      <w:r w:rsidR="00D25DC8">
        <w:t xml:space="preserve"> </w:t>
      </w:r>
      <w:r w:rsidRPr="00AD0647">
        <w:t xml:space="preserve">of this Annex. </w:t>
      </w:r>
    </w:p>
    <w:p w14:paraId="1B7C5074" w14:textId="77777777" w:rsidR="00017CDA" w:rsidRPr="00AD0647" w:rsidRDefault="00017CDA" w:rsidP="008B2300">
      <w:pPr>
        <w:spacing w:after="160" w:line="259" w:lineRule="auto"/>
        <w:ind w:left="0" w:firstLine="0"/>
      </w:pPr>
    </w:p>
    <w:p w14:paraId="32BF5C60" w14:textId="3BC15588" w:rsidR="00017CDA" w:rsidRPr="00AD0647" w:rsidRDefault="00017CDA" w:rsidP="008B2300">
      <w:r w:rsidRPr="00AD0647">
        <w:rPr>
          <w:b/>
          <w:bCs/>
        </w:rPr>
        <w:t>SECTION B: NITHC Specific Delegated Authorities </w:t>
      </w:r>
      <w:r w:rsidRPr="00AD0647">
        <w:t> </w:t>
      </w:r>
    </w:p>
    <w:p w14:paraId="7247AB09" w14:textId="77777777" w:rsidR="00017CDA" w:rsidRPr="00AD0647" w:rsidRDefault="00017CDA" w:rsidP="00017CDA">
      <w:r w:rsidRPr="00AD0647">
        <w:rPr>
          <w:b/>
          <w:bCs/>
        </w:rPr>
        <w:t> 1.</w:t>
      </w:r>
      <w:r w:rsidRPr="00AD0647">
        <w:rPr>
          <w:b/>
          <w:bCs/>
        </w:rPr>
        <w:tab/>
        <w:t>Compensation claims </w:t>
      </w:r>
    </w:p>
    <w:tbl>
      <w:tblPr>
        <w:tblStyle w:val="TableGrid"/>
        <w:tblpPr w:leftFromText="180" w:rightFromText="180" w:vertAnchor="text" w:horzAnchor="page" w:tblpX="1997" w:tblpY="294"/>
        <w:tblW w:w="8789" w:type="dxa"/>
        <w:tblLook w:val="04A0" w:firstRow="1" w:lastRow="0" w:firstColumn="1" w:lastColumn="0" w:noHBand="0" w:noVBand="1"/>
      </w:tblPr>
      <w:tblGrid>
        <w:gridCol w:w="7168"/>
        <w:gridCol w:w="1621"/>
      </w:tblGrid>
      <w:tr w:rsidR="00017CDA" w:rsidRPr="00AD0647" w14:paraId="16781555" w14:textId="77777777" w:rsidTr="003B1EDC">
        <w:tc>
          <w:tcPr>
            <w:tcW w:w="7513" w:type="dxa"/>
          </w:tcPr>
          <w:p w14:paraId="42796225" w14:textId="0B38C06F" w:rsidR="00017CDA" w:rsidRPr="00AD0647" w:rsidRDefault="00017CDA" w:rsidP="003B1EDC">
            <w:pPr>
              <w:rPr>
                <w:b/>
                <w:bCs/>
              </w:rPr>
            </w:pPr>
            <w:bookmarkStart w:id="27" w:name="_Hlk106110234"/>
            <w:r w:rsidRPr="00AD0647">
              <w:rPr>
                <w:b/>
                <w:bCs/>
              </w:rPr>
              <w:t xml:space="preserve">Type / Value </w:t>
            </w:r>
          </w:p>
        </w:tc>
        <w:tc>
          <w:tcPr>
            <w:tcW w:w="1276" w:type="dxa"/>
          </w:tcPr>
          <w:p w14:paraId="45B6F23E" w14:textId="77777777" w:rsidR="00017CDA" w:rsidRPr="00AD0647" w:rsidRDefault="00017CDA" w:rsidP="003B1EDC">
            <w:pPr>
              <w:rPr>
                <w:b/>
                <w:bCs/>
              </w:rPr>
            </w:pPr>
            <w:r w:rsidRPr="00AD0647">
              <w:rPr>
                <w:b/>
                <w:bCs/>
              </w:rPr>
              <w:t>Approver</w:t>
            </w:r>
          </w:p>
        </w:tc>
      </w:tr>
      <w:tr w:rsidR="00017CDA" w:rsidRPr="00AD0647" w14:paraId="60ADB0F0" w14:textId="77777777" w:rsidTr="003B1EDC">
        <w:tc>
          <w:tcPr>
            <w:tcW w:w="7513" w:type="dxa"/>
          </w:tcPr>
          <w:p w14:paraId="17D72B6F" w14:textId="592C3411" w:rsidR="00017CDA" w:rsidRPr="00AD0647" w:rsidRDefault="00017CDA" w:rsidP="003B1EDC">
            <w:r w:rsidRPr="00AD0647">
              <w:t>Individual compensation claims greater than £250,000, even when due under legal obligation</w:t>
            </w:r>
          </w:p>
          <w:p w14:paraId="34A9F4BA" w14:textId="77777777" w:rsidR="00017CDA" w:rsidRPr="00AD0647" w:rsidRDefault="00017CDA" w:rsidP="003B1EDC"/>
        </w:tc>
        <w:tc>
          <w:tcPr>
            <w:tcW w:w="1276" w:type="dxa"/>
          </w:tcPr>
          <w:p w14:paraId="771E4E45" w14:textId="77777777" w:rsidR="00017CDA" w:rsidRPr="00AD0647" w:rsidRDefault="00017CDA" w:rsidP="003B1EDC">
            <w:r w:rsidRPr="00AD0647">
              <w:t xml:space="preserve">DfI </w:t>
            </w:r>
          </w:p>
        </w:tc>
      </w:tr>
      <w:tr w:rsidR="00017CDA" w:rsidRPr="00AD0647" w14:paraId="76BED71C" w14:textId="77777777" w:rsidTr="003B1EDC">
        <w:tc>
          <w:tcPr>
            <w:tcW w:w="7513" w:type="dxa"/>
          </w:tcPr>
          <w:p w14:paraId="0269DB68" w14:textId="0FD645F9" w:rsidR="00017CDA" w:rsidRPr="00AD0647" w:rsidRDefault="00017CDA" w:rsidP="003B1EDC">
            <w:r w:rsidRPr="00AD0647">
              <w:t xml:space="preserve">Claims for loss or damage to an employee’s personal property equal to or greater than £100,000 </w:t>
            </w:r>
          </w:p>
          <w:p w14:paraId="3212CDB1" w14:textId="77777777" w:rsidR="00017CDA" w:rsidRPr="00AD0647" w:rsidRDefault="00017CDA" w:rsidP="003B1EDC"/>
        </w:tc>
        <w:tc>
          <w:tcPr>
            <w:tcW w:w="1276" w:type="dxa"/>
          </w:tcPr>
          <w:p w14:paraId="1669DFE3" w14:textId="77777777" w:rsidR="00017CDA" w:rsidRPr="00AD0647" w:rsidRDefault="00017CDA" w:rsidP="003B1EDC">
            <w:r w:rsidRPr="00AD0647">
              <w:t xml:space="preserve">DfI </w:t>
            </w:r>
          </w:p>
        </w:tc>
      </w:tr>
      <w:tr w:rsidR="00017CDA" w:rsidRPr="00AD0647" w14:paraId="56AB0AF9" w14:textId="77777777" w:rsidTr="003B1EDC">
        <w:tc>
          <w:tcPr>
            <w:tcW w:w="7513" w:type="dxa"/>
          </w:tcPr>
          <w:p w14:paraId="124F5099" w14:textId="4980B028" w:rsidR="00017CDA" w:rsidRPr="00AD0647" w:rsidRDefault="00017CDA" w:rsidP="003B1EDC">
            <w:r w:rsidRPr="00AD0647">
              <w:t xml:space="preserve">Compensation payments for severance or inefficiency are calculated in accordance with scheme and terms and conditions. Any additional monies in excess of these calculations are deemed ‘novel and contentious’ </w:t>
            </w:r>
          </w:p>
          <w:p w14:paraId="07D3C824" w14:textId="77777777" w:rsidR="00017CDA" w:rsidRPr="00AD0647" w:rsidRDefault="00017CDA" w:rsidP="003B1EDC"/>
        </w:tc>
        <w:tc>
          <w:tcPr>
            <w:tcW w:w="1276" w:type="dxa"/>
          </w:tcPr>
          <w:p w14:paraId="62B1B649" w14:textId="77777777" w:rsidR="00017CDA" w:rsidRPr="00AD0647" w:rsidRDefault="00017CDA" w:rsidP="003B1EDC">
            <w:r w:rsidRPr="00AD0647">
              <w:t>DfI/DoF</w:t>
            </w:r>
          </w:p>
        </w:tc>
      </w:tr>
      <w:bookmarkEnd w:id="27"/>
    </w:tbl>
    <w:p w14:paraId="7AD0E758" w14:textId="77777777" w:rsidR="00017CDA" w:rsidRPr="00AD0647" w:rsidRDefault="00017CDA" w:rsidP="00017CDA"/>
    <w:p w14:paraId="3B480298" w14:textId="77777777" w:rsidR="00017CDA" w:rsidRPr="00AD0647" w:rsidRDefault="00017CDA" w:rsidP="00017CDA"/>
    <w:p w14:paraId="54986326" w14:textId="77777777" w:rsidR="00017CDA" w:rsidRPr="00AD0647" w:rsidRDefault="00017CDA" w:rsidP="00017CDA"/>
    <w:p w14:paraId="75209227" w14:textId="77777777" w:rsidR="00017CDA" w:rsidRPr="00AD0647" w:rsidRDefault="00017CDA" w:rsidP="00017CDA"/>
    <w:p w14:paraId="7D93CAD7" w14:textId="77777777" w:rsidR="00017CDA" w:rsidRPr="00AD0647" w:rsidRDefault="00017CDA" w:rsidP="00017CDA"/>
    <w:p w14:paraId="29D990DE" w14:textId="77777777" w:rsidR="00017CDA" w:rsidRPr="00AD0647" w:rsidRDefault="00017CDA" w:rsidP="00017CDA"/>
    <w:p w14:paraId="1A976ABE" w14:textId="77777777" w:rsidR="00017CDA" w:rsidRPr="00AD0647" w:rsidRDefault="00017CDA" w:rsidP="00017CDA"/>
    <w:p w14:paraId="3DE6C98C" w14:textId="77777777" w:rsidR="00017CDA" w:rsidRPr="00AD0647" w:rsidRDefault="00017CDA" w:rsidP="00017CDA"/>
    <w:p w14:paraId="7E0C1165" w14:textId="7DB55824" w:rsidR="00017CDA" w:rsidRPr="00AD0647" w:rsidRDefault="00017CDA" w:rsidP="00017CDA">
      <w:r w:rsidRPr="00AD0647">
        <w:tab/>
      </w:r>
    </w:p>
    <w:p w14:paraId="2FA7FF75" w14:textId="77777777" w:rsidR="00017CDA" w:rsidRPr="00AD0647" w:rsidRDefault="00017CDA" w:rsidP="00017CDA"/>
    <w:p w14:paraId="2636A80E" w14:textId="77777777" w:rsidR="00017CDA" w:rsidRPr="00AD0647" w:rsidRDefault="00017CDA" w:rsidP="00017CDA"/>
    <w:p w14:paraId="56C4B293" w14:textId="77777777" w:rsidR="00017CDA" w:rsidRPr="00AD0647" w:rsidRDefault="00017CDA" w:rsidP="00017CDA"/>
    <w:p w14:paraId="4D23971D" w14:textId="77777777" w:rsidR="00017CDA" w:rsidRPr="00AD0647" w:rsidRDefault="00017CDA" w:rsidP="00017CDA"/>
    <w:p w14:paraId="7E4CCC61" w14:textId="77777777" w:rsidR="00017CDA" w:rsidRPr="00AD0647" w:rsidRDefault="00017CDA" w:rsidP="00017CDA"/>
    <w:p w14:paraId="4694BFF5" w14:textId="66F0ECFB" w:rsidR="00955109" w:rsidRPr="00AD0647" w:rsidRDefault="00955109" w:rsidP="00955109">
      <w:r>
        <w:rPr>
          <w:b/>
          <w:bCs/>
        </w:rPr>
        <w:t>2.</w:t>
      </w:r>
      <w:r w:rsidR="00C90369">
        <w:rPr>
          <w:b/>
          <w:bCs/>
        </w:rPr>
        <w:tab/>
      </w:r>
      <w:r w:rsidR="00017CDA" w:rsidRPr="00AD0647">
        <w:rPr>
          <w:b/>
          <w:bCs/>
        </w:rPr>
        <w:t>Asset Disposals</w:t>
      </w:r>
      <w:r w:rsidR="00017CDA" w:rsidRPr="00AD0647">
        <w:t> </w:t>
      </w:r>
    </w:p>
    <w:p w14:paraId="719361E7" w14:textId="2D3506F5" w:rsidR="00017CDA" w:rsidRPr="00955109" w:rsidRDefault="00017CDA" w:rsidP="00C90369">
      <w:pPr>
        <w:ind w:firstLine="372"/>
      </w:pPr>
      <w:r w:rsidRPr="00AD0647">
        <w:rPr>
          <w:b/>
          <w:bCs/>
        </w:rPr>
        <w:t xml:space="preserve">General </w:t>
      </w:r>
    </w:p>
    <w:p w14:paraId="3E1FBD4D" w14:textId="0581796E" w:rsidR="00017CDA" w:rsidRDefault="00017CDA" w:rsidP="00C90369">
      <w:pPr>
        <w:ind w:left="1440" w:hanging="720"/>
      </w:pPr>
      <w:r w:rsidRPr="00AD0647">
        <w:t>2.1</w:t>
      </w:r>
      <w:r w:rsidRPr="00AD0647">
        <w:tab/>
        <w:t>Asset management and disposal should be managed in accordance with Chapter 4.10 and Annex 4.8 of MPMNI. </w:t>
      </w:r>
    </w:p>
    <w:p w14:paraId="531C2795" w14:textId="77777777" w:rsidR="00D33774" w:rsidRPr="00AD0647" w:rsidRDefault="00D33774" w:rsidP="00C90369">
      <w:pPr>
        <w:ind w:left="1440" w:hanging="720"/>
      </w:pPr>
    </w:p>
    <w:p w14:paraId="62ADF97A" w14:textId="4A9B048E" w:rsidR="00017CDA" w:rsidRDefault="00017CDA" w:rsidP="00C90369">
      <w:pPr>
        <w:ind w:left="1440" w:hanging="720"/>
      </w:pPr>
      <w:r w:rsidRPr="00AD0647">
        <w:t>2.2</w:t>
      </w:r>
      <w:r w:rsidRPr="00AD0647">
        <w:tab/>
        <w:t>All receipts derived from the sale of assets (including grant financed assets, see below) must be declared to DfI</w:t>
      </w:r>
      <w:r w:rsidR="00B82DDC">
        <w:t>.</w:t>
      </w:r>
      <w:r w:rsidR="00D33774">
        <w:t xml:space="preserve"> </w:t>
      </w:r>
    </w:p>
    <w:p w14:paraId="72065F86" w14:textId="77777777" w:rsidR="00C90369" w:rsidRPr="00AD0647" w:rsidRDefault="00C90369" w:rsidP="00C90369">
      <w:pPr>
        <w:ind w:left="1440" w:hanging="720"/>
      </w:pPr>
    </w:p>
    <w:p w14:paraId="578D0A5B" w14:textId="2E1B2B42" w:rsidR="00017CDA" w:rsidRDefault="00017CDA" w:rsidP="00C90369">
      <w:pPr>
        <w:ind w:left="1440" w:hanging="720"/>
      </w:pPr>
      <w:r w:rsidRPr="00AD0647">
        <w:t>2.3</w:t>
      </w:r>
      <w:r w:rsidRPr="00AD0647">
        <w:tab/>
        <w:t>An Asset Disposal Statement should be prepared and submitted quarterly to DfI</w:t>
      </w:r>
      <w:r w:rsidR="008946FC">
        <w:t xml:space="preserve"> and </w:t>
      </w:r>
      <w:r w:rsidR="007B3BF9">
        <w:t>correspond with</w:t>
      </w:r>
      <w:r w:rsidR="008946FC">
        <w:t xml:space="preserve"> the asset schedule</w:t>
      </w:r>
      <w:r w:rsidR="003B57F2">
        <w:t xml:space="preserve"> </w:t>
      </w:r>
      <w:r w:rsidRPr="00AD0647">
        <w:t xml:space="preserve">in </w:t>
      </w:r>
      <w:r w:rsidR="008946FC">
        <w:t xml:space="preserve">the </w:t>
      </w:r>
      <w:r w:rsidRPr="00AD0647">
        <w:t>year-end Accounts. </w:t>
      </w:r>
    </w:p>
    <w:p w14:paraId="1A5BA90A" w14:textId="77777777" w:rsidR="008946FC" w:rsidRDefault="008946FC" w:rsidP="00C90369">
      <w:pPr>
        <w:ind w:left="1440" w:hanging="720"/>
      </w:pPr>
    </w:p>
    <w:p w14:paraId="5B9C860F" w14:textId="6D69FD32" w:rsidR="008946FC" w:rsidRDefault="008946FC" w:rsidP="00C90369">
      <w:pPr>
        <w:ind w:left="1440" w:hanging="720"/>
      </w:pPr>
      <w:r>
        <w:lastRenderedPageBreak/>
        <w:t>2.4</w:t>
      </w:r>
      <w:r>
        <w:tab/>
        <w:t>NITHC is required to seek approval for the following property and non-property disposals</w:t>
      </w:r>
      <w:r w:rsidR="00D33774">
        <w:t>.</w:t>
      </w:r>
      <w:r>
        <w:t xml:space="preserve"> </w:t>
      </w:r>
    </w:p>
    <w:tbl>
      <w:tblPr>
        <w:tblStyle w:val="TableGrid"/>
        <w:tblpPr w:leftFromText="180" w:rightFromText="180" w:vertAnchor="text" w:horzAnchor="page" w:tblpX="2092" w:tblpY="247"/>
        <w:tblW w:w="8784" w:type="dxa"/>
        <w:tblLook w:val="04A0" w:firstRow="1" w:lastRow="0" w:firstColumn="1" w:lastColumn="0" w:noHBand="0" w:noVBand="1"/>
      </w:tblPr>
      <w:tblGrid>
        <w:gridCol w:w="7163"/>
        <w:gridCol w:w="1621"/>
      </w:tblGrid>
      <w:tr w:rsidR="00F2795D" w:rsidRPr="00AD0647" w14:paraId="3C51FEBC" w14:textId="77777777" w:rsidTr="00F2795D">
        <w:trPr>
          <w:trHeight w:val="414"/>
        </w:trPr>
        <w:tc>
          <w:tcPr>
            <w:tcW w:w="7163" w:type="dxa"/>
          </w:tcPr>
          <w:p w14:paraId="10E13DEF" w14:textId="7AF97EC1" w:rsidR="00F2795D" w:rsidRPr="00AD0647" w:rsidRDefault="00F2795D" w:rsidP="00F2795D">
            <w:pPr>
              <w:ind w:left="10"/>
              <w:rPr>
                <w:b/>
                <w:bCs/>
              </w:rPr>
            </w:pPr>
            <w:r>
              <w:rPr>
                <w:b/>
                <w:bCs/>
              </w:rPr>
              <w:t xml:space="preserve">Market </w:t>
            </w:r>
            <w:r w:rsidRPr="00AD0647">
              <w:rPr>
                <w:b/>
                <w:bCs/>
              </w:rPr>
              <w:t>Asset Value</w:t>
            </w:r>
          </w:p>
        </w:tc>
        <w:tc>
          <w:tcPr>
            <w:tcW w:w="1621" w:type="dxa"/>
          </w:tcPr>
          <w:p w14:paraId="2C11A775" w14:textId="77777777" w:rsidR="00F2795D" w:rsidRPr="00AD0647" w:rsidRDefault="00F2795D" w:rsidP="00F2795D">
            <w:pPr>
              <w:ind w:left="10"/>
              <w:jc w:val="left"/>
              <w:rPr>
                <w:b/>
                <w:bCs/>
              </w:rPr>
            </w:pPr>
            <w:r w:rsidRPr="00AD0647">
              <w:rPr>
                <w:b/>
                <w:bCs/>
              </w:rPr>
              <w:t>Approver</w:t>
            </w:r>
          </w:p>
        </w:tc>
      </w:tr>
      <w:tr w:rsidR="00F2795D" w:rsidRPr="00AD0647" w14:paraId="3A9B26C8" w14:textId="77777777" w:rsidTr="00F2795D">
        <w:trPr>
          <w:trHeight w:val="561"/>
        </w:trPr>
        <w:tc>
          <w:tcPr>
            <w:tcW w:w="7163" w:type="dxa"/>
          </w:tcPr>
          <w:p w14:paraId="30A633DC" w14:textId="77777777" w:rsidR="00F2795D" w:rsidRPr="00C90369" w:rsidRDefault="00F2795D" w:rsidP="00F2795D">
            <w:pPr>
              <w:ind w:left="10"/>
            </w:pPr>
            <w:r w:rsidRPr="00AD0647">
              <w:t>£100 - £250k</w:t>
            </w:r>
          </w:p>
        </w:tc>
        <w:tc>
          <w:tcPr>
            <w:tcW w:w="1621" w:type="dxa"/>
          </w:tcPr>
          <w:p w14:paraId="73205649" w14:textId="77777777" w:rsidR="00F2795D" w:rsidRPr="00AD0647" w:rsidRDefault="00F2795D" w:rsidP="00F2795D">
            <w:pPr>
              <w:ind w:left="10"/>
              <w:jc w:val="left"/>
              <w:rPr>
                <w:b/>
                <w:bCs/>
              </w:rPr>
            </w:pPr>
            <w:r w:rsidRPr="00AD0647">
              <w:t xml:space="preserve">DfI  </w:t>
            </w:r>
          </w:p>
        </w:tc>
      </w:tr>
      <w:tr w:rsidR="00F2795D" w:rsidRPr="00AD0647" w14:paraId="76DDE19C" w14:textId="77777777" w:rsidTr="00F2795D">
        <w:trPr>
          <w:trHeight w:val="413"/>
        </w:trPr>
        <w:tc>
          <w:tcPr>
            <w:tcW w:w="7163" w:type="dxa"/>
          </w:tcPr>
          <w:p w14:paraId="6D2B8EA9" w14:textId="1947A94D" w:rsidR="00F2795D" w:rsidRPr="00AD0647" w:rsidRDefault="00F2795D" w:rsidP="00F2795D">
            <w:pPr>
              <w:ind w:left="10"/>
            </w:pPr>
            <w:r w:rsidRPr="00AD0647">
              <w:t>Greater than £250k</w:t>
            </w:r>
            <w:r w:rsidR="00D33774">
              <w:t>*</w:t>
            </w:r>
            <w:r w:rsidRPr="00AD0647">
              <w:t xml:space="preserve"> </w:t>
            </w:r>
          </w:p>
        </w:tc>
        <w:tc>
          <w:tcPr>
            <w:tcW w:w="1621" w:type="dxa"/>
          </w:tcPr>
          <w:p w14:paraId="3B0CD897" w14:textId="77777777" w:rsidR="00F2795D" w:rsidRPr="00AD0647" w:rsidRDefault="00F2795D" w:rsidP="00F2795D">
            <w:pPr>
              <w:ind w:left="10"/>
              <w:jc w:val="left"/>
            </w:pPr>
            <w:r w:rsidRPr="00AD0647">
              <w:t xml:space="preserve">DfI &amp; DoF </w:t>
            </w:r>
          </w:p>
        </w:tc>
      </w:tr>
    </w:tbl>
    <w:p w14:paraId="3D680672" w14:textId="77777777" w:rsidR="00C90369" w:rsidRDefault="00C90369" w:rsidP="00C90369">
      <w:pPr>
        <w:ind w:left="1440" w:hanging="720"/>
      </w:pPr>
    </w:p>
    <w:p w14:paraId="4AB7E732" w14:textId="77777777" w:rsidR="00C90369" w:rsidRDefault="00C90369" w:rsidP="00C90369"/>
    <w:p w14:paraId="46F0EAC0" w14:textId="77777777" w:rsidR="00C90369" w:rsidRDefault="00C90369" w:rsidP="00C90369">
      <w:pPr>
        <w:ind w:left="1440" w:hanging="720"/>
      </w:pPr>
    </w:p>
    <w:p w14:paraId="246E63BE" w14:textId="77777777" w:rsidR="00C90369" w:rsidRDefault="00C90369" w:rsidP="00C90369">
      <w:pPr>
        <w:ind w:left="0" w:firstLine="0"/>
      </w:pPr>
    </w:p>
    <w:p w14:paraId="6A1760DD" w14:textId="77777777" w:rsidR="00F2795D" w:rsidRDefault="00F2795D" w:rsidP="00C90369">
      <w:pPr>
        <w:ind w:left="0" w:firstLine="0"/>
      </w:pPr>
    </w:p>
    <w:p w14:paraId="7AB3C3AA" w14:textId="09C00340" w:rsidR="00D33774" w:rsidRDefault="00D33774" w:rsidP="00D33774">
      <w:pPr>
        <w:pStyle w:val="ListParagraph"/>
        <w:ind w:left="1319" w:firstLine="0"/>
      </w:pPr>
      <w:r>
        <w:t>* there is currently no de-minimis in place for DoF approval but once a new limit is introduced this will apply.</w:t>
      </w:r>
    </w:p>
    <w:p w14:paraId="264976C8" w14:textId="77777777" w:rsidR="00D33774" w:rsidRDefault="00D33774" w:rsidP="00D33774">
      <w:pPr>
        <w:pStyle w:val="ListParagraph"/>
        <w:ind w:left="1319" w:firstLine="0"/>
      </w:pPr>
    </w:p>
    <w:p w14:paraId="3E1E2630" w14:textId="68EF3E95" w:rsidR="00D33774" w:rsidRPr="00D33774" w:rsidRDefault="00D33774" w:rsidP="00D33774">
      <w:pPr>
        <w:ind w:left="1440" w:hanging="720"/>
      </w:pPr>
      <w:r>
        <w:t xml:space="preserve">2.5  </w:t>
      </w:r>
      <w:r w:rsidR="00600321">
        <w:t xml:space="preserve">   </w:t>
      </w:r>
      <w:r>
        <w:t xml:space="preserve">If asset disposal is for </w:t>
      </w:r>
      <w:r w:rsidRPr="00D33774">
        <w:t xml:space="preserve">less than market value then approval is required from DfI and DoF as per </w:t>
      </w:r>
      <w:r w:rsidR="00B10822" w:rsidRPr="00405AFF">
        <w:rPr>
          <w:sz w:val="22"/>
          <w:lang w:eastAsia="en-US"/>
        </w:rPr>
        <w:t>DAO</w:t>
      </w:r>
      <w:r w:rsidR="00D7271B" w:rsidRPr="00405AFF">
        <w:rPr>
          <w:sz w:val="22"/>
          <w:lang w:eastAsia="en-US"/>
        </w:rPr>
        <w:t xml:space="preserve"> (DoF) </w:t>
      </w:r>
      <w:r w:rsidR="00B10822" w:rsidRPr="00405AFF">
        <w:rPr>
          <w:sz w:val="22"/>
          <w:lang w:eastAsia="en-US"/>
        </w:rPr>
        <w:t>05/25</w:t>
      </w:r>
      <w:r w:rsidR="00B10822" w:rsidRPr="00405AFF" w:rsidDel="00B10822">
        <w:t xml:space="preserve"> </w:t>
      </w:r>
      <w:r w:rsidRPr="00405AFF">
        <w:t xml:space="preserve">(Delegation </w:t>
      </w:r>
      <w:r w:rsidR="00B10822" w:rsidRPr="00405AFF">
        <w:t>44</w:t>
      </w:r>
      <w:r w:rsidRPr="00405AFF">
        <w:t>).</w:t>
      </w:r>
    </w:p>
    <w:p w14:paraId="7D6ADF6E" w14:textId="77777777" w:rsidR="00D33774" w:rsidRPr="00D33774" w:rsidRDefault="00D33774" w:rsidP="00D33774">
      <w:pPr>
        <w:ind w:left="1440" w:hanging="720"/>
      </w:pPr>
    </w:p>
    <w:p w14:paraId="36ED8860" w14:textId="39729FD7" w:rsidR="00017CDA" w:rsidRDefault="00C90369" w:rsidP="00C90369">
      <w:pPr>
        <w:ind w:left="0" w:firstLine="720"/>
        <w:rPr>
          <w:b/>
          <w:bCs/>
        </w:rPr>
      </w:pPr>
      <w:r w:rsidRPr="00AD0647">
        <w:rPr>
          <w:b/>
          <w:bCs/>
        </w:rPr>
        <w:t>3.</w:t>
      </w:r>
      <w:r>
        <w:rPr>
          <w:b/>
          <w:bCs/>
        </w:rPr>
        <w:tab/>
      </w:r>
      <w:r w:rsidR="00017CDA" w:rsidRPr="00AD0647">
        <w:rPr>
          <w:b/>
          <w:bCs/>
        </w:rPr>
        <w:t>Project Mandates, Business Cases and Post Project Evaluation</w:t>
      </w:r>
    </w:p>
    <w:p w14:paraId="1144FECA" w14:textId="77777777" w:rsidR="00C90369" w:rsidRPr="00AD0647" w:rsidRDefault="00C90369" w:rsidP="00C90369">
      <w:pPr>
        <w:ind w:left="0" w:firstLine="720"/>
        <w:rPr>
          <w:b/>
          <w:bCs/>
        </w:rPr>
      </w:pPr>
    </w:p>
    <w:p w14:paraId="519589AA" w14:textId="77777777" w:rsidR="00017CDA" w:rsidRDefault="00017CDA" w:rsidP="00C90369">
      <w:pPr>
        <w:ind w:left="1440" w:hanging="720"/>
      </w:pPr>
      <w:r w:rsidRPr="00AD0647">
        <w:t>3.1</w:t>
      </w:r>
      <w:r w:rsidRPr="00AD0647">
        <w:tab/>
        <w:t>NITHC is required to apply the principles of economic appraisal contained within Better Business Cases NI (FD (DoF) 11/20) with appropriate and proportionate effort to all decisions and proposals concerning or saving public money, including European Union (EU) funds, and any other decisions or proposals that involve changes in the use of public resources</w:t>
      </w:r>
      <w:r w:rsidRPr="00AD0647">
        <w:rPr>
          <w:rStyle w:val="FootnoteReference"/>
        </w:rPr>
        <w:footnoteReference w:id="22"/>
      </w:r>
      <w:r w:rsidRPr="00AD0647">
        <w:t>.</w:t>
      </w:r>
    </w:p>
    <w:p w14:paraId="6B92A000" w14:textId="77777777" w:rsidR="00B65A2D" w:rsidRPr="00AD0647" w:rsidRDefault="00B65A2D" w:rsidP="00C90369">
      <w:pPr>
        <w:ind w:left="1440" w:hanging="720"/>
      </w:pPr>
    </w:p>
    <w:p w14:paraId="70CF20D6" w14:textId="65886BA9" w:rsidR="00017CDA" w:rsidRPr="00AD0647" w:rsidRDefault="00017CDA" w:rsidP="00C90369">
      <w:pPr>
        <w:ind w:left="1440" w:hanging="720"/>
      </w:pPr>
      <w:r w:rsidRPr="00AD0647">
        <w:t>3.2</w:t>
      </w:r>
      <w:r w:rsidRPr="00AD0647">
        <w:tab/>
        <w:t>Appraisal must be proportionately applied irrespective of whether the relevant Public Expenditure resources:</w:t>
      </w:r>
    </w:p>
    <w:p w14:paraId="552BA907" w14:textId="77777777" w:rsidR="00017CDA" w:rsidRPr="00AD0647" w:rsidRDefault="00017CDA" w:rsidP="00B65A2D">
      <w:pPr>
        <w:pStyle w:val="ListParagraph"/>
        <w:numPr>
          <w:ilvl w:val="0"/>
          <w:numId w:val="31"/>
        </w:numPr>
        <w:spacing w:after="160" w:line="360" w:lineRule="auto"/>
        <w:ind w:left="1797" w:hanging="357"/>
      </w:pPr>
      <w:r w:rsidRPr="00AD0647">
        <w:t>involve Resource or Capital spending or both;</w:t>
      </w:r>
    </w:p>
    <w:p w14:paraId="070051FB" w14:textId="77777777" w:rsidR="00017CDA" w:rsidRPr="00AD0647" w:rsidRDefault="00017CDA" w:rsidP="00B65A2D">
      <w:pPr>
        <w:pStyle w:val="ListParagraph"/>
        <w:numPr>
          <w:ilvl w:val="0"/>
          <w:numId w:val="31"/>
        </w:numPr>
        <w:spacing w:after="160" w:line="360" w:lineRule="auto"/>
        <w:ind w:left="1797" w:hanging="357"/>
      </w:pPr>
      <w:r w:rsidRPr="00AD0647">
        <w:t>are large or small;</w:t>
      </w:r>
    </w:p>
    <w:p w14:paraId="3255B4E5" w14:textId="77777777" w:rsidR="00017CDA" w:rsidRPr="00AD0647" w:rsidRDefault="00017CDA" w:rsidP="00B65A2D">
      <w:pPr>
        <w:pStyle w:val="ListParagraph"/>
        <w:numPr>
          <w:ilvl w:val="0"/>
          <w:numId w:val="31"/>
        </w:numPr>
        <w:spacing w:after="160" w:line="360" w:lineRule="auto"/>
        <w:ind w:left="1797" w:hanging="357"/>
      </w:pPr>
      <w:r w:rsidRPr="00AD0647">
        <w:t>are self-funded;</w:t>
      </w:r>
    </w:p>
    <w:p w14:paraId="1D097D33" w14:textId="77777777" w:rsidR="00017CDA" w:rsidRPr="00AD0647" w:rsidRDefault="00017CDA" w:rsidP="00B65A2D">
      <w:pPr>
        <w:pStyle w:val="ListParagraph"/>
        <w:numPr>
          <w:ilvl w:val="0"/>
          <w:numId w:val="31"/>
        </w:numPr>
        <w:spacing w:after="160" w:line="360" w:lineRule="auto"/>
        <w:ind w:left="1797" w:hanging="357"/>
      </w:pPr>
      <w:r w:rsidRPr="00AD0647">
        <w:t>are above or below the delegated limits.</w:t>
      </w:r>
    </w:p>
    <w:p w14:paraId="1014D65C" w14:textId="77777777" w:rsidR="00017CDA" w:rsidRPr="00AD0647" w:rsidRDefault="00017CDA" w:rsidP="00017CDA">
      <w:pPr>
        <w:pStyle w:val="ListParagraph"/>
        <w:ind w:left="1440"/>
      </w:pPr>
    </w:p>
    <w:p w14:paraId="0A70502E" w14:textId="7215FAEB" w:rsidR="00017CDA" w:rsidRPr="00AD0647" w:rsidRDefault="00017CDA" w:rsidP="00C90369">
      <w:pPr>
        <w:ind w:left="1440" w:hanging="720"/>
      </w:pPr>
      <w:r w:rsidRPr="00AD0647">
        <w:t>3.3</w:t>
      </w:r>
      <w:r w:rsidRPr="00AD0647">
        <w:tab/>
        <w:t>Appraisals must be appropriately approved before expenditure is committed</w:t>
      </w:r>
      <w:r w:rsidR="004942C7" w:rsidRPr="00AD0647">
        <w:t xml:space="preserve">. </w:t>
      </w:r>
      <w:r w:rsidRPr="00AD0647">
        <w:t>Expenditure that is incurred without the necessary approvals is irregular.</w:t>
      </w:r>
    </w:p>
    <w:p w14:paraId="329DD228" w14:textId="730184F4" w:rsidR="000C3453" w:rsidRDefault="00017CDA" w:rsidP="008B2300">
      <w:pPr>
        <w:rPr>
          <w:b/>
          <w:bCs/>
        </w:rPr>
      </w:pPr>
      <w:r w:rsidRPr="00AD0647">
        <w:t> </w:t>
      </w:r>
      <w:r w:rsidRPr="00AD0647">
        <w:rPr>
          <w:b/>
          <w:bCs/>
        </w:rPr>
        <w:t xml:space="preserve"> </w:t>
      </w:r>
    </w:p>
    <w:p w14:paraId="3D0831AA" w14:textId="77777777" w:rsidR="008B2300" w:rsidRDefault="008B2300" w:rsidP="008B2300">
      <w:pPr>
        <w:rPr>
          <w:b/>
          <w:bCs/>
        </w:rPr>
      </w:pPr>
    </w:p>
    <w:p w14:paraId="30F468A0" w14:textId="77777777" w:rsidR="008B2300" w:rsidRDefault="008B2300" w:rsidP="008B2300">
      <w:pPr>
        <w:rPr>
          <w:b/>
          <w:bCs/>
        </w:rPr>
      </w:pPr>
    </w:p>
    <w:p w14:paraId="62EC19F1" w14:textId="77777777" w:rsidR="008B2300" w:rsidRDefault="008B2300" w:rsidP="008B2300">
      <w:pPr>
        <w:rPr>
          <w:b/>
          <w:bCs/>
        </w:rPr>
      </w:pPr>
    </w:p>
    <w:p w14:paraId="640A8B7A" w14:textId="77777777" w:rsidR="008B2300" w:rsidRDefault="008B2300" w:rsidP="008B2300">
      <w:pPr>
        <w:rPr>
          <w:b/>
          <w:bCs/>
        </w:rPr>
      </w:pPr>
    </w:p>
    <w:p w14:paraId="21FD8969" w14:textId="77777777" w:rsidR="008B2300" w:rsidRPr="00AD0647" w:rsidRDefault="008B2300" w:rsidP="008B2300">
      <w:pPr>
        <w:rPr>
          <w:b/>
          <w:bCs/>
        </w:rPr>
      </w:pPr>
    </w:p>
    <w:tbl>
      <w:tblPr>
        <w:tblW w:w="9492" w:type="dxa"/>
        <w:tblInd w:w="704" w:type="dxa"/>
        <w:tblCellMar>
          <w:left w:w="0" w:type="dxa"/>
          <w:right w:w="0" w:type="dxa"/>
        </w:tblCellMar>
        <w:tblLook w:val="04A0" w:firstRow="1" w:lastRow="0" w:firstColumn="1" w:lastColumn="0" w:noHBand="0" w:noVBand="1"/>
      </w:tblPr>
      <w:tblGrid>
        <w:gridCol w:w="4673"/>
        <w:gridCol w:w="2977"/>
        <w:gridCol w:w="1842"/>
      </w:tblGrid>
      <w:tr w:rsidR="00017CDA" w:rsidRPr="00AD0647" w14:paraId="07D5DB45" w14:textId="77777777" w:rsidTr="286001E4">
        <w:trPr>
          <w:trHeight w:val="311"/>
        </w:trPr>
        <w:tc>
          <w:tcPr>
            <w:tcW w:w="7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29261269" w14:textId="77777777" w:rsidR="00017CDA" w:rsidRPr="00AD0647" w:rsidRDefault="00017CDA" w:rsidP="0037186C">
            <w:pPr>
              <w:ind w:left="10"/>
              <w:rPr>
                <w:b/>
                <w:bCs/>
              </w:rPr>
            </w:pPr>
            <w:r w:rsidRPr="00AD0647">
              <w:rPr>
                <w:b/>
                <w:bCs/>
              </w:rPr>
              <w:t xml:space="preserve">NITHC must provide the following to DfI: </w:t>
            </w:r>
          </w:p>
        </w:tc>
        <w:tc>
          <w:tcPr>
            <w:tcW w:w="1842" w:type="dxa"/>
            <w:tcBorders>
              <w:top w:val="single" w:sz="8" w:space="0" w:color="000000" w:themeColor="text1"/>
              <w:left w:val="nil"/>
              <w:bottom w:val="single" w:sz="8" w:space="0" w:color="000000" w:themeColor="text1"/>
              <w:right w:val="single" w:sz="8" w:space="0" w:color="000000" w:themeColor="text1"/>
            </w:tcBorders>
            <w:tcMar>
              <w:top w:w="10" w:type="dxa"/>
              <w:left w:w="107" w:type="dxa"/>
              <w:bottom w:w="0" w:type="dxa"/>
              <w:right w:w="41" w:type="dxa"/>
            </w:tcMar>
          </w:tcPr>
          <w:p w14:paraId="349D0BAE" w14:textId="77777777" w:rsidR="00017CDA" w:rsidRPr="00AD0647" w:rsidRDefault="00017CDA" w:rsidP="003B1EDC">
            <w:pPr>
              <w:rPr>
                <w:b/>
                <w:bCs/>
              </w:rPr>
            </w:pPr>
          </w:p>
        </w:tc>
      </w:tr>
      <w:tr w:rsidR="00017CDA" w:rsidRPr="00AD0647" w14:paraId="0B56CDA9" w14:textId="77777777" w:rsidTr="286001E4">
        <w:trPr>
          <w:trHeight w:val="311"/>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32499D5D" w14:textId="77777777" w:rsidR="00017CDA" w:rsidRPr="00AD0647" w:rsidRDefault="00017CDA" w:rsidP="0037186C">
            <w:pPr>
              <w:ind w:left="10"/>
              <w:rPr>
                <w:b/>
                <w:bCs/>
              </w:rPr>
            </w:pPr>
            <w:r w:rsidRPr="00AD0647">
              <w:rPr>
                <w:b/>
                <w:bCs/>
              </w:rPr>
              <w:t xml:space="preserve">Information </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4D26D492" w14:textId="77777777" w:rsidR="00017CDA" w:rsidRPr="00AD0647" w:rsidRDefault="00017CDA" w:rsidP="0037186C">
            <w:pPr>
              <w:ind w:left="10"/>
              <w:rPr>
                <w:b/>
                <w:bCs/>
              </w:rPr>
            </w:pPr>
            <w:r w:rsidRPr="00AD0647">
              <w:rPr>
                <w:b/>
                <w:bCs/>
              </w:rPr>
              <w:t>Submission Date</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5B5D26F" w14:textId="77777777" w:rsidR="00017CDA" w:rsidRPr="00AD0647" w:rsidRDefault="00017CDA" w:rsidP="0037186C">
            <w:pPr>
              <w:ind w:left="10"/>
              <w:rPr>
                <w:b/>
                <w:bCs/>
              </w:rPr>
            </w:pPr>
            <w:r w:rsidRPr="00AD0647">
              <w:rPr>
                <w:b/>
                <w:bCs/>
              </w:rPr>
              <w:t>Approval Required</w:t>
            </w:r>
          </w:p>
        </w:tc>
      </w:tr>
      <w:tr w:rsidR="00017CDA" w:rsidRPr="00AD0647" w14:paraId="483E71AA"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1C1C7E00" w14:textId="0A318C95" w:rsidR="00017CDA" w:rsidRPr="00AD0647" w:rsidRDefault="00017CDA" w:rsidP="005949E2">
            <w:pPr>
              <w:ind w:left="10"/>
              <w:jc w:val="left"/>
            </w:pPr>
            <w:r w:rsidRPr="00AD0647">
              <w:t xml:space="preserve">Project Mandates for Capital Projects requiring a Letter of Prior Approval which exceeds </w:t>
            </w:r>
            <w:r w:rsidRPr="00CE092F">
              <w:t>£</w:t>
            </w:r>
            <w:r w:rsidR="00424B43" w:rsidRPr="00CE092F">
              <w:t>1</w:t>
            </w:r>
            <w:r w:rsidR="00424B43">
              <w:t>00</w:t>
            </w:r>
            <w:r w:rsidR="00693B33">
              <w:t>k</w:t>
            </w:r>
            <w:r w:rsidR="00951B41">
              <w:t xml:space="preserve"> to complete the project SOC or OBC</w:t>
            </w:r>
            <w:r w:rsidR="00693B33">
              <w:t>.</w:t>
            </w:r>
          </w:p>
          <w:p w14:paraId="0C1A82EC" w14:textId="24C89F51" w:rsidR="00017CDA" w:rsidRPr="00AD0647" w:rsidRDefault="00017CDA" w:rsidP="005949E2">
            <w:pPr>
              <w:ind w:left="10"/>
              <w:jc w:val="left"/>
            </w:pPr>
            <w:r w:rsidRPr="00AD0647">
              <w:t>Letter of Prior Approval limited to 15% of total project cost</w:t>
            </w:r>
            <w:r w:rsidR="001266FD">
              <w:t>.</w:t>
            </w:r>
            <w:r w:rsidR="00D23055">
              <w:t xml:space="preserve"> </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701D3EB2" w14:textId="77777777" w:rsidR="00017CDA" w:rsidRPr="00AD0647" w:rsidRDefault="00017CDA" w:rsidP="00645F86">
            <w:pPr>
              <w:ind w:left="10"/>
              <w:jc w:val="left"/>
            </w:pPr>
            <w:r w:rsidRPr="00AD0647">
              <w:t>At project initiation or after Programme Mandate approved (if appropriate)</w:t>
            </w:r>
          </w:p>
          <w:p w14:paraId="2CFB1DE3" w14:textId="77777777" w:rsidR="00017CDA" w:rsidRPr="00AD0647" w:rsidRDefault="00017CDA" w:rsidP="003B1EDC"/>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38B6649B" w14:textId="2ADA2E53" w:rsidR="00017CDA" w:rsidRPr="00AD0647" w:rsidRDefault="00485FF1" w:rsidP="00EF3260">
            <w:pPr>
              <w:ind w:left="10"/>
            </w:pPr>
            <w:r>
              <w:t xml:space="preserve">NITHC &amp; </w:t>
            </w:r>
            <w:r w:rsidR="00017CDA" w:rsidRPr="00AD0647">
              <w:t>DfI</w:t>
            </w:r>
          </w:p>
        </w:tc>
      </w:tr>
      <w:tr w:rsidR="00017CDA" w:rsidRPr="00AD0647" w14:paraId="6A7654A5"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1E9B5B0E" w14:textId="01C298A2" w:rsidR="00017CDA" w:rsidRPr="00AD0647" w:rsidRDefault="00017CDA" w:rsidP="005949E2">
            <w:pPr>
              <w:ind w:left="10"/>
              <w:jc w:val="left"/>
            </w:pPr>
            <w:r w:rsidRPr="00AD0647">
              <w:t xml:space="preserve">Strategic Outline Case (SOC) required for each Capital Project </w:t>
            </w:r>
            <w:r w:rsidR="005C4481" w:rsidRPr="00CE092F">
              <w:t>equal to or</w:t>
            </w:r>
            <w:r w:rsidR="005C4481">
              <w:t xml:space="preserve"> </w:t>
            </w:r>
            <w:r w:rsidRPr="00AD0647">
              <w:t>greater than £20m</w:t>
            </w:r>
            <w:r w:rsidR="006578CB">
              <w:t>.</w:t>
            </w:r>
            <w:r w:rsidR="00CE092F">
              <w:t xml:space="preserve"> </w:t>
            </w:r>
          </w:p>
          <w:p w14:paraId="4900E8D3" w14:textId="5B574920" w:rsidR="00017CDA" w:rsidRPr="00AD0647" w:rsidRDefault="00017CDA" w:rsidP="005949E2">
            <w:pPr>
              <w:ind w:left="10"/>
              <w:jc w:val="left"/>
            </w:pPr>
            <w:r w:rsidRPr="00AD0647">
              <w:t xml:space="preserve">Where a Programme SOC has been approved, a separate Project SOC is not required. </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42F0BE18" w14:textId="1110A665" w:rsidR="00017CDA" w:rsidRPr="00AD0647" w:rsidRDefault="00017CDA" w:rsidP="00EF3260">
            <w:pPr>
              <w:ind w:left="10"/>
            </w:pPr>
            <w:r w:rsidRPr="00AD0647">
              <w:t xml:space="preserve">After </w:t>
            </w:r>
            <w:r w:rsidR="00823FEE">
              <w:t xml:space="preserve">completion of </w:t>
            </w:r>
            <w:r w:rsidRPr="00AD0647">
              <w:t>Project Inception Stage</w:t>
            </w:r>
          </w:p>
          <w:p w14:paraId="28B97796" w14:textId="77777777" w:rsidR="00017CDA" w:rsidRPr="00AD0647" w:rsidRDefault="00017CDA" w:rsidP="003B1EDC"/>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6E2D794D" w14:textId="13DE3869" w:rsidR="00017CDA" w:rsidRPr="00AD0647" w:rsidRDefault="00C90369" w:rsidP="00EF3260">
            <w:pPr>
              <w:ind w:left="10"/>
            </w:pPr>
            <w:r>
              <w:t>NITHC &amp;</w:t>
            </w:r>
            <w:r w:rsidR="00017CDA" w:rsidRPr="00AD0647">
              <w:t xml:space="preserve"> DfI </w:t>
            </w:r>
          </w:p>
          <w:p w14:paraId="61936792" w14:textId="77777777" w:rsidR="00017CDA" w:rsidRPr="00AD0647" w:rsidRDefault="00017CDA" w:rsidP="003B1EDC"/>
          <w:p w14:paraId="6EF93BC1" w14:textId="77777777" w:rsidR="00017CDA" w:rsidRPr="00AD0647" w:rsidRDefault="00017CDA" w:rsidP="003B1EDC"/>
        </w:tc>
      </w:tr>
      <w:tr w:rsidR="00017CDA" w:rsidRPr="00AD0647" w14:paraId="7F3E7B38"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2E26FBF2" w14:textId="08192F6D" w:rsidR="00017CDA" w:rsidRPr="00AD0647" w:rsidRDefault="00017CDA" w:rsidP="005949E2">
            <w:pPr>
              <w:ind w:left="0" w:firstLine="0"/>
              <w:jc w:val="left"/>
            </w:pPr>
            <w:r w:rsidRPr="00AD0647">
              <w:t>Strategic Outline Case (SOC) required for each Capital Project greater than £50m</w:t>
            </w:r>
            <w:r w:rsidR="00DC4C9C">
              <w:t>.</w:t>
            </w:r>
            <w:r w:rsidR="00CE092F">
              <w:t xml:space="preserve"> </w:t>
            </w:r>
            <w:r w:rsidRPr="00AD0647">
              <w:t xml:space="preserve">Where a Programme SOC has been </w:t>
            </w:r>
            <w:r w:rsidR="00831381" w:rsidRPr="00AD0647">
              <w:t>approved</w:t>
            </w:r>
            <w:r w:rsidR="00602F37">
              <w:t>,</w:t>
            </w:r>
            <w:r w:rsidRPr="00AD0647">
              <w:t xml:space="preserve"> a separate Project SOC is not required.</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289C3DEB" w14:textId="4A8C2631" w:rsidR="00017CDA" w:rsidRPr="00AD0647" w:rsidRDefault="00017CDA" w:rsidP="00EF3260">
            <w:pPr>
              <w:ind w:left="10"/>
            </w:pPr>
            <w:r w:rsidRPr="00AD0647">
              <w:t>After</w:t>
            </w:r>
            <w:r w:rsidR="004963A8">
              <w:t xml:space="preserve"> completion of </w:t>
            </w:r>
            <w:r w:rsidRPr="00AD0647">
              <w:t xml:space="preserve"> Project Inception Stage</w:t>
            </w:r>
          </w:p>
          <w:p w14:paraId="0D003365" w14:textId="77777777" w:rsidR="00017CDA" w:rsidRPr="00AD0647" w:rsidRDefault="00017CDA" w:rsidP="003B1EDC"/>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5BC0670E" w14:textId="2B489FEA" w:rsidR="00017CDA" w:rsidRPr="00AD0647" w:rsidRDefault="00C90369" w:rsidP="00EF3260">
            <w:pPr>
              <w:ind w:left="10"/>
            </w:pPr>
            <w:r>
              <w:t>NITHC</w:t>
            </w:r>
            <w:r w:rsidR="00017CDA" w:rsidRPr="00AD0647">
              <w:t>, DfI and DoF</w:t>
            </w:r>
          </w:p>
        </w:tc>
      </w:tr>
      <w:tr w:rsidR="00017CDA" w:rsidRPr="00AD0647" w14:paraId="72CB882D"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55A6ED22" w14:textId="6A591247" w:rsidR="00017CDA" w:rsidRPr="00AD0647" w:rsidRDefault="002A5116" w:rsidP="005949E2">
            <w:pPr>
              <w:ind w:left="10"/>
              <w:jc w:val="left"/>
            </w:pPr>
            <w:r>
              <w:t xml:space="preserve">Provide </w:t>
            </w:r>
            <w:r w:rsidR="00017CDA" w:rsidRPr="00AD0647">
              <w:t>O</w:t>
            </w:r>
            <w:r w:rsidR="00BF4F89">
              <w:t xml:space="preserve">utline </w:t>
            </w:r>
            <w:r w:rsidR="00017CDA" w:rsidRPr="00AD0647">
              <w:t>B</w:t>
            </w:r>
            <w:r w:rsidR="00BF4F89">
              <w:t xml:space="preserve">usiness </w:t>
            </w:r>
            <w:r w:rsidR="00017CDA" w:rsidRPr="00AD0647">
              <w:t>C</w:t>
            </w:r>
            <w:r w:rsidR="00BF4F89">
              <w:t>ase</w:t>
            </w:r>
            <w:r w:rsidR="0029043A">
              <w:t xml:space="preserve"> (OBC) </w:t>
            </w:r>
            <w:r w:rsidR="00424A81">
              <w:t>to DfI for each C</w:t>
            </w:r>
            <w:r w:rsidR="00017CDA" w:rsidRPr="00AD0647">
              <w:t>apital</w:t>
            </w:r>
            <w:r w:rsidR="00424A81">
              <w:t xml:space="preserve"> Project</w:t>
            </w:r>
            <w:r w:rsidR="00017CDA" w:rsidRPr="00AD0647">
              <w:t xml:space="preserve"> over £</w:t>
            </w:r>
            <w:r w:rsidR="001566EF">
              <w:t>10</w:t>
            </w:r>
            <w:r w:rsidR="00C565A7" w:rsidRPr="00AD0647">
              <w:t>m</w:t>
            </w:r>
            <w:r>
              <w:t>.</w:t>
            </w:r>
            <w:r w:rsidR="00017CDA" w:rsidRPr="00AD0647">
              <w:t xml:space="preserve"> </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7FE4027F" w14:textId="5CCF9CED" w:rsidR="00017CDA" w:rsidRPr="00AD0647" w:rsidRDefault="00424A81" w:rsidP="005949E2">
            <w:pPr>
              <w:ind w:left="10"/>
              <w:jc w:val="left"/>
            </w:pPr>
            <w:r w:rsidRPr="00AD0647">
              <w:t>OBC completed prior to Detailed Design / Procurement of main Contract</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940B779" w14:textId="0F51A4C3" w:rsidR="00017CDA" w:rsidRPr="00AD0647" w:rsidRDefault="00C90369" w:rsidP="00EF3260">
            <w:pPr>
              <w:ind w:left="10"/>
            </w:pPr>
            <w:r>
              <w:t>NITHC</w:t>
            </w:r>
            <w:r w:rsidR="00017CDA" w:rsidRPr="00AD0647">
              <w:t>, DfI</w:t>
            </w:r>
            <w:r w:rsidR="00EF3260">
              <w:t xml:space="preserve"> &amp; </w:t>
            </w:r>
            <w:r w:rsidR="00017CDA" w:rsidRPr="00AD0647">
              <w:t>DoF</w:t>
            </w:r>
          </w:p>
        </w:tc>
      </w:tr>
      <w:tr w:rsidR="00757848" w:rsidRPr="00AD0647" w14:paraId="4AD68949"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334874A4" w14:textId="224A1C03" w:rsidR="00757848" w:rsidRDefault="00757848" w:rsidP="00757848">
            <w:pPr>
              <w:ind w:left="10"/>
              <w:jc w:val="left"/>
            </w:pPr>
            <w:r w:rsidRPr="005E5654">
              <w:t xml:space="preserve">Provide Outline Business Case (OBC) to DfI for each IT Project with whole life costs over </w:t>
            </w:r>
            <w:r w:rsidRPr="00B1034C">
              <w:t>£</w:t>
            </w:r>
            <w:r w:rsidR="006D362C" w:rsidRPr="00B1034C">
              <w:t>10</w:t>
            </w:r>
            <w:r w:rsidRPr="00B1034C">
              <w:t>m</w:t>
            </w:r>
            <w:r w:rsidRPr="005E5654">
              <w:t xml:space="preserve"> (total of capital  and resource).</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7DAF8799" w14:textId="7F944B44" w:rsidR="00757848" w:rsidRPr="00AD0647" w:rsidRDefault="00757848" w:rsidP="00757848">
            <w:pPr>
              <w:ind w:left="10"/>
              <w:jc w:val="left"/>
            </w:pPr>
            <w:r w:rsidRPr="005E5654">
              <w:t>OBC completed prior to Detailed Design / Procurement of main Contract</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51F1F87C" w14:textId="77186629" w:rsidR="00757848" w:rsidRDefault="00757848" w:rsidP="00757848">
            <w:pPr>
              <w:ind w:left="10"/>
            </w:pPr>
            <w:r w:rsidRPr="005E5654">
              <w:t>NITHC, DfI &amp; DoF</w:t>
            </w:r>
          </w:p>
        </w:tc>
      </w:tr>
      <w:tr w:rsidR="00757848" w:rsidRPr="008A7539" w14:paraId="35182232" w14:textId="77777777" w:rsidTr="00757848">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1B9DB5B5" w14:textId="77777777" w:rsidR="00757848" w:rsidRPr="00757848" w:rsidRDefault="00757848" w:rsidP="008A7539">
            <w:pPr>
              <w:ind w:left="10"/>
              <w:jc w:val="left"/>
            </w:pPr>
            <w:bookmarkStart w:id="28" w:name="_Hlk166166269"/>
            <w:r w:rsidRPr="00757848">
              <w:lastRenderedPageBreak/>
              <w:t xml:space="preserve">Full Business Case (FBC) required for each Capital Project equal to or greater than £20m. </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0C50AB89" w14:textId="77777777" w:rsidR="00757848" w:rsidRPr="00757848" w:rsidRDefault="00757848" w:rsidP="008A7539">
            <w:pPr>
              <w:ind w:left="10"/>
              <w:jc w:val="left"/>
            </w:pPr>
            <w:r w:rsidRPr="00757848">
              <w:t>FBC completed after Detailed Design / Procurement of main Contract</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0DD164E3" w14:textId="77777777" w:rsidR="00757848" w:rsidRPr="00757848" w:rsidRDefault="00757848" w:rsidP="00757848">
            <w:pPr>
              <w:ind w:left="10"/>
            </w:pPr>
            <w:r w:rsidRPr="00757848">
              <w:t>NITHC &amp; DfI</w:t>
            </w:r>
          </w:p>
        </w:tc>
      </w:tr>
      <w:bookmarkEnd w:id="28"/>
      <w:tr w:rsidR="00A27FA3" w:rsidRPr="00AD0647" w14:paraId="6603BD13"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1B32AE40" w14:textId="77777777" w:rsidR="00071F90" w:rsidRDefault="00A27FA3" w:rsidP="00A27FA3">
            <w:pPr>
              <w:ind w:left="10"/>
              <w:jc w:val="left"/>
            </w:pPr>
            <w:r w:rsidRPr="00AD0647">
              <w:t>Programme/ Project Assurance Statement signed by SRO at both OBC and FBC stages</w:t>
            </w:r>
            <w:r>
              <w:t xml:space="preserve"> for</w:t>
            </w:r>
            <w:r w:rsidR="00071F90">
              <w:t>:</w:t>
            </w:r>
          </w:p>
          <w:p w14:paraId="354D987B" w14:textId="12D72584" w:rsidR="00071F90" w:rsidRDefault="00A27FA3" w:rsidP="00071F90">
            <w:pPr>
              <w:pStyle w:val="ListParagraph"/>
              <w:numPr>
                <w:ilvl w:val="0"/>
                <w:numId w:val="38"/>
              </w:numPr>
              <w:jc w:val="left"/>
            </w:pPr>
            <w:r>
              <w:t>Capital Projects greater than £</w:t>
            </w:r>
            <w:r w:rsidR="001566EF">
              <w:t>10</w:t>
            </w:r>
            <w:r>
              <w:t>m</w:t>
            </w:r>
            <w:r w:rsidR="00071F90">
              <w:t>;</w:t>
            </w:r>
            <w:r>
              <w:t xml:space="preserve"> and </w:t>
            </w:r>
          </w:p>
          <w:p w14:paraId="2A25D8D1" w14:textId="36B02D80" w:rsidR="00757848" w:rsidRDefault="00757848" w:rsidP="00071F90">
            <w:pPr>
              <w:pStyle w:val="ListParagraph"/>
              <w:numPr>
                <w:ilvl w:val="0"/>
                <w:numId w:val="38"/>
              </w:numPr>
              <w:jc w:val="left"/>
            </w:pPr>
            <w:r>
              <w:t xml:space="preserve">IT projects </w:t>
            </w:r>
            <w:r w:rsidRPr="00071F90">
              <w:t xml:space="preserve">with whole life costs over </w:t>
            </w:r>
            <w:r w:rsidRPr="00B1034C">
              <w:t>£</w:t>
            </w:r>
            <w:r w:rsidR="006D362C" w:rsidRPr="00405AFF">
              <w:t>10</w:t>
            </w:r>
            <w:r w:rsidRPr="00B1034C">
              <w:t>m</w:t>
            </w:r>
            <w:r w:rsidRPr="00071F90">
              <w:t xml:space="preserve"> (total of capital and resource).</w:t>
            </w:r>
          </w:p>
          <w:p w14:paraId="1F27253E" w14:textId="28C6B2BD" w:rsidR="00A27FA3" w:rsidRPr="00AD0647" w:rsidRDefault="00A27FA3" w:rsidP="00757848">
            <w:pPr>
              <w:pStyle w:val="ListParagraph"/>
              <w:ind w:firstLine="0"/>
              <w:jc w:val="left"/>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3BCC8F12" w14:textId="77777777" w:rsidR="00A27FA3" w:rsidRPr="00AD0647" w:rsidRDefault="00A27FA3" w:rsidP="00A27FA3">
            <w:pPr>
              <w:ind w:left="10"/>
              <w:jc w:val="left"/>
            </w:pPr>
            <w:r w:rsidRPr="00AD0647">
              <w:t>Alongside OBC/FBC submission</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31996D52" w14:textId="494635B1" w:rsidR="00A27FA3" w:rsidRPr="00AD0647" w:rsidRDefault="00A27FA3" w:rsidP="00A27FA3">
            <w:pPr>
              <w:ind w:left="10"/>
            </w:pPr>
            <w:r>
              <w:t>NITHC &amp; DfI</w:t>
            </w:r>
          </w:p>
        </w:tc>
      </w:tr>
      <w:tr w:rsidR="00A27FA3" w:rsidRPr="00AD0647" w14:paraId="0E668618"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1A8199C4" w14:textId="551DCA40" w:rsidR="00A27FA3" w:rsidRPr="00045798" w:rsidRDefault="00A27FA3" w:rsidP="00A27FA3">
            <w:pPr>
              <w:ind w:left="10"/>
              <w:jc w:val="left"/>
              <w:rPr>
                <w:lang w:val="en-US"/>
              </w:rPr>
            </w:pPr>
            <w:r w:rsidRPr="00AD0647">
              <w:t>Formal notification of change of Scope</w:t>
            </w:r>
            <w:r>
              <w:t>,</w:t>
            </w:r>
            <w:r w:rsidRPr="00AD0647">
              <w:t xml:space="preserve"> </w:t>
            </w:r>
            <w:r>
              <w:t xml:space="preserve"> </w:t>
            </w:r>
            <w:r>
              <w:rPr>
                <w:b/>
              </w:rPr>
              <w:t xml:space="preserve">variation </w:t>
            </w:r>
            <w:r w:rsidRPr="00AD0647">
              <w:t xml:space="preserve"> in Capital </w:t>
            </w:r>
            <w:r>
              <w:t>costs</w:t>
            </w:r>
            <w:r w:rsidRPr="00AD0647">
              <w:t xml:space="preserve"> or Completion Date as per </w:t>
            </w:r>
            <w:r>
              <w:t>the conditions in the issued Letter of Offer/Letter of Prior Approval.</w:t>
            </w:r>
          </w:p>
          <w:p w14:paraId="78F4C6D9" w14:textId="77777777" w:rsidR="00A27FA3" w:rsidRPr="00AD0647" w:rsidRDefault="00A27FA3" w:rsidP="00A27FA3">
            <w:pPr>
              <w:jc w:val="left"/>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17D5A15" w14:textId="77777777" w:rsidR="00A27FA3" w:rsidRPr="00AD0647" w:rsidRDefault="00A27FA3" w:rsidP="00A27FA3">
            <w:pPr>
              <w:ind w:left="10"/>
              <w:jc w:val="left"/>
            </w:pPr>
            <w:r w:rsidRPr="00AD0647">
              <w:t>As soon as known</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20F5BD29" w14:textId="77777777" w:rsidR="00A27FA3" w:rsidRPr="00AD0647" w:rsidRDefault="00A27FA3" w:rsidP="00A27FA3">
            <w:pPr>
              <w:ind w:left="10"/>
              <w:jc w:val="left"/>
            </w:pPr>
            <w:r w:rsidRPr="00AD0647">
              <w:t>Original approving authorities with additional approvals if delegation thresholds are exceeded.</w:t>
            </w:r>
          </w:p>
        </w:tc>
      </w:tr>
      <w:tr w:rsidR="00A27FA3" w:rsidRPr="00AD0647" w14:paraId="20E16D71"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055A142D" w14:textId="470E8F24" w:rsidR="00A27FA3" w:rsidRPr="00AD0647" w:rsidRDefault="00A27FA3" w:rsidP="00A27FA3">
            <w:pPr>
              <w:ind w:left="10"/>
              <w:jc w:val="left"/>
            </w:pPr>
            <w:r w:rsidRPr="00AD0647">
              <w:t>Project Summary (dashboard) Report for each Capital Project greater than £</w:t>
            </w:r>
            <w:r w:rsidR="005C5283">
              <w:t>10</w:t>
            </w:r>
            <w:r w:rsidRPr="00AD0647">
              <w:t>m that spans more than 1 year, unless specified in the Letter of Offer.</w:t>
            </w:r>
          </w:p>
          <w:p w14:paraId="6BC4A2F0" w14:textId="77777777" w:rsidR="00A27FA3" w:rsidRPr="00AD0647" w:rsidRDefault="00A27FA3" w:rsidP="00A27FA3">
            <w:pPr>
              <w:jc w:val="left"/>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71ABD1E9" w14:textId="2C02B5ED" w:rsidR="00A27FA3" w:rsidRPr="00F13189" w:rsidRDefault="00A27FA3" w:rsidP="00A27FA3">
            <w:pPr>
              <w:ind w:left="10"/>
              <w:jc w:val="left"/>
              <w:rPr>
                <w:color w:val="auto"/>
              </w:rPr>
            </w:pPr>
            <w:r w:rsidRPr="00F13189">
              <w:rPr>
                <w:color w:val="auto"/>
              </w:rPr>
              <w:t>Annually from the issue date of the Letter of Offer</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7A0DA3E" w14:textId="49975442" w:rsidR="00A27FA3" w:rsidRPr="00AD0647" w:rsidRDefault="00A27FA3" w:rsidP="00A27FA3">
            <w:pPr>
              <w:ind w:left="10"/>
            </w:pPr>
            <w:r>
              <w:t>NITHC &amp; DfI</w:t>
            </w:r>
          </w:p>
        </w:tc>
      </w:tr>
      <w:tr w:rsidR="00A27FA3" w:rsidRPr="00AD0647" w14:paraId="0AC05481"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600E38E1" w14:textId="77777777" w:rsidR="00A27FA3" w:rsidRDefault="00A27FA3" w:rsidP="00A27FA3">
            <w:pPr>
              <w:ind w:left="0" w:firstLine="0"/>
              <w:jc w:val="left"/>
              <w:rPr>
                <w:u w:val="single"/>
              </w:rPr>
            </w:pPr>
            <w:r>
              <w:rPr>
                <w:u w:val="single"/>
              </w:rPr>
              <w:t>Active Travel</w:t>
            </w:r>
          </w:p>
          <w:p w14:paraId="0C2B3680" w14:textId="724F1CBB" w:rsidR="00A27FA3" w:rsidRPr="00AA1EEA" w:rsidRDefault="00A27FA3" w:rsidP="00A27FA3">
            <w:pPr>
              <w:ind w:left="0" w:firstLine="0"/>
              <w:jc w:val="left"/>
            </w:pPr>
            <w:r w:rsidRPr="00AA1EEA">
              <w:t>Details of spend on Active Travel by project in accordance with the agreed definition of Active Travel.</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70D67E79" w14:textId="4E2FEB45" w:rsidR="00A27FA3" w:rsidRDefault="00A27FA3" w:rsidP="00A27FA3">
            <w:pPr>
              <w:ind w:left="10"/>
              <w:jc w:val="left"/>
            </w:pPr>
            <w:r>
              <w:t>Annually as part of the year end timetable</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6FBEEE13" w14:textId="388F8D7A" w:rsidR="00A27FA3" w:rsidRDefault="00A27FA3" w:rsidP="00A27FA3">
            <w:pPr>
              <w:ind w:left="10"/>
            </w:pPr>
            <w:r>
              <w:t>NITHC &amp; DfI</w:t>
            </w:r>
          </w:p>
        </w:tc>
      </w:tr>
      <w:tr w:rsidR="00A27FA3" w:rsidRPr="00AD0647" w14:paraId="38190C74"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2210829B" w14:textId="7186963C" w:rsidR="00A27FA3" w:rsidRDefault="00A27FA3" w:rsidP="00A27FA3">
            <w:pPr>
              <w:ind w:left="0" w:firstLine="0"/>
              <w:jc w:val="left"/>
            </w:pPr>
            <w:bookmarkStart w:id="29" w:name="_Hlk166166424"/>
            <w:r w:rsidRPr="000212D8">
              <w:rPr>
                <w:u w:val="single"/>
              </w:rPr>
              <w:t>Major Projects Committee (MPC)</w:t>
            </w:r>
            <w:r>
              <w:t xml:space="preserve"> </w:t>
            </w:r>
          </w:p>
          <w:p w14:paraId="761F62DD" w14:textId="7C9BF63A" w:rsidR="00A27FA3" w:rsidRDefault="00A27FA3" w:rsidP="00A27FA3">
            <w:pPr>
              <w:ind w:left="0" w:firstLine="0"/>
              <w:jc w:val="left"/>
            </w:pPr>
            <w:r w:rsidRPr="00AD0647">
              <w:t>SRO reports</w:t>
            </w:r>
            <w:r>
              <w:t xml:space="preserve"> for all major projects as defined in MPC guidance (£20m+ business change projects)</w:t>
            </w:r>
          </w:p>
          <w:p w14:paraId="709E6B37" w14:textId="32E0D385" w:rsidR="00A27FA3" w:rsidRPr="00AD0647" w:rsidRDefault="00A27FA3" w:rsidP="00A27FA3">
            <w:pPr>
              <w:ind w:left="0" w:firstLine="0"/>
              <w:jc w:val="left"/>
            </w:pPr>
            <w:r>
              <w:lastRenderedPageBreak/>
              <w:t>Emerging Projects List.</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088411E0" w14:textId="2EE55425" w:rsidR="00A27FA3" w:rsidRPr="00AD0647" w:rsidRDefault="00A27FA3" w:rsidP="00A27FA3">
            <w:pPr>
              <w:ind w:left="10"/>
              <w:jc w:val="left"/>
            </w:pPr>
            <w:r>
              <w:lastRenderedPageBreak/>
              <w:t xml:space="preserve">3 times per year </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4DAE705A" w14:textId="296572BB" w:rsidR="00A27FA3" w:rsidRPr="00AD0647" w:rsidRDefault="00A27FA3" w:rsidP="00A27FA3">
            <w:pPr>
              <w:ind w:left="10"/>
            </w:pPr>
            <w:r>
              <w:t>NITHC &amp; DfI</w:t>
            </w:r>
          </w:p>
        </w:tc>
      </w:tr>
      <w:tr w:rsidR="00A27FA3" w:rsidRPr="00AD0647" w14:paraId="5D5FA971"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041A317B" w14:textId="77777777" w:rsidR="00A27FA3" w:rsidRPr="000212D8" w:rsidRDefault="00A27FA3" w:rsidP="00A27FA3">
            <w:pPr>
              <w:ind w:left="10"/>
              <w:jc w:val="left"/>
              <w:rPr>
                <w:u w:val="single"/>
              </w:rPr>
            </w:pPr>
            <w:r w:rsidRPr="000212D8">
              <w:rPr>
                <w:u w:val="single"/>
              </w:rPr>
              <w:t>Major Projects – NICS Board meeting</w:t>
            </w:r>
          </w:p>
          <w:p w14:paraId="641B027E" w14:textId="175D6526" w:rsidR="00A27FA3" w:rsidRDefault="00A27FA3" w:rsidP="00A27FA3">
            <w:pPr>
              <w:ind w:left="10"/>
              <w:jc w:val="left"/>
            </w:pPr>
            <w:r>
              <w:t>Updates requested by DoF for all high-risk projects</w:t>
            </w:r>
          </w:p>
          <w:p w14:paraId="79FE4422" w14:textId="072264CC" w:rsidR="00A27FA3" w:rsidRPr="00AD0647" w:rsidRDefault="00A27FA3" w:rsidP="00A27FA3">
            <w:pPr>
              <w:ind w:left="10"/>
              <w:jc w:val="left"/>
            </w:pPr>
            <w:r>
              <w:t>Assurance review update on medium/low risk projects</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2A88C656" w14:textId="5B07511A" w:rsidR="00A27FA3" w:rsidRDefault="00A27FA3" w:rsidP="00A27FA3">
            <w:pPr>
              <w:ind w:left="10"/>
              <w:jc w:val="left"/>
            </w:pPr>
            <w:r>
              <w:t>Bi-Annually (commissioned around April and October)</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5C2D9FFE" w14:textId="3BA2D7CB" w:rsidR="00A27FA3" w:rsidRDefault="00A27FA3" w:rsidP="00A27FA3">
            <w:pPr>
              <w:ind w:left="0" w:firstLine="0"/>
              <w:jc w:val="left"/>
            </w:pPr>
            <w:r>
              <w:t>NITHC &amp; DfI</w:t>
            </w:r>
          </w:p>
        </w:tc>
      </w:tr>
      <w:bookmarkEnd w:id="29"/>
      <w:tr w:rsidR="00A27FA3" w:rsidRPr="00AD0647" w14:paraId="0FAA6A84"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hideMark/>
          </w:tcPr>
          <w:p w14:paraId="40773041" w14:textId="38855CDB" w:rsidR="00A27FA3" w:rsidRPr="00AA1EEA" w:rsidRDefault="00A27FA3" w:rsidP="00A27FA3">
            <w:pPr>
              <w:ind w:left="10"/>
              <w:jc w:val="left"/>
              <w:rPr>
                <w:u w:val="single"/>
              </w:rPr>
            </w:pPr>
            <w:r w:rsidRPr="00AA1EEA">
              <w:rPr>
                <w:u w:val="single"/>
              </w:rPr>
              <w:t xml:space="preserve">Post Project Evaluations </w:t>
            </w:r>
          </w:p>
          <w:p w14:paraId="68CF1330" w14:textId="3E2F96D1" w:rsidR="00A27FA3" w:rsidRDefault="00A27FA3" w:rsidP="00A27FA3">
            <w:pPr>
              <w:ind w:left="10"/>
              <w:jc w:val="left"/>
            </w:pPr>
            <w:r w:rsidRPr="00AD0647">
              <w:t xml:space="preserve">Post Project Evaluations (PPEs) for all Capital Projects </w:t>
            </w:r>
            <w:r>
              <w:t>over £</w:t>
            </w:r>
            <w:r w:rsidR="00DF5B3B">
              <w:t>10</w:t>
            </w:r>
            <w:r>
              <w:t>m.</w:t>
            </w:r>
          </w:p>
          <w:p w14:paraId="0ADD0D5C" w14:textId="77777777" w:rsidR="00A27FA3" w:rsidRDefault="00A27FA3" w:rsidP="00A27FA3">
            <w:pPr>
              <w:ind w:left="10"/>
              <w:jc w:val="left"/>
            </w:pPr>
          </w:p>
          <w:p w14:paraId="33FF9D3A" w14:textId="33D534CA" w:rsidR="00A27FA3" w:rsidRPr="00AD0647" w:rsidRDefault="00A27FA3" w:rsidP="00A27FA3">
            <w:pPr>
              <w:ind w:left="10"/>
              <w:jc w:val="left"/>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23D1EB52" w14:textId="77777777" w:rsidR="00A27FA3" w:rsidRDefault="00A27FA3" w:rsidP="00A27FA3">
            <w:pPr>
              <w:ind w:left="10"/>
              <w:jc w:val="left"/>
            </w:pPr>
            <w:r>
              <w:t xml:space="preserve">Within </w:t>
            </w:r>
            <w:r w:rsidRPr="00AD0647">
              <w:t xml:space="preserve">12 months of the </w:t>
            </w:r>
            <w:r>
              <w:t xml:space="preserve">completion of the </w:t>
            </w:r>
            <w:r w:rsidRPr="00AD0647">
              <w:t>Defects Period</w:t>
            </w:r>
            <w:r>
              <w:t xml:space="preserve"> date unless otherwise stated in the letter of approval</w:t>
            </w:r>
          </w:p>
          <w:p w14:paraId="703F80CD" w14:textId="3D2C41CE" w:rsidR="00A27FA3" w:rsidRPr="00AD0647" w:rsidRDefault="00A27FA3" w:rsidP="00A27FA3">
            <w:pPr>
              <w:ind w:left="10"/>
              <w:jc w:val="left"/>
            </w:pP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77A639C5" w14:textId="4CFE53D0" w:rsidR="00A27FA3" w:rsidRDefault="00A27FA3" w:rsidP="00A27FA3">
            <w:pPr>
              <w:ind w:left="0" w:firstLine="0"/>
              <w:jc w:val="left"/>
            </w:pPr>
            <w:r>
              <w:t>NITHC &amp; DfI</w:t>
            </w:r>
          </w:p>
          <w:p w14:paraId="36DA3DA4" w14:textId="3986EE94" w:rsidR="00A27FA3" w:rsidRPr="00AD0647" w:rsidRDefault="00A27FA3" w:rsidP="00A27FA3">
            <w:pPr>
              <w:ind w:left="0" w:firstLine="0"/>
              <w:jc w:val="left"/>
            </w:pPr>
            <w:r>
              <w:t>DoF (forwarded to DoF if part of DoF approval)</w:t>
            </w:r>
          </w:p>
          <w:p w14:paraId="3F032351" w14:textId="77777777" w:rsidR="00A27FA3" w:rsidRPr="00AD0647" w:rsidRDefault="00A27FA3" w:rsidP="00A27FA3"/>
          <w:p w14:paraId="766EB1DD" w14:textId="77777777" w:rsidR="00A27FA3" w:rsidRPr="00AD0647" w:rsidRDefault="00A27FA3" w:rsidP="00A27FA3"/>
        </w:tc>
      </w:tr>
      <w:tr w:rsidR="00A27FA3" w:rsidRPr="00AD0647" w14:paraId="73E718A7" w14:textId="77777777" w:rsidTr="00307E36">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3B8765B8" w14:textId="63AFC818" w:rsidR="00A27FA3" w:rsidRPr="00AA1EEA" w:rsidRDefault="00A27FA3" w:rsidP="00A27FA3">
            <w:pPr>
              <w:ind w:left="10"/>
              <w:jc w:val="left"/>
              <w:rPr>
                <w:u w:val="single"/>
              </w:rPr>
            </w:pPr>
            <w:r w:rsidRPr="00AA1EEA">
              <w:rPr>
                <w:u w:val="single"/>
              </w:rPr>
              <w:t>Post Project Evaluations – overdue PPEs</w:t>
            </w:r>
          </w:p>
          <w:p w14:paraId="2A783DA8" w14:textId="487FDCA0" w:rsidR="00A27FA3" w:rsidRDefault="00A27FA3" w:rsidP="00A27FA3">
            <w:pPr>
              <w:ind w:left="10"/>
              <w:jc w:val="left"/>
            </w:pPr>
            <w:r>
              <w:t>Confirmation on the status of overdue PPEs and their completion to inform DoF</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61E21977" w14:textId="4B4B00C3" w:rsidR="00A27FA3" w:rsidRDefault="00A27FA3" w:rsidP="00A27FA3">
            <w:pPr>
              <w:ind w:left="10"/>
              <w:jc w:val="left"/>
            </w:pPr>
            <w:r>
              <w:t>Update as soon as known and at least once a month</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39F7D65A" w14:textId="4545BA33" w:rsidR="00A27FA3" w:rsidRDefault="00A27FA3" w:rsidP="00A27FA3">
            <w:pPr>
              <w:ind w:left="0" w:firstLine="0"/>
            </w:pPr>
            <w:r>
              <w:t>NITHC, DfI &amp; DoF</w:t>
            </w:r>
          </w:p>
        </w:tc>
      </w:tr>
      <w:tr w:rsidR="00A27FA3" w:rsidRPr="00AD0647" w14:paraId="77B3AC15" w14:textId="77777777" w:rsidTr="00307E36">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2F072E75" w14:textId="4A3EBAA2" w:rsidR="00A27FA3" w:rsidRPr="00AA1EEA" w:rsidRDefault="00A27FA3" w:rsidP="00A27FA3">
            <w:pPr>
              <w:ind w:left="10"/>
              <w:jc w:val="left"/>
              <w:rPr>
                <w:u w:val="single"/>
              </w:rPr>
            </w:pPr>
            <w:r w:rsidRPr="00AA1EEA">
              <w:rPr>
                <w:u w:val="single"/>
              </w:rPr>
              <w:t>Post Project Evaluations – under £</w:t>
            </w:r>
            <w:r w:rsidR="00DF5B3B">
              <w:rPr>
                <w:u w:val="single"/>
              </w:rPr>
              <w:t>10</w:t>
            </w:r>
            <w:r w:rsidRPr="00AA1EEA">
              <w:rPr>
                <w:u w:val="single"/>
              </w:rPr>
              <w:t>m</w:t>
            </w:r>
          </w:p>
          <w:p w14:paraId="17C50DEA" w14:textId="5070A5DD" w:rsidR="00A27FA3" w:rsidRPr="00AD0647" w:rsidRDefault="00A27FA3" w:rsidP="00A27FA3">
            <w:pPr>
              <w:ind w:left="10"/>
              <w:jc w:val="left"/>
              <w:rPr>
                <w:u w:val="single"/>
              </w:rPr>
            </w:pPr>
            <w:r>
              <w:t xml:space="preserve">Notification that </w:t>
            </w:r>
            <w:r w:rsidRPr="00AD0647">
              <w:t xml:space="preserve">Post Project Evaluations for all Capital Projects </w:t>
            </w:r>
            <w:r w:rsidRPr="00405AFF">
              <w:t>below £</w:t>
            </w:r>
            <w:r w:rsidR="006D362C" w:rsidRPr="00405AFF">
              <w:t>10</w:t>
            </w:r>
            <w:r w:rsidRPr="00405AFF">
              <w:t>m</w:t>
            </w:r>
            <w:r>
              <w:t xml:space="preserve"> are complete.</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12430B6F" w14:textId="1E91184D" w:rsidR="00A27FA3" w:rsidRPr="00AD0647" w:rsidRDefault="00A27FA3" w:rsidP="00A27FA3">
            <w:pPr>
              <w:ind w:left="10"/>
              <w:jc w:val="left"/>
            </w:pPr>
            <w:r>
              <w:t xml:space="preserve">Within </w:t>
            </w:r>
            <w:r w:rsidRPr="00AD0647">
              <w:t xml:space="preserve">12 months of the </w:t>
            </w:r>
            <w:r>
              <w:t>completion of the Defects Period date unless otherwise stated in the letter of approval</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15870411" w14:textId="000F8DAF" w:rsidR="00A27FA3" w:rsidRPr="00AD0647" w:rsidRDefault="00A27FA3" w:rsidP="00A27FA3">
            <w:pPr>
              <w:ind w:left="0" w:firstLine="0"/>
            </w:pPr>
            <w:r>
              <w:t>NITHC &amp; DfI</w:t>
            </w:r>
          </w:p>
        </w:tc>
      </w:tr>
      <w:tr w:rsidR="00A27FA3" w:rsidRPr="00AD0647" w14:paraId="1C1DD544"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1F798B33" w14:textId="431CC12F" w:rsidR="00A27FA3" w:rsidRPr="00AA1EEA" w:rsidRDefault="00A27FA3" w:rsidP="00A27FA3">
            <w:pPr>
              <w:ind w:left="10"/>
              <w:jc w:val="left"/>
              <w:rPr>
                <w:u w:val="single"/>
              </w:rPr>
            </w:pPr>
            <w:r w:rsidRPr="00AA1EEA">
              <w:rPr>
                <w:u w:val="single"/>
              </w:rPr>
              <w:t xml:space="preserve">Post Project Evaluations – </w:t>
            </w:r>
            <w:r>
              <w:rPr>
                <w:u w:val="single"/>
              </w:rPr>
              <w:t>Tracker</w:t>
            </w:r>
          </w:p>
          <w:p w14:paraId="42DD8C67" w14:textId="2F3630B1" w:rsidR="00A27FA3" w:rsidRPr="00AD0647" w:rsidRDefault="00A27FA3" w:rsidP="00A27FA3">
            <w:pPr>
              <w:ind w:left="10"/>
              <w:jc w:val="left"/>
            </w:pPr>
            <w:r w:rsidRPr="00AD0647">
              <w:t>PPE Tracker identifying status and Lessons Learned Register</w:t>
            </w:r>
            <w:r>
              <w:t>.</w:t>
            </w:r>
            <w:r w:rsidRPr="00AD0647">
              <w:t xml:space="preserve"> </w:t>
            </w:r>
          </w:p>
          <w:p w14:paraId="48601F1D" w14:textId="77777777" w:rsidR="00A27FA3" w:rsidRPr="00AD0647" w:rsidRDefault="00A27FA3" w:rsidP="00A27FA3">
            <w:pPr>
              <w:jc w:val="left"/>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22FD08F" w14:textId="77777777" w:rsidR="00A27FA3" w:rsidRDefault="00A27FA3" w:rsidP="00A27FA3">
            <w:pPr>
              <w:ind w:left="10"/>
              <w:jc w:val="left"/>
            </w:pPr>
            <w:r w:rsidRPr="00AD0647">
              <w:t>Bi-Annually</w:t>
            </w:r>
          </w:p>
          <w:p w14:paraId="2A967141" w14:textId="4D474B56" w:rsidR="00A27FA3" w:rsidRPr="00AD0647" w:rsidRDefault="00A27FA3" w:rsidP="00A27FA3">
            <w:pPr>
              <w:ind w:left="10"/>
              <w:jc w:val="left"/>
            </w:pPr>
            <w:r w:rsidRPr="00AA1EEA">
              <w:t>(commissioned March and October)</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68839CA8" w14:textId="38B4C52B" w:rsidR="00A27FA3" w:rsidRPr="00AD0647" w:rsidRDefault="00A27FA3" w:rsidP="00A27FA3">
            <w:pPr>
              <w:ind w:left="10"/>
            </w:pPr>
            <w:r>
              <w:t xml:space="preserve"> NITHC &amp; DfI</w:t>
            </w:r>
          </w:p>
        </w:tc>
      </w:tr>
      <w:tr w:rsidR="00A27FA3" w14:paraId="2E99C0B0" w14:textId="77777777" w:rsidTr="00287D50">
        <w:trPr>
          <w:trHeight w:val="1347"/>
        </w:trPr>
        <w:tc>
          <w:tcPr>
            <w:tcW w:w="4673" w:type="dxa"/>
            <w:tcBorders>
              <w:top w:val="single" w:sz="4" w:space="0" w:color="auto"/>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5F7EE27E" w14:textId="1B119D4C" w:rsidR="00A27FA3" w:rsidRDefault="00A27FA3" w:rsidP="00A27FA3">
            <w:pPr>
              <w:ind w:left="10"/>
              <w:jc w:val="left"/>
            </w:pPr>
            <w:r>
              <w:t>List of projects with a value of up to £</w:t>
            </w:r>
            <w:r w:rsidR="00DF5B3B">
              <w:t>10</w:t>
            </w:r>
            <w:r>
              <w:t xml:space="preserve">m for which Outline Business Cases have received appropriate internal approvals </w:t>
            </w:r>
            <w:r w:rsidR="0053297B">
              <w:t xml:space="preserve">including assurance that they are in the capital plan </w:t>
            </w:r>
            <w:r>
              <w:rPr>
                <w:i/>
                <w:iCs/>
              </w:rPr>
              <w:t>(Matters for approval).</w:t>
            </w:r>
          </w:p>
        </w:tc>
        <w:tc>
          <w:tcPr>
            <w:tcW w:w="2977" w:type="dxa"/>
            <w:tcBorders>
              <w:top w:val="single" w:sz="4" w:space="0" w:color="auto"/>
              <w:left w:val="nil"/>
              <w:bottom w:val="single" w:sz="8" w:space="0" w:color="000000" w:themeColor="text1"/>
              <w:right w:val="single" w:sz="8" w:space="0" w:color="000000" w:themeColor="text1"/>
            </w:tcBorders>
            <w:tcMar>
              <w:top w:w="10" w:type="dxa"/>
              <w:left w:w="107" w:type="dxa"/>
              <w:bottom w:w="0" w:type="dxa"/>
              <w:right w:w="41" w:type="dxa"/>
            </w:tcMar>
            <w:hideMark/>
          </w:tcPr>
          <w:p w14:paraId="21C3EC8B" w14:textId="645E5C3D" w:rsidR="00A27FA3" w:rsidRDefault="00A27FA3" w:rsidP="00A27FA3">
            <w:pPr>
              <w:ind w:left="10"/>
            </w:pPr>
            <w:r>
              <w:t>As required</w:t>
            </w:r>
          </w:p>
        </w:tc>
        <w:tc>
          <w:tcPr>
            <w:tcW w:w="1842" w:type="dxa"/>
            <w:tcBorders>
              <w:top w:val="single" w:sz="4" w:space="0" w:color="auto"/>
              <w:left w:val="nil"/>
              <w:bottom w:val="single" w:sz="8" w:space="0" w:color="000000" w:themeColor="text1"/>
              <w:right w:val="single" w:sz="8" w:space="0" w:color="000000" w:themeColor="text1"/>
            </w:tcBorders>
            <w:tcMar>
              <w:top w:w="10" w:type="dxa"/>
              <w:left w:w="107" w:type="dxa"/>
              <w:bottom w:w="0" w:type="dxa"/>
              <w:right w:w="41" w:type="dxa"/>
            </w:tcMar>
            <w:hideMark/>
          </w:tcPr>
          <w:p w14:paraId="74565221" w14:textId="15046C4F" w:rsidR="00A27FA3" w:rsidRDefault="00B91998" w:rsidP="00A27FA3">
            <w:pPr>
              <w:ind w:left="10"/>
            </w:pPr>
            <w:r>
              <w:t xml:space="preserve">NITHC </w:t>
            </w:r>
          </w:p>
        </w:tc>
      </w:tr>
      <w:tr w:rsidR="00A27FA3" w14:paraId="4E2D740B" w14:textId="77777777" w:rsidTr="005D1C08">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5B81EDC9" w14:textId="4016B2B3" w:rsidR="00A27FA3" w:rsidRDefault="00A27FA3" w:rsidP="00A27FA3">
            <w:pPr>
              <w:ind w:left="10"/>
              <w:jc w:val="left"/>
            </w:pPr>
            <w:r>
              <w:t xml:space="preserve">List of all self-funded projects as per DAO </w:t>
            </w:r>
            <w:r w:rsidR="00D31557" w:rsidRPr="00405AFF">
              <w:t>(DoF) 05/25</w:t>
            </w:r>
            <w:r w:rsidRPr="00405AFF">
              <w:t>.</w:t>
            </w: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228C2DA9" w14:textId="529A9279" w:rsidR="00A27FA3" w:rsidRDefault="00A27FA3" w:rsidP="00A27FA3">
            <w:pPr>
              <w:ind w:left="10"/>
            </w:pPr>
            <w:r>
              <w:t>Bi-Annually (commissioned March and October)</w:t>
            </w:r>
          </w:p>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76C0669C" w14:textId="63C1C683" w:rsidR="00A27FA3" w:rsidRDefault="00A27FA3" w:rsidP="00A27FA3">
            <w:pPr>
              <w:ind w:left="10"/>
            </w:pPr>
            <w:r>
              <w:t>NITHC</w:t>
            </w:r>
          </w:p>
        </w:tc>
      </w:tr>
      <w:tr w:rsidR="00A27FA3" w:rsidRPr="00AD0647" w14:paraId="5C1E36EB" w14:textId="77777777" w:rsidTr="286001E4">
        <w:trPr>
          <w:trHeight w:val="1347"/>
        </w:trPr>
        <w:tc>
          <w:tcPr>
            <w:tcW w:w="4673" w:type="dxa"/>
            <w:tcBorders>
              <w:top w:val="nil"/>
              <w:left w:val="single" w:sz="8" w:space="0" w:color="000000" w:themeColor="text1"/>
              <w:bottom w:val="single" w:sz="8" w:space="0" w:color="000000" w:themeColor="text1"/>
              <w:right w:val="single" w:sz="8" w:space="0" w:color="000000" w:themeColor="text1"/>
            </w:tcBorders>
            <w:tcMar>
              <w:top w:w="10" w:type="dxa"/>
              <w:left w:w="107" w:type="dxa"/>
              <w:bottom w:w="0" w:type="dxa"/>
              <w:right w:w="41" w:type="dxa"/>
            </w:tcMar>
          </w:tcPr>
          <w:p w14:paraId="3F8B4B53" w14:textId="30CD2D03" w:rsidR="00A27FA3" w:rsidRPr="00AD0647" w:rsidRDefault="00A27FA3" w:rsidP="00A27FA3">
            <w:pPr>
              <w:ind w:left="10"/>
              <w:jc w:val="left"/>
            </w:pPr>
            <w:r w:rsidRPr="00AD0647">
              <w:lastRenderedPageBreak/>
              <w:t xml:space="preserve">Test drill process </w:t>
            </w:r>
            <w:r>
              <w:t>on selected projects below £</w:t>
            </w:r>
            <w:r w:rsidR="00DF5B3B">
              <w:t>10</w:t>
            </w:r>
            <w:r>
              <w:t xml:space="preserve">m to also include all self-funded projects as per DAO </w:t>
            </w:r>
            <w:r w:rsidR="00D31557" w:rsidRPr="00405AFF">
              <w:t xml:space="preserve">(DoF) 05/25 </w:t>
            </w:r>
            <w:r w:rsidRPr="00405AFF">
              <w:t>.</w:t>
            </w:r>
          </w:p>
          <w:p w14:paraId="5DD57CC7" w14:textId="77777777" w:rsidR="00A27FA3" w:rsidRPr="00AD0647" w:rsidRDefault="00A27FA3" w:rsidP="00A27FA3">
            <w:pPr>
              <w:rPr>
                <w:u w:val="single"/>
              </w:rPr>
            </w:pPr>
          </w:p>
        </w:tc>
        <w:tc>
          <w:tcPr>
            <w:tcW w:w="2977" w:type="dxa"/>
            <w:tcBorders>
              <w:top w:val="nil"/>
              <w:left w:val="nil"/>
              <w:bottom w:val="single" w:sz="8" w:space="0" w:color="000000" w:themeColor="text1"/>
              <w:right w:val="single" w:sz="8" w:space="0" w:color="000000" w:themeColor="text1"/>
            </w:tcBorders>
            <w:tcMar>
              <w:top w:w="10" w:type="dxa"/>
              <w:left w:w="107" w:type="dxa"/>
              <w:bottom w:w="0" w:type="dxa"/>
              <w:right w:w="41" w:type="dxa"/>
            </w:tcMar>
          </w:tcPr>
          <w:p w14:paraId="6220BF06" w14:textId="588DA2CF" w:rsidR="00A27FA3" w:rsidRDefault="00A27FA3" w:rsidP="00A27FA3">
            <w:pPr>
              <w:ind w:left="10"/>
            </w:pPr>
            <w:r>
              <w:t>In line with programme agreed</w:t>
            </w:r>
            <w:r w:rsidRPr="00AD0647" w:rsidDel="00612C23">
              <w:t xml:space="preserve"> </w:t>
            </w:r>
            <w:r>
              <w:t xml:space="preserve">with NITHC </w:t>
            </w:r>
          </w:p>
          <w:p w14:paraId="2BCC6C39" w14:textId="17CA1888" w:rsidR="00A27FA3" w:rsidRPr="00AD0647" w:rsidRDefault="00A27FA3" w:rsidP="00A27FA3">
            <w:pPr>
              <w:ind w:left="10"/>
            </w:pPr>
            <w:r>
              <w:t>(commissioned March and October)</w:t>
            </w:r>
          </w:p>
          <w:p w14:paraId="1D4D3621" w14:textId="77777777" w:rsidR="00A27FA3" w:rsidRPr="00AD0647" w:rsidRDefault="00A27FA3" w:rsidP="00A27FA3"/>
        </w:tc>
        <w:tc>
          <w:tcPr>
            <w:tcW w:w="1842" w:type="dxa"/>
            <w:tcBorders>
              <w:top w:val="nil"/>
              <w:left w:val="nil"/>
              <w:bottom w:val="single" w:sz="8" w:space="0" w:color="000000" w:themeColor="text1"/>
              <w:right w:val="single" w:sz="8" w:space="0" w:color="000000" w:themeColor="text1"/>
            </w:tcBorders>
            <w:tcMar>
              <w:top w:w="10" w:type="dxa"/>
              <w:left w:w="107" w:type="dxa"/>
              <w:bottom w:w="0" w:type="dxa"/>
              <w:right w:w="41" w:type="dxa"/>
            </w:tcMar>
            <w:hideMark/>
          </w:tcPr>
          <w:p w14:paraId="36224783" w14:textId="7547EAE2" w:rsidR="00A27FA3" w:rsidRPr="00AD0647" w:rsidRDefault="00A27FA3" w:rsidP="00A27FA3">
            <w:pPr>
              <w:ind w:left="10"/>
            </w:pPr>
            <w:r>
              <w:t>NITHC &amp; DfI</w:t>
            </w:r>
          </w:p>
        </w:tc>
      </w:tr>
    </w:tbl>
    <w:p w14:paraId="0E2DB668" w14:textId="77777777" w:rsidR="00017CDA" w:rsidRPr="00AD0647" w:rsidRDefault="00017CDA" w:rsidP="004B45B3">
      <w:pPr>
        <w:ind w:left="0" w:firstLine="0"/>
        <w:rPr>
          <w:b/>
          <w:bCs/>
        </w:rPr>
      </w:pPr>
    </w:p>
    <w:p w14:paraId="7C13EB1E" w14:textId="77777777" w:rsidR="00017CDA" w:rsidRPr="00AD0647" w:rsidRDefault="00017CDA" w:rsidP="00017CDA">
      <w:pPr>
        <w:ind w:left="0" w:firstLine="0"/>
      </w:pPr>
    </w:p>
    <w:p w14:paraId="232FD736" w14:textId="77777777" w:rsidR="00017CDA" w:rsidRPr="00AD0647" w:rsidRDefault="00017CDA" w:rsidP="001A7855">
      <w:pPr>
        <w:ind w:left="730"/>
        <w:rPr>
          <w:b/>
          <w:bCs/>
        </w:rPr>
      </w:pPr>
      <w:r w:rsidRPr="00AD0647">
        <w:rPr>
          <w:b/>
          <w:bCs/>
        </w:rPr>
        <w:t>4.</w:t>
      </w:r>
      <w:r w:rsidRPr="00AD0647">
        <w:rPr>
          <w:b/>
          <w:bCs/>
        </w:rPr>
        <w:tab/>
        <w:t>Procurement</w:t>
      </w:r>
      <w:r w:rsidRPr="00AD0647">
        <w:rPr>
          <w:rStyle w:val="FootnoteReference"/>
          <w:b/>
          <w:bCs/>
        </w:rPr>
        <w:footnoteReference w:id="23"/>
      </w:r>
      <w:r w:rsidRPr="00AD0647">
        <w:rPr>
          <w:b/>
          <w:bCs/>
        </w:rPr>
        <w:t>  </w:t>
      </w:r>
    </w:p>
    <w:p w14:paraId="7D5FE916" w14:textId="77777777" w:rsidR="00017CDA" w:rsidRPr="00AD0647" w:rsidRDefault="00017CDA" w:rsidP="00017CDA">
      <w:r w:rsidRPr="00AD0647">
        <w:t> </w:t>
      </w:r>
    </w:p>
    <w:tbl>
      <w:tblPr>
        <w:tblStyle w:val="TableGrid"/>
        <w:tblW w:w="8789" w:type="dxa"/>
        <w:tblInd w:w="704" w:type="dxa"/>
        <w:tblLook w:val="04A0" w:firstRow="1" w:lastRow="0" w:firstColumn="1" w:lastColumn="0" w:noHBand="0" w:noVBand="1"/>
      </w:tblPr>
      <w:tblGrid>
        <w:gridCol w:w="5528"/>
        <w:gridCol w:w="3261"/>
      </w:tblGrid>
      <w:tr w:rsidR="00017CDA" w:rsidRPr="00AD0647" w14:paraId="7E89C1EB" w14:textId="77777777" w:rsidTr="003B1EDC">
        <w:tc>
          <w:tcPr>
            <w:tcW w:w="5528" w:type="dxa"/>
          </w:tcPr>
          <w:p w14:paraId="637DF337" w14:textId="77777777" w:rsidR="00017CDA" w:rsidRPr="00AD0647" w:rsidRDefault="00017CDA" w:rsidP="001E7E46">
            <w:pPr>
              <w:ind w:left="10"/>
              <w:rPr>
                <w:b/>
                <w:bCs/>
              </w:rPr>
            </w:pPr>
            <w:r w:rsidRPr="00AD0647">
              <w:rPr>
                <w:b/>
                <w:bCs/>
              </w:rPr>
              <w:t xml:space="preserve">Expenditure </w:t>
            </w:r>
          </w:p>
        </w:tc>
        <w:tc>
          <w:tcPr>
            <w:tcW w:w="3261" w:type="dxa"/>
          </w:tcPr>
          <w:p w14:paraId="71E8797E" w14:textId="77777777" w:rsidR="00017CDA" w:rsidRPr="00AD0647" w:rsidRDefault="00017CDA" w:rsidP="003B1EDC">
            <w:pPr>
              <w:rPr>
                <w:b/>
                <w:bCs/>
              </w:rPr>
            </w:pPr>
            <w:r w:rsidRPr="00AD0647">
              <w:rPr>
                <w:b/>
                <w:bCs/>
              </w:rPr>
              <w:t>Approval</w:t>
            </w:r>
          </w:p>
        </w:tc>
      </w:tr>
      <w:tr w:rsidR="00017CDA" w:rsidRPr="00AD0647" w14:paraId="2646A469" w14:textId="77777777" w:rsidTr="003B1EDC">
        <w:tc>
          <w:tcPr>
            <w:tcW w:w="5528" w:type="dxa"/>
          </w:tcPr>
          <w:p w14:paraId="05E14AFD" w14:textId="77777777" w:rsidR="00017CDA" w:rsidRPr="00AD0647" w:rsidRDefault="00017CDA" w:rsidP="001E7E46">
            <w:pPr>
              <w:ind w:left="10"/>
            </w:pPr>
            <w:r w:rsidRPr="00AD0647">
              <w:rPr>
                <w:b/>
                <w:bCs/>
              </w:rPr>
              <w:t>Direct Award Contracts</w:t>
            </w:r>
            <w:r w:rsidRPr="00AD0647">
              <w:t xml:space="preserve"> - </w:t>
            </w:r>
          </w:p>
          <w:p w14:paraId="2F066DB4" w14:textId="77777777" w:rsidR="00017CDA" w:rsidRPr="00AD0647" w:rsidRDefault="00017CDA" w:rsidP="001E7E46">
            <w:pPr>
              <w:ind w:left="10"/>
            </w:pPr>
          </w:p>
          <w:p w14:paraId="43120051" w14:textId="77777777" w:rsidR="00017CDA" w:rsidRDefault="00017CDA" w:rsidP="001E7E46">
            <w:pPr>
              <w:ind w:left="10"/>
            </w:pPr>
            <w:r w:rsidRPr="00AD0647">
              <w:t>Proposals to let direct award contracts where they have been agreed by NITHC Board and exceed £250,000</w:t>
            </w:r>
            <w:r w:rsidR="006578CB">
              <w:t>.</w:t>
            </w:r>
          </w:p>
          <w:p w14:paraId="1D737567" w14:textId="5B02E3E2" w:rsidR="00866463" w:rsidRDefault="00866463" w:rsidP="00757848">
            <w:pPr>
              <w:ind w:left="10"/>
            </w:pPr>
            <w:r w:rsidRPr="00866463">
              <w:t xml:space="preserve">Proposals to modify existing direct award contracts previously approved by the DfI </w:t>
            </w:r>
            <w:r w:rsidR="00D624CA" w:rsidRPr="00866463">
              <w:t>Accoun</w:t>
            </w:r>
            <w:r w:rsidR="00D624CA">
              <w:t>t</w:t>
            </w:r>
            <w:r w:rsidR="00D624CA" w:rsidRPr="00866463">
              <w:t>ing</w:t>
            </w:r>
            <w:r w:rsidRPr="00866463">
              <w:t xml:space="preserve"> Officer</w:t>
            </w:r>
          </w:p>
          <w:p w14:paraId="716BB054" w14:textId="77777777" w:rsidR="00866463" w:rsidRPr="00866463" w:rsidRDefault="00866463" w:rsidP="00757848">
            <w:pPr>
              <w:ind w:left="10"/>
            </w:pPr>
            <w:r w:rsidRPr="00866463">
              <w:t>Proposals to modify existing direct award contracts where the modification increases the contract value above £250,000</w:t>
            </w:r>
          </w:p>
          <w:p w14:paraId="24AB6929" w14:textId="706DF8DB" w:rsidR="00866463" w:rsidRPr="00AD0647" w:rsidRDefault="00866463" w:rsidP="001E7E46">
            <w:pPr>
              <w:ind w:left="10"/>
            </w:pPr>
          </w:p>
        </w:tc>
        <w:tc>
          <w:tcPr>
            <w:tcW w:w="3261" w:type="dxa"/>
          </w:tcPr>
          <w:p w14:paraId="5EEE0A68" w14:textId="77777777" w:rsidR="00017CDA" w:rsidRPr="00AD0647" w:rsidRDefault="00017CDA" w:rsidP="001E7E46">
            <w:pPr>
              <w:ind w:left="10"/>
              <w:jc w:val="left"/>
            </w:pPr>
            <w:r w:rsidRPr="00AD0647">
              <w:rPr>
                <w:b/>
                <w:bCs/>
              </w:rPr>
              <w:t>DfI’s Accounting Officer</w:t>
            </w:r>
            <w:r w:rsidRPr="00AD0647">
              <w:t xml:space="preserve"> </w:t>
            </w:r>
          </w:p>
          <w:p w14:paraId="6D1220AE" w14:textId="77777777" w:rsidR="00017CDA" w:rsidRPr="00AD0647" w:rsidRDefault="00017CDA" w:rsidP="001E7E46">
            <w:pPr>
              <w:ind w:left="10"/>
              <w:jc w:val="left"/>
            </w:pPr>
          </w:p>
          <w:p w14:paraId="6B7C9870" w14:textId="77777777" w:rsidR="00017CDA" w:rsidRPr="00AD0647" w:rsidRDefault="00017CDA" w:rsidP="001E7E46">
            <w:pPr>
              <w:ind w:left="10"/>
              <w:jc w:val="left"/>
            </w:pPr>
            <w:r w:rsidRPr="00AD0647">
              <w:rPr>
                <w:b/>
                <w:bCs/>
              </w:rPr>
              <w:t>DfI</w:t>
            </w:r>
            <w:r w:rsidRPr="00AD0647">
              <w:t xml:space="preserve"> - reserves the right to ask for an explanation of any direct award contract approved by any person below the £250,000 limit. </w:t>
            </w:r>
          </w:p>
          <w:p w14:paraId="25F0E9D0" w14:textId="77777777" w:rsidR="00017CDA" w:rsidRPr="00AD0647" w:rsidRDefault="00017CDA" w:rsidP="003B1EDC"/>
        </w:tc>
      </w:tr>
      <w:tr w:rsidR="00017CDA" w:rsidRPr="00AD0647" w14:paraId="5F3C404E" w14:textId="77777777" w:rsidTr="003B1EDC">
        <w:tc>
          <w:tcPr>
            <w:tcW w:w="5528" w:type="dxa"/>
          </w:tcPr>
          <w:p w14:paraId="7B80A026" w14:textId="77777777" w:rsidR="00017CDA" w:rsidRPr="00AD0647" w:rsidRDefault="00017CDA" w:rsidP="001E7E46">
            <w:pPr>
              <w:ind w:left="10"/>
            </w:pPr>
            <w:r w:rsidRPr="00AD0647">
              <w:rPr>
                <w:b/>
                <w:bCs/>
              </w:rPr>
              <w:t>External Consultancy</w:t>
            </w:r>
          </w:p>
          <w:p w14:paraId="108CBE87" w14:textId="77777777" w:rsidR="00017CDA" w:rsidRPr="00AD0647" w:rsidRDefault="00017CDA" w:rsidP="003B1EDC"/>
          <w:p w14:paraId="02760A1A" w14:textId="1A113076" w:rsidR="00017CDA" w:rsidRPr="00AD0647" w:rsidRDefault="00017CDA" w:rsidP="009865CB">
            <w:pPr>
              <w:ind w:left="20"/>
            </w:pPr>
            <w:r w:rsidRPr="00AD0647">
              <w:t xml:space="preserve">NITHC will adhere to the guidance issued by DfI in relation to the Use of Professional Services including External Consultants in line with FD (DoF) 07/12. </w:t>
            </w:r>
          </w:p>
          <w:p w14:paraId="056E3EBF" w14:textId="77777777" w:rsidR="00017CDA" w:rsidRPr="00AD0647" w:rsidRDefault="00017CDA" w:rsidP="009865CB">
            <w:pPr>
              <w:ind w:left="20"/>
            </w:pPr>
          </w:p>
          <w:p w14:paraId="04FC3B98" w14:textId="026BA3C5" w:rsidR="00017CDA" w:rsidRPr="00AD0647" w:rsidRDefault="00017CDA" w:rsidP="004B45B3">
            <w:pPr>
              <w:ind w:left="20"/>
            </w:pPr>
            <w:r w:rsidRPr="00AD0647">
              <w:t xml:space="preserve">Any decision to engage an external consultant must also be approved. </w:t>
            </w:r>
          </w:p>
        </w:tc>
        <w:tc>
          <w:tcPr>
            <w:tcW w:w="3261" w:type="dxa"/>
          </w:tcPr>
          <w:p w14:paraId="5B86D8E9" w14:textId="77777777" w:rsidR="00017CDA" w:rsidRPr="00AD0647" w:rsidRDefault="00017CDA" w:rsidP="00B45A11">
            <w:pPr>
              <w:ind w:left="10"/>
              <w:jc w:val="left"/>
            </w:pPr>
            <w:r w:rsidRPr="00AD0647">
              <w:rPr>
                <w:b/>
                <w:bCs/>
              </w:rPr>
              <w:t>Minister for Infrastructure</w:t>
            </w:r>
            <w:r w:rsidRPr="00AD0647">
              <w:t xml:space="preserve"> </w:t>
            </w:r>
          </w:p>
        </w:tc>
      </w:tr>
      <w:tr w:rsidR="00017CDA" w:rsidRPr="00AD0647" w14:paraId="2B67F83C" w14:textId="77777777" w:rsidTr="003B1EDC">
        <w:tc>
          <w:tcPr>
            <w:tcW w:w="5528" w:type="dxa"/>
          </w:tcPr>
          <w:p w14:paraId="257BCC20" w14:textId="77777777" w:rsidR="00017CDA" w:rsidRPr="00AD0647" w:rsidRDefault="00017CDA" w:rsidP="0006338A">
            <w:pPr>
              <w:ind w:left="10"/>
              <w:rPr>
                <w:b/>
                <w:bCs/>
              </w:rPr>
            </w:pPr>
            <w:r w:rsidRPr="00AD0647">
              <w:rPr>
                <w:b/>
                <w:bCs/>
              </w:rPr>
              <w:t>DAC External Consultancy</w:t>
            </w:r>
          </w:p>
          <w:p w14:paraId="1952AEA9" w14:textId="77777777" w:rsidR="00017CDA" w:rsidRPr="00AD0647" w:rsidRDefault="00017CDA" w:rsidP="0006338A">
            <w:pPr>
              <w:ind w:left="10"/>
            </w:pPr>
          </w:p>
          <w:p w14:paraId="1403445E" w14:textId="77777777" w:rsidR="00017CDA" w:rsidRPr="00AD0647" w:rsidRDefault="00017CDA" w:rsidP="0006338A">
            <w:pPr>
              <w:ind w:left="10"/>
            </w:pPr>
            <w:r w:rsidRPr="00AD0647">
              <w:lastRenderedPageBreak/>
              <w:t>Approval in line with NITHC’s delegated limits for awarding DACs. </w:t>
            </w:r>
          </w:p>
          <w:p w14:paraId="5C627BC0" w14:textId="77777777" w:rsidR="00017CDA" w:rsidRPr="00AD0647" w:rsidRDefault="00017CDA" w:rsidP="003B1EDC"/>
        </w:tc>
        <w:tc>
          <w:tcPr>
            <w:tcW w:w="3261" w:type="dxa"/>
          </w:tcPr>
          <w:p w14:paraId="49325808" w14:textId="77777777" w:rsidR="00017CDA" w:rsidRPr="00AD0647" w:rsidRDefault="00017CDA" w:rsidP="0006338A">
            <w:pPr>
              <w:ind w:left="10"/>
            </w:pPr>
            <w:r w:rsidRPr="00AD0647">
              <w:rPr>
                <w:b/>
                <w:bCs/>
              </w:rPr>
              <w:lastRenderedPageBreak/>
              <w:t>DfI Permanent Secretary</w:t>
            </w:r>
            <w:r w:rsidRPr="00AD0647">
              <w:t xml:space="preserve"> </w:t>
            </w:r>
          </w:p>
        </w:tc>
      </w:tr>
    </w:tbl>
    <w:p w14:paraId="0C17B71B" w14:textId="6CD62EE7" w:rsidR="00017CDA" w:rsidRPr="00AD0647" w:rsidRDefault="00017CDA" w:rsidP="004B45B3">
      <w:pPr>
        <w:ind w:left="0" w:firstLine="0"/>
      </w:pPr>
    </w:p>
    <w:p w14:paraId="04D84A53" w14:textId="68AA4AE1" w:rsidR="00017CDA" w:rsidRDefault="005941AD" w:rsidP="00852DF6">
      <w:pPr>
        <w:ind w:left="720"/>
        <w:rPr>
          <w:b/>
          <w:bCs/>
        </w:rPr>
      </w:pPr>
      <w:r>
        <w:rPr>
          <w:b/>
          <w:bCs/>
        </w:rPr>
        <w:t>5</w:t>
      </w:r>
      <w:r w:rsidR="00017CDA" w:rsidRPr="00AD0647">
        <w:rPr>
          <w:b/>
          <w:bCs/>
        </w:rPr>
        <w:t>.</w:t>
      </w:r>
      <w:r w:rsidR="00017CDA" w:rsidRPr="00AD0647">
        <w:rPr>
          <w:b/>
          <w:bCs/>
        </w:rPr>
        <w:tab/>
        <w:t>Grant or Loan Schemes </w:t>
      </w:r>
    </w:p>
    <w:p w14:paraId="27A3424E" w14:textId="77777777" w:rsidR="005C43AC" w:rsidRPr="00AD0647" w:rsidRDefault="005C43AC" w:rsidP="00017CDA">
      <w:pPr>
        <w:rPr>
          <w:b/>
          <w:bCs/>
        </w:rPr>
      </w:pPr>
    </w:p>
    <w:p w14:paraId="78A7F883" w14:textId="77777777" w:rsidR="00017CDA" w:rsidRPr="00AD0647" w:rsidRDefault="00017CDA" w:rsidP="00D36899">
      <w:pPr>
        <w:ind w:left="1440" w:firstLine="0"/>
      </w:pPr>
      <w:r w:rsidRPr="00AD0647">
        <w:t>All proposals to make a grant or loan to a third party, including the related terms and conditions attached to the grant or loan must be approved by DfI and DoF.</w:t>
      </w:r>
    </w:p>
    <w:p w14:paraId="678E306D" w14:textId="7845DB76" w:rsidR="001A7855" w:rsidRDefault="00D36899" w:rsidP="00D36899">
      <w:pPr>
        <w:ind w:left="740"/>
      </w:pPr>
      <w:r>
        <w:tab/>
      </w:r>
    </w:p>
    <w:p w14:paraId="5EF5B9CA" w14:textId="6E12F000" w:rsidR="00017CDA" w:rsidRDefault="00017CDA" w:rsidP="00D36899">
      <w:pPr>
        <w:ind w:left="1440" w:firstLine="0"/>
      </w:pPr>
      <w:r w:rsidRPr="00AD0647">
        <w:t>The terms and conditions of grant or loan must include a requirement on the recipient to prepare accounts and ensure that its books and records in relation to the grant or loan are readily available for inspection by NITHC, DfI and DoF.</w:t>
      </w:r>
    </w:p>
    <w:p w14:paraId="504A52D8" w14:textId="77777777" w:rsidR="00F92CEE" w:rsidRPr="00AD0647" w:rsidRDefault="00F92CEE" w:rsidP="00D36899">
      <w:pPr>
        <w:ind w:left="1440" w:firstLine="0"/>
      </w:pPr>
    </w:p>
    <w:p w14:paraId="2BA45FFA" w14:textId="77777777" w:rsidR="00017CDA" w:rsidRPr="00AD0647" w:rsidRDefault="00017CDA" w:rsidP="00017CDA"/>
    <w:p w14:paraId="5C02D036" w14:textId="567D16FC" w:rsidR="00017CDA" w:rsidRDefault="005941AD" w:rsidP="00852DF6">
      <w:pPr>
        <w:ind w:left="720"/>
        <w:rPr>
          <w:b/>
          <w:bCs/>
        </w:rPr>
      </w:pPr>
      <w:r>
        <w:rPr>
          <w:b/>
          <w:bCs/>
        </w:rPr>
        <w:t>6</w:t>
      </w:r>
      <w:r w:rsidR="00017CDA" w:rsidRPr="00AD0647">
        <w:rPr>
          <w:b/>
          <w:bCs/>
        </w:rPr>
        <w:t>.</w:t>
      </w:r>
      <w:r w:rsidR="00852DF6">
        <w:rPr>
          <w:b/>
          <w:bCs/>
        </w:rPr>
        <w:tab/>
      </w:r>
      <w:r w:rsidR="00017CDA" w:rsidRPr="00AD0647">
        <w:rPr>
          <w:b/>
          <w:bCs/>
        </w:rPr>
        <w:t>Financial Investments </w:t>
      </w:r>
    </w:p>
    <w:p w14:paraId="72FA9203" w14:textId="77777777" w:rsidR="00017CDA" w:rsidRPr="00AD0647" w:rsidRDefault="00017CDA" w:rsidP="00017CDA">
      <w:pPr>
        <w:rPr>
          <w:b/>
          <w:bCs/>
        </w:rPr>
      </w:pPr>
    </w:p>
    <w:tbl>
      <w:tblPr>
        <w:tblStyle w:val="TableGrid"/>
        <w:tblW w:w="8789" w:type="dxa"/>
        <w:tblInd w:w="704" w:type="dxa"/>
        <w:tblLook w:val="04A0" w:firstRow="1" w:lastRow="0" w:firstColumn="1" w:lastColumn="0" w:noHBand="0" w:noVBand="1"/>
      </w:tblPr>
      <w:tblGrid>
        <w:gridCol w:w="4536"/>
        <w:gridCol w:w="4253"/>
      </w:tblGrid>
      <w:tr w:rsidR="00017CDA" w:rsidRPr="00AD0647" w14:paraId="52884791" w14:textId="77777777" w:rsidTr="003B1EDC">
        <w:tc>
          <w:tcPr>
            <w:tcW w:w="4536" w:type="dxa"/>
          </w:tcPr>
          <w:p w14:paraId="11C07A99" w14:textId="77777777" w:rsidR="00017CDA" w:rsidRPr="00AD0647" w:rsidRDefault="00017CDA" w:rsidP="003B1EDC">
            <w:pPr>
              <w:spacing w:after="160" w:line="259" w:lineRule="auto"/>
              <w:rPr>
                <w:b/>
                <w:bCs/>
              </w:rPr>
            </w:pPr>
            <w:r w:rsidRPr="00AD0647">
              <w:rPr>
                <w:b/>
                <w:bCs/>
              </w:rPr>
              <w:t xml:space="preserve">Item </w:t>
            </w:r>
          </w:p>
        </w:tc>
        <w:tc>
          <w:tcPr>
            <w:tcW w:w="4253" w:type="dxa"/>
          </w:tcPr>
          <w:p w14:paraId="202BFCA7" w14:textId="77777777" w:rsidR="00017CDA" w:rsidRPr="00AD0647" w:rsidRDefault="00017CDA" w:rsidP="003B1EDC">
            <w:pPr>
              <w:spacing w:after="160" w:line="259" w:lineRule="auto"/>
              <w:rPr>
                <w:b/>
                <w:bCs/>
              </w:rPr>
            </w:pPr>
            <w:r w:rsidRPr="00AD0647">
              <w:rPr>
                <w:b/>
                <w:bCs/>
              </w:rPr>
              <w:t xml:space="preserve">Approval </w:t>
            </w:r>
          </w:p>
        </w:tc>
      </w:tr>
      <w:tr w:rsidR="00017CDA" w:rsidRPr="00AD0647" w14:paraId="34CC762D" w14:textId="77777777" w:rsidTr="003B1EDC">
        <w:tc>
          <w:tcPr>
            <w:tcW w:w="4536" w:type="dxa"/>
          </w:tcPr>
          <w:p w14:paraId="512E68A8" w14:textId="77777777" w:rsidR="00017CDA" w:rsidRPr="00AD0647" w:rsidRDefault="00017CDA" w:rsidP="003B1EDC">
            <w:pPr>
              <w:spacing w:after="160" w:line="259" w:lineRule="auto"/>
              <w:rPr>
                <w:b/>
                <w:bCs/>
              </w:rPr>
            </w:pPr>
            <w:r w:rsidRPr="00AD0647">
              <w:t xml:space="preserve">Investments in traded financial instruments outside established policy. </w:t>
            </w:r>
          </w:p>
        </w:tc>
        <w:tc>
          <w:tcPr>
            <w:tcW w:w="4253" w:type="dxa"/>
          </w:tcPr>
          <w:p w14:paraId="7C71CCD8" w14:textId="77777777" w:rsidR="00017CDA" w:rsidRPr="00AD0647" w:rsidRDefault="00017CDA" w:rsidP="003B1EDC">
            <w:pPr>
              <w:spacing w:after="160" w:line="259" w:lineRule="auto"/>
              <w:rPr>
                <w:b/>
                <w:bCs/>
              </w:rPr>
            </w:pPr>
            <w:r w:rsidRPr="00AD0647">
              <w:t>DfI and DoF where appropriate  </w:t>
            </w:r>
          </w:p>
        </w:tc>
      </w:tr>
      <w:tr w:rsidR="00017CDA" w:rsidRPr="00AD0647" w14:paraId="41B97F2F" w14:textId="77777777" w:rsidTr="003B1EDC">
        <w:trPr>
          <w:trHeight w:val="510"/>
        </w:trPr>
        <w:tc>
          <w:tcPr>
            <w:tcW w:w="4536" w:type="dxa"/>
          </w:tcPr>
          <w:p w14:paraId="22DE71FE" w14:textId="77777777" w:rsidR="00017CDA" w:rsidRPr="00AD0647" w:rsidRDefault="00017CDA" w:rsidP="003B1EDC">
            <w:pPr>
              <w:spacing w:after="160" w:line="259" w:lineRule="auto"/>
              <w:rPr>
                <w:b/>
                <w:bCs/>
              </w:rPr>
            </w:pPr>
            <w:r w:rsidRPr="00AD0647">
              <w:t>Equity shares in ventures which further the objectives of NITHC</w:t>
            </w:r>
          </w:p>
        </w:tc>
        <w:tc>
          <w:tcPr>
            <w:tcW w:w="4253" w:type="dxa"/>
          </w:tcPr>
          <w:p w14:paraId="4AC7E85A" w14:textId="77777777" w:rsidR="00017CDA" w:rsidRPr="00AD0647" w:rsidRDefault="00017CDA" w:rsidP="003B1EDC">
            <w:pPr>
              <w:spacing w:after="160" w:line="259" w:lineRule="auto"/>
              <w:rPr>
                <w:b/>
                <w:bCs/>
              </w:rPr>
            </w:pPr>
            <w:r w:rsidRPr="00AD0647">
              <w:t>DfI and DoF</w:t>
            </w:r>
          </w:p>
          <w:p w14:paraId="72299EAE" w14:textId="77777777" w:rsidR="00017CDA" w:rsidRPr="00AD0647" w:rsidRDefault="00017CDA" w:rsidP="003B1EDC">
            <w:pPr>
              <w:spacing w:after="160" w:line="259" w:lineRule="auto"/>
              <w:rPr>
                <w:b/>
                <w:bCs/>
              </w:rPr>
            </w:pPr>
          </w:p>
        </w:tc>
      </w:tr>
    </w:tbl>
    <w:p w14:paraId="37408A2E" w14:textId="42822215" w:rsidR="00993200" w:rsidRDefault="00993200" w:rsidP="004B45B3">
      <w:pPr>
        <w:ind w:left="0" w:firstLine="0"/>
        <w:rPr>
          <w:b/>
          <w:bCs/>
        </w:rPr>
      </w:pPr>
    </w:p>
    <w:p w14:paraId="3D236684" w14:textId="77777777" w:rsidR="00287D50" w:rsidRDefault="00287D50" w:rsidP="004B45B3">
      <w:pPr>
        <w:ind w:left="0" w:firstLine="0"/>
        <w:rPr>
          <w:b/>
          <w:bCs/>
        </w:rPr>
      </w:pPr>
    </w:p>
    <w:p w14:paraId="0DF98A49" w14:textId="5ABA46F2" w:rsidR="00017CDA" w:rsidRPr="00AD0647" w:rsidRDefault="005941AD" w:rsidP="00823013">
      <w:pPr>
        <w:ind w:firstLine="372"/>
      </w:pPr>
      <w:r>
        <w:rPr>
          <w:b/>
          <w:bCs/>
        </w:rPr>
        <w:t>7</w:t>
      </w:r>
      <w:r w:rsidR="00017CDA" w:rsidRPr="00823013">
        <w:rPr>
          <w:b/>
          <w:bCs/>
        </w:rPr>
        <w:t>.</w:t>
      </w:r>
      <w:r w:rsidR="00017CDA" w:rsidRPr="00823013">
        <w:rPr>
          <w:b/>
          <w:bCs/>
        </w:rPr>
        <w:tab/>
      </w:r>
      <w:r w:rsidR="00017CDA" w:rsidRPr="00AD0647">
        <w:rPr>
          <w:b/>
          <w:bCs/>
        </w:rPr>
        <w:t xml:space="preserve">NITHC Derogations </w:t>
      </w:r>
    </w:p>
    <w:p w14:paraId="393ADBA6" w14:textId="77777777" w:rsidR="00017CDA" w:rsidRPr="00AD0647" w:rsidRDefault="00017CDA" w:rsidP="00017CDA">
      <w:pPr>
        <w:ind w:left="720" w:hanging="720"/>
      </w:pPr>
      <w:r w:rsidRPr="00AD0647">
        <w:tab/>
      </w:r>
    </w:p>
    <w:tbl>
      <w:tblPr>
        <w:tblStyle w:val="TableGrid"/>
        <w:tblW w:w="8773" w:type="dxa"/>
        <w:tblInd w:w="720" w:type="dxa"/>
        <w:tblLook w:val="04A0" w:firstRow="1" w:lastRow="0" w:firstColumn="1" w:lastColumn="0" w:noHBand="0" w:noVBand="1"/>
      </w:tblPr>
      <w:tblGrid>
        <w:gridCol w:w="1969"/>
        <w:gridCol w:w="6804"/>
      </w:tblGrid>
      <w:tr w:rsidR="00017CDA" w:rsidRPr="00AD0647" w14:paraId="3D55DC2E" w14:textId="77777777" w:rsidTr="003B1EDC">
        <w:tc>
          <w:tcPr>
            <w:tcW w:w="8773" w:type="dxa"/>
            <w:gridSpan w:val="2"/>
          </w:tcPr>
          <w:p w14:paraId="220953EF" w14:textId="77777777" w:rsidR="00017CDA" w:rsidRPr="00AD0647" w:rsidRDefault="00017CDA" w:rsidP="00823013">
            <w:pPr>
              <w:ind w:left="10"/>
              <w:jc w:val="left"/>
              <w:rPr>
                <w:b/>
                <w:bCs/>
              </w:rPr>
            </w:pPr>
            <w:r w:rsidRPr="00AD0647">
              <w:rPr>
                <w:b/>
                <w:bCs/>
              </w:rPr>
              <w:t>Where there are conflicts resulting from NITHC's need to comply with the requirements of Companies Legislation, the following derogations from MPMNI are in place: </w:t>
            </w:r>
          </w:p>
          <w:p w14:paraId="5AE5CF7D" w14:textId="77777777" w:rsidR="00017CDA" w:rsidRPr="00AD0647" w:rsidRDefault="00017CDA" w:rsidP="003B1EDC"/>
        </w:tc>
      </w:tr>
      <w:tr w:rsidR="00017CDA" w:rsidRPr="00AD0647" w14:paraId="420E531A" w14:textId="77777777" w:rsidTr="003B1EDC">
        <w:tc>
          <w:tcPr>
            <w:tcW w:w="1969" w:type="dxa"/>
          </w:tcPr>
          <w:p w14:paraId="21ECAE86" w14:textId="77777777" w:rsidR="00017CDA" w:rsidRPr="00AD0647" w:rsidRDefault="00017CDA" w:rsidP="00EC3313">
            <w:pPr>
              <w:rPr>
                <w:b/>
                <w:bCs/>
              </w:rPr>
            </w:pPr>
            <w:r w:rsidRPr="00AD0647">
              <w:rPr>
                <w:b/>
                <w:bCs/>
              </w:rPr>
              <w:t>Board</w:t>
            </w:r>
          </w:p>
        </w:tc>
        <w:tc>
          <w:tcPr>
            <w:tcW w:w="6804" w:type="dxa"/>
          </w:tcPr>
          <w:p w14:paraId="07577ACA" w14:textId="219CE548" w:rsidR="00017CDA" w:rsidRPr="00AD0647" w:rsidRDefault="00017CDA" w:rsidP="003B1EDC">
            <w:r w:rsidRPr="00AD0647">
              <w:t xml:space="preserve">The NITHC Board operates under the requirements of Companies Legislation and the relevant sections of the </w:t>
            </w:r>
            <w:r w:rsidRPr="00AD0647">
              <w:rPr>
                <w:b/>
                <w:bCs/>
              </w:rPr>
              <w:t xml:space="preserve">UK </w:t>
            </w:r>
            <w:r w:rsidRPr="00AD0647">
              <w:rPr>
                <w:b/>
                <w:bCs/>
              </w:rPr>
              <w:lastRenderedPageBreak/>
              <w:t xml:space="preserve">Corporate Governance Code </w:t>
            </w:r>
            <w:r w:rsidRPr="00AD0647">
              <w:t xml:space="preserve">as opposed to the 'advisory Board' framework operating within other parts of the public sector. NITHC's Board is therefore required to undertake its duties, functions and liabilities in accordance with the statutory requirements of Companies Legislation. </w:t>
            </w:r>
          </w:p>
        </w:tc>
      </w:tr>
      <w:tr w:rsidR="00017CDA" w:rsidRPr="00AD0647" w14:paraId="10BA7AE6" w14:textId="77777777" w:rsidTr="003B1EDC">
        <w:tc>
          <w:tcPr>
            <w:tcW w:w="1969" w:type="dxa"/>
          </w:tcPr>
          <w:p w14:paraId="3A96DD5E" w14:textId="77777777" w:rsidR="00017CDA" w:rsidRPr="00AD0647" w:rsidRDefault="00017CDA" w:rsidP="003B1EDC">
            <w:pPr>
              <w:rPr>
                <w:b/>
                <w:bCs/>
              </w:rPr>
            </w:pPr>
            <w:r w:rsidRPr="00AD0647">
              <w:rPr>
                <w:b/>
                <w:bCs/>
              </w:rPr>
              <w:lastRenderedPageBreak/>
              <w:t>Banking</w:t>
            </w:r>
          </w:p>
        </w:tc>
        <w:tc>
          <w:tcPr>
            <w:tcW w:w="6804" w:type="dxa"/>
          </w:tcPr>
          <w:p w14:paraId="48B73F95" w14:textId="26E6FF1F" w:rsidR="00017CDA" w:rsidRPr="00AD0647" w:rsidRDefault="00017CDA" w:rsidP="003B1EDC">
            <w:r w:rsidRPr="00AD0647">
              <w:t xml:space="preserve">NITHC's banking arrangements provide for the management of cash in certain bank accounts held outside the 'pool' of bank accounts envisaged within MPMNI. Any changes to these arrangements and/or entering </w:t>
            </w:r>
            <w:r w:rsidR="00B61C9A" w:rsidRPr="00AD0647">
              <w:t>into</w:t>
            </w:r>
            <w:r w:rsidRPr="00AD0647">
              <w:t xml:space="preserve"> indemnities requested by commercial banks is subject to DoF approval as outlined in annex 2 of </w:t>
            </w:r>
            <w:r w:rsidRPr="00405AFF">
              <w:t xml:space="preserve">DAO (DoF) </w:t>
            </w:r>
            <w:r w:rsidR="00D7271B" w:rsidRPr="00405AFF">
              <w:t>05/25</w:t>
            </w:r>
            <w:r w:rsidRPr="00405AFF">
              <w:t>.</w:t>
            </w:r>
            <w:r w:rsidRPr="00AD0647">
              <w:t> </w:t>
            </w:r>
          </w:p>
          <w:p w14:paraId="390F0834" w14:textId="77777777" w:rsidR="00017CDA" w:rsidRPr="00AD0647" w:rsidRDefault="00017CDA" w:rsidP="003B1EDC"/>
        </w:tc>
      </w:tr>
      <w:tr w:rsidR="00017CDA" w:rsidRPr="00AD0647" w14:paraId="18F282FF" w14:textId="77777777" w:rsidTr="003B1EDC">
        <w:tc>
          <w:tcPr>
            <w:tcW w:w="1969" w:type="dxa"/>
          </w:tcPr>
          <w:p w14:paraId="5D099262" w14:textId="77777777" w:rsidR="00017CDA" w:rsidRPr="00AD0647" w:rsidRDefault="00017CDA" w:rsidP="003B1EDC">
            <w:pPr>
              <w:rPr>
                <w:b/>
                <w:bCs/>
              </w:rPr>
            </w:pPr>
            <w:r w:rsidRPr="00AD0647">
              <w:rPr>
                <w:b/>
                <w:bCs/>
              </w:rPr>
              <w:t>Insurance</w:t>
            </w:r>
          </w:p>
        </w:tc>
        <w:tc>
          <w:tcPr>
            <w:tcW w:w="6804" w:type="dxa"/>
          </w:tcPr>
          <w:p w14:paraId="5341A8B8" w14:textId="374B7BE7" w:rsidR="00017CDA" w:rsidRPr="00AD0647" w:rsidRDefault="00017CDA" w:rsidP="003B1EDC">
            <w:r w:rsidRPr="00AD0647">
              <w:t>NITHC has insurance arrangements in place to manage the risks associated with the absence of Crown Immunity. NITHC uses commercial insurance policies covering public and employer's liability. This is in addition to the limited circumstances envisaged under MPMNI under which commercial insurance would be used (e.g. vehicles under the Road Traffic Acts</w:t>
            </w:r>
          </w:p>
        </w:tc>
      </w:tr>
      <w:tr w:rsidR="00017CDA" w:rsidRPr="00AD0647" w14:paraId="01B4FAD7" w14:textId="77777777" w:rsidTr="003B1EDC">
        <w:tc>
          <w:tcPr>
            <w:tcW w:w="1969" w:type="dxa"/>
          </w:tcPr>
          <w:p w14:paraId="2A98368C" w14:textId="77777777" w:rsidR="00017CDA" w:rsidRPr="00AD0647" w:rsidRDefault="00017CDA" w:rsidP="00F0514D">
            <w:pPr>
              <w:ind w:left="10"/>
              <w:jc w:val="left"/>
              <w:rPr>
                <w:b/>
                <w:bCs/>
              </w:rPr>
            </w:pPr>
            <w:r w:rsidRPr="00AD0647">
              <w:rPr>
                <w:b/>
                <w:bCs/>
              </w:rPr>
              <w:t xml:space="preserve">Major losses not covered by insurance </w:t>
            </w:r>
          </w:p>
        </w:tc>
        <w:tc>
          <w:tcPr>
            <w:tcW w:w="6804" w:type="dxa"/>
          </w:tcPr>
          <w:p w14:paraId="2C715E65" w14:textId="77777777" w:rsidR="00017CDA" w:rsidRPr="00AD0647" w:rsidRDefault="00017CDA" w:rsidP="003B1EDC">
            <w:r w:rsidRPr="00AD0647">
              <w:t>Arrangements for covering these losses is set out as follows:  </w:t>
            </w:r>
          </w:p>
          <w:p w14:paraId="143F11C0" w14:textId="77777777" w:rsidR="00017CDA" w:rsidRPr="00AD0647" w:rsidRDefault="00017CDA" w:rsidP="003B1EDC"/>
          <w:p w14:paraId="45C06A26" w14:textId="0CFF8AF2" w:rsidR="00017CDA" w:rsidRPr="00AD0647" w:rsidRDefault="00017CDA" w:rsidP="00287D50">
            <w:r w:rsidRPr="00AD0647">
              <w:t>In the event of the NITHC suffering a major loss any part of which is not covered by insurance, DfI should be informed immediately and details provided as to the nature and amount involved. DfI normally expects NITHC to fund any loss/liability from within its own resources. However, if circumstances arise where this is not possible, NITHC may bid to DfI for the additional resources required by means of an appropriate business case. If a bid does arise, DfI will consult with DoF and it will be dealt with on its merits and in light of available resources. </w:t>
            </w:r>
          </w:p>
        </w:tc>
      </w:tr>
      <w:tr w:rsidR="00017CDA" w:rsidRPr="00AD0647" w14:paraId="108BDBEF" w14:textId="77777777" w:rsidTr="003B1EDC">
        <w:tc>
          <w:tcPr>
            <w:tcW w:w="1969" w:type="dxa"/>
          </w:tcPr>
          <w:p w14:paraId="1707C514" w14:textId="77777777" w:rsidR="00017CDA" w:rsidRPr="00AD0647" w:rsidRDefault="00017CDA" w:rsidP="006F2518">
            <w:pPr>
              <w:ind w:left="10"/>
              <w:rPr>
                <w:b/>
                <w:bCs/>
              </w:rPr>
            </w:pPr>
            <w:r w:rsidRPr="00AD0647">
              <w:rPr>
                <w:b/>
                <w:bCs/>
              </w:rPr>
              <w:t>Taxation</w:t>
            </w:r>
          </w:p>
        </w:tc>
        <w:tc>
          <w:tcPr>
            <w:tcW w:w="6804" w:type="dxa"/>
          </w:tcPr>
          <w:p w14:paraId="202041DF" w14:textId="1CC1C566" w:rsidR="00017CDA" w:rsidRPr="00AD0647" w:rsidRDefault="00017CDA" w:rsidP="003B1EDC">
            <w:r w:rsidRPr="00AD0647">
              <w:t>NITHC is subject to the tax regimes in force by HMRC   </w:t>
            </w:r>
          </w:p>
        </w:tc>
      </w:tr>
    </w:tbl>
    <w:p w14:paraId="60812415" w14:textId="77777777" w:rsidR="00017CDA" w:rsidRDefault="00017CDA" w:rsidP="00017CDA">
      <w:pPr>
        <w:rPr>
          <w:b/>
          <w:bCs/>
        </w:rPr>
      </w:pPr>
    </w:p>
    <w:p w14:paraId="08C6A259" w14:textId="77777777" w:rsidR="004B45B3" w:rsidRPr="00AD0647" w:rsidRDefault="004B45B3" w:rsidP="00017CDA">
      <w:pPr>
        <w:rPr>
          <w:b/>
          <w:bCs/>
        </w:rPr>
      </w:pPr>
    </w:p>
    <w:p w14:paraId="555225AD" w14:textId="239B38A1" w:rsidR="00017CDA" w:rsidRPr="006F2518" w:rsidRDefault="005941AD" w:rsidP="0031045B">
      <w:pPr>
        <w:ind w:firstLine="372"/>
        <w:rPr>
          <w:b/>
          <w:bCs/>
        </w:rPr>
      </w:pPr>
      <w:r>
        <w:rPr>
          <w:b/>
          <w:bCs/>
        </w:rPr>
        <w:t xml:space="preserve">8. </w:t>
      </w:r>
      <w:r w:rsidR="00017CDA" w:rsidRPr="006F2518">
        <w:rPr>
          <w:b/>
          <w:bCs/>
        </w:rPr>
        <w:t xml:space="preserve">External Consultancy </w:t>
      </w:r>
    </w:p>
    <w:p w14:paraId="5D536312" w14:textId="77777777" w:rsidR="006F2518" w:rsidRPr="006F2518" w:rsidRDefault="006F2518" w:rsidP="00BD059A">
      <w:pPr>
        <w:pStyle w:val="ListParagraph"/>
        <w:ind w:left="1058" w:firstLine="0"/>
        <w:rPr>
          <w:b/>
          <w:bCs/>
        </w:rPr>
      </w:pPr>
    </w:p>
    <w:p w14:paraId="4B7C34D7" w14:textId="71470515" w:rsidR="00017CDA" w:rsidRPr="00AD0647" w:rsidRDefault="005941AD" w:rsidP="006F2518">
      <w:pPr>
        <w:ind w:firstLine="372"/>
      </w:pPr>
      <w:r>
        <w:t>8</w:t>
      </w:r>
      <w:r w:rsidR="00017CDA" w:rsidRPr="00AD0647">
        <w:t>.1</w:t>
      </w:r>
      <w:r w:rsidR="00017CDA" w:rsidRPr="00AD0647">
        <w:tab/>
        <w:t xml:space="preserve">Details of the information and returns to be provided to DfI are as follows: </w:t>
      </w:r>
    </w:p>
    <w:tbl>
      <w:tblPr>
        <w:tblStyle w:val="TableGrid"/>
        <w:tblW w:w="8789" w:type="dxa"/>
        <w:tblInd w:w="704" w:type="dxa"/>
        <w:tblLook w:val="04A0" w:firstRow="1" w:lastRow="0" w:firstColumn="1" w:lastColumn="0" w:noHBand="0" w:noVBand="1"/>
      </w:tblPr>
      <w:tblGrid>
        <w:gridCol w:w="6095"/>
        <w:gridCol w:w="2694"/>
      </w:tblGrid>
      <w:tr w:rsidR="00017CDA" w:rsidRPr="00AD0647" w14:paraId="03D7EA69" w14:textId="77777777" w:rsidTr="003B1EDC">
        <w:tc>
          <w:tcPr>
            <w:tcW w:w="6095" w:type="dxa"/>
          </w:tcPr>
          <w:p w14:paraId="7703F185" w14:textId="77777777" w:rsidR="00017CDA" w:rsidRPr="00AD0647" w:rsidRDefault="00017CDA" w:rsidP="003B1EDC">
            <w:pPr>
              <w:rPr>
                <w:b/>
                <w:bCs/>
              </w:rPr>
            </w:pPr>
            <w:r w:rsidRPr="00AD0647">
              <w:rPr>
                <w:b/>
                <w:bCs/>
              </w:rPr>
              <w:t>Item and Purpose</w:t>
            </w:r>
          </w:p>
        </w:tc>
        <w:tc>
          <w:tcPr>
            <w:tcW w:w="2694" w:type="dxa"/>
          </w:tcPr>
          <w:p w14:paraId="6D557E37" w14:textId="77777777" w:rsidR="00017CDA" w:rsidRPr="00AD0647" w:rsidRDefault="00017CDA" w:rsidP="003B1EDC">
            <w:pPr>
              <w:rPr>
                <w:b/>
                <w:bCs/>
              </w:rPr>
            </w:pPr>
            <w:r w:rsidRPr="00AD0647">
              <w:rPr>
                <w:b/>
                <w:bCs/>
              </w:rPr>
              <w:t xml:space="preserve">Indicative Date </w:t>
            </w:r>
          </w:p>
        </w:tc>
      </w:tr>
      <w:tr w:rsidR="00017CDA" w:rsidRPr="00AD0647" w14:paraId="5321ACA8" w14:textId="77777777" w:rsidTr="003B1EDC">
        <w:tc>
          <w:tcPr>
            <w:tcW w:w="6095" w:type="dxa"/>
          </w:tcPr>
          <w:p w14:paraId="0D487D50" w14:textId="77777777" w:rsidR="00017CDA" w:rsidRPr="00AD0647" w:rsidRDefault="00017CDA" w:rsidP="003B1EDC">
            <w:r w:rsidRPr="00AD0647">
              <w:t>Details of any external consultancies and spend in previous quarter</w:t>
            </w:r>
          </w:p>
        </w:tc>
        <w:tc>
          <w:tcPr>
            <w:tcW w:w="2694" w:type="dxa"/>
          </w:tcPr>
          <w:p w14:paraId="30FC1E43" w14:textId="77777777" w:rsidR="00017CDA" w:rsidRPr="00AD0647" w:rsidRDefault="00017CDA" w:rsidP="003B1EDC">
            <w:r w:rsidRPr="00AD0647">
              <w:t xml:space="preserve">Quarterly </w:t>
            </w:r>
          </w:p>
        </w:tc>
      </w:tr>
      <w:tr w:rsidR="00017CDA" w:rsidRPr="00AD0647" w14:paraId="1440AE9D" w14:textId="77777777" w:rsidTr="003B1EDC">
        <w:tc>
          <w:tcPr>
            <w:tcW w:w="6095" w:type="dxa"/>
          </w:tcPr>
          <w:p w14:paraId="4DE98B56" w14:textId="77777777" w:rsidR="00017CDA" w:rsidRPr="00AD0647" w:rsidRDefault="00017CDA" w:rsidP="003B1EDC">
            <w:r w:rsidRPr="00AD0647">
              <w:t>Details of any external consultancy for the financial year ahead, if known.</w:t>
            </w:r>
          </w:p>
        </w:tc>
        <w:tc>
          <w:tcPr>
            <w:tcW w:w="2694" w:type="dxa"/>
          </w:tcPr>
          <w:p w14:paraId="13934813" w14:textId="77777777" w:rsidR="00017CDA" w:rsidRPr="00AD0647" w:rsidRDefault="00017CDA" w:rsidP="003B1EDC">
            <w:r w:rsidRPr="00AD0647">
              <w:t>Annually (June)</w:t>
            </w:r>
          </w:p>
        </w:tc>
      </w:tr>
    </w:tbl>
    <w:p w14:paraId="107768DF" w14:textId="77777777" w:rsidR="00017CDA" w:rsidRPr="00AD0647" w:rsidRDefault="00017CDA" w:rsidP="00017CDA">
      <w:r w:rsidRPr="00AD0647">
        <w:t>  </w:t>
      </w:r>
    </w:p>
    <w:p w14:paraId="4FFEF074" w14:textId="77777777" w:rsidR="00017CDA" w:rsidRPr="00AD0647" w:rsidRDefault="00017CDA" w:rsidP="00017CDA"/>
    <w:p w14:paraId="40D78FBF" w14:textId="307FBB17" w:rsidR="007333FB" w:rsidRDefault="007333FB">
      <w:pPr>
        <w:spacing w:after="160" w:line="259" w:lineRule="auto"/>
        <w:ind w:left="0" w:firstLine="0"/>
        <w:jc w:val="left"/>
      </w:pPr>
      <w:r>
        <w:br w:type="page"/>
      </w:r>
    </w:p>
    <w:p w14:paraId="2F39264A" w14:textId="77777777" w:rsidR="00017CDA" w:rsidRPr="00AD0647" w:rsidRDefault="00017CDA" w:rsidP="00AB2097">
      <w:pPr>
        <w:spacing w:after="115" w:line="259" w:lineRule="auto"/>
        <w:ind w:left="550" w:firstLine="0"/>
        <w:jc w:val="left"/>
      </w:pPr>
    </w:p>
    <w:p w14:paraId="71D508AA" w14:textId="1A508817" w:rsidR="00AB2097" w:rsidRPr="00AD0647" w:rsidRDefault="00AB2097" w:rsidP="00AB2097">
      <w:pPr>
        <w:keepNext/>
        <w:keepLines/>
        <w:spacing w:after="0" w:line="259" w:lineRule="auto"/>
        <w:ind w:left="403"/>
        <w:jc w:val="left"/>
        <w:outlineLvl w:val="0"/>
      </w:pPr>
      <w:r w:rsidRPr="00AD0647">
        <w:rPr>
          <w:b/>
          <w:color w:val="374C80"/>
          <w:sz w:val="28"/>
        </w:rPr>
        <w:t xml:space="preserve">Annex </w:t>
      </w:r>
      <w:r w:rsidR="00D502D6" w:rsidRPr="00AD0647">
        <w:rPr>
          <w:b/>
          <w:color w:val="374C80"/>
          <w:sz w:val="28"/>
        </w:rPr>
        <w:t>3</w:t>
      </w:r>
      <w:r w:rsidRPr="00AD0647">
        <w:rPr>
          <w:b/>
          <w:color w:val="374C80"/>
          <w:sz w:val="28"/>
        </w:rPr>
        <w:t xml:space="preserve"> – NITHC Assurance Statement</w:t>
      </w:r>
      <w:r w:rsidRPr="00AD0647">
        <w:rPr>
          <w:rFonts w:ascii="Calibri" w:eastAsia="Calibri" w:hAnsi="Calibri" w:cs="Calibri"/>
          <w:noProof/>
          <w:sz w:val="22"/>
        </w:rPr>
        <mc:AlternateContent>
          <mc:Choice Requires="wpg">
            <w:drawing>
              <wp:inline distT="0" distB="0" distL="0" distR="0" wp14:anchorId="1E7D3CCD" wp14:editId="4592589E">
                <wp:extent cx="5769610" cy="6096"/>
                <wp:effectExtent l="0" t="0" r="0" b="0"/>
                <wp:docPr id="3" name="Group 3"/>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4" name="Shape 3794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306D1F82" id="Group 3"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DsUll6OwIAAH8FAAAOAAAAAAAAAAAA&#10;AAAAAC4CAABkcnMvZTJvRG9jLnhtbFBLAQItABQABgAIAAAAIQCDXyzr2gAAAAMBAAAPAAAAAAAA&#10;AAAAAAAAAJUEAABkcnMvZG93bnJldi54bWxQSwUGAAAAAAQABADzAAAAnAUAAAAA&#10;">
                <v:shape id="Shape 37942"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" path="m,l5769610,r,9144l,9144,,e" fillcolor="#4a66ac" stroked="f" strokeweight="0">
                  <v:stroke miterlimit="83231f" joinstyle="miter"/>
                  <v:path arrowok="t" textboxrect="0,0,5769610,9144"/>
                </v:shape>
                <w10:anchorlock/>
              </v:group>
            </w:pict>
          </mc:Fallback>
        </mc:AlternateContent>
      </w:r>
    </w:p>
    <w:p w14:paraId="14BA6675" w14:textId="77777777" w:rsidR="00AB2097" w:rsidRPr="00AD0647" w:rsidRDefault="00AB2097" w:rsidP="00AB2097">
      <w:pPr>
        <w:spacing w:after="117" w:line="259" w:lineRule="auto"/>
        <w:ind w:left="408" w:firstLine="0"/>
        <w:jc w:val="left"/>
      </w:pPr>
    </w:p>
    <w:p w14:paraId="2A3610A2" w14:textId="1D3DD544" w:rsidR="00572BC1" w:rsidRPr="00AD0647" w:rsidRDefault="00572BC1" w:rsidP="00572BC1">
      <w:pPr>
        <w:autoSpaceDE w:val="0"/>
        <w:autoSpaceDN w:val="0"/>
        <w:adjustRightInd w:val="0"/>
        <w:spacing w:after="0" w:line="240" w:lineRule="auto"/>
        <w:ind w:left="0" w:firstLine="0"/>
        <w:jc w:val="right"/>
        <w:rPr>
          <w:rFonts w:eastAsia="Times New Roman"/>
          <w:b/>
          <w:bCs/>
          <w:sz w:val="28"/>
          <w:szCs w:val="28"/>
        </w:rPr>
      </w:pPr>
      <w:r w:rsidRPr="00AD0647">
        <w:rPr>
          <w:rFonts w:eastAsia="Times New Roman"/>
          <w:noProof/>
          <w:szCs w:val="24"/>
        </w:rPr>
        <w:drawing>
          <wp:inline distT="0" distB="0" distL="0" distR="0" wp14:anchorId="7D169B44" wp14:editId="0AF612D9">
            <wp:extent cx="2632075" cy="727075"/>
            <wp:effectExtent l="0" t="0" r="0" b="0"/>
            <wp:docPr id="7" name="Picture 7" descr="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ctur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32075" cy="727075"/>
                    </a:xfrm>
                    <a:prstGeom prst="rect">
                      <a:avLst/>
                    </a:prstGeom>
                    <a:noFill/>
                    <a:ln>
                      <a:noFill/>
                    </a:ln>
                  </pic:spPr>
                </pic:pic>
              </a:graphicData>
            </a:graphic>
          </wp:inline>
        </w:drawing>
      </w:r>
    </w:p>
    <w:p w14:paraId="74AB5700" w14:textId="67AB833E" w:rsidR="00405405" w:rsidRDefault="00405405" w:rsidP="00405405">
      <w:pPr>
        <w:pStyle w:val="Default"/>
        <w:jc w:val="right"/>
        <w:rPr>
          <w:b/>
          <w:bCs/>
          <w:sz w:val="28"/>
          <w:szCs w:val="28"/>
        </w:rPr>
      </w:pPr>
    </w:p>
    <w:p w14:paraId="6C3592BC" w14:textId="77777777" w:rsidR="00405405" w:rsidRDefault="00405405" w:rsidP="00405405">
      <w:pPr>
        <w:pStyle w:val="Default"/>
        <w:rPr>
          <w:b/>
          <w:bCs/>
          <w:sz w:val="28"/>
          <w:szCs w:val="28"/>
        </w:rPr>
      </w:pPr>
    </w:p>
    <w:p w14:paraId="5E4B1A53" w14:textId="77777777" w:rsidR="00405405" w:rsidRDefault="00405405" w:rsidP="00405405">
      <w:pPr>
        <w:pStyle w:val="Title"/>
        <w:jc w:val="left"/>
        <w:rPr>
          <w:rFonts w:cs="Arial"/>
          <w:color w:val="000000"/>
          <w:sz w:val="28"/>
          <w:szCs w:val="28"/>
          <w:lang w:eastAsia="en-GB"/>
        </w:rPr>
      </w:pPr>
    </w:p>
    <w:p w14:paraId="023DCEE1" w14:textId="0F90E65B" w:rsidR="00405405" w:rsidRPr="00D1190A" w:rsidRDefault="00405405" w:rsidP="00405405">
      <w:pPr>
        <w:pStyle w:val="Title"/>
        <w:jc w:val="left"/>
        <w:rPr>
          <w:rFonts w:cs="Arial"/>
        </w:rPr>
      </w:pPr>
      <w:r w:rsidRPr="008D24DA">
        <w:rPr>
          <w:rFonts w:cs="Arial"/>
          <w:sz w:val="36"/>
          <w:szCs w:val="36"/>
        </w:rPr>
        <w:t>ASSURANCE STATEMENT</w:t>
      </w:r>
      <w:r>
        <w:rPr>
          <w:rFonts w:cs="Arial"/>
        </w:rPr>
        <w:tab/>
      </w:r>
      <w:r>
        <w:rPr>
          <w:rFonts w:cs="Arial"/>
        </w:rPr>
        <w:tab/>
      </w:r>
      <w:r>
        <w:rPr>
          <w:rFonts w:cs="Arial"/>
        </w:rPr>
        <w:tab/>
      </w:r>
    </w:p>
    <w:p w14:paraId="1836305C" w14:textId="77777777" w:rsidR="00405405" w:rsidRPr="008D24DA" w:rsidRDefault="00405405" w:rsidP="00405405">
      <w:pPr>
        <w:rPr>
          <w:b/>
          <w:bCs/>
          <w:sz w:val="36"/>
          <w:szCs w:val="36"/>
        </w:rPr>
      </w:pPr>
    </w:p>
    <w:p w14:paraId="71E9E9C0" w14:textId="77777777" w:rsidR="00405405" w:rsidRPr="00D1762B" w:rsidRDefault="00405405" w:rsidP="00405405">
      <w:pPr>
        <w:rPr>
          <w:b/>
          <w:bCs/>
        </w:rPr>
      </w:pPr>
    </w:p>
    <w:tbl>
      <w:tblPr>
        <w:tblW w:w="0" w:type="auto"/>
        <w:tblLook w:val="0000" w:firstRow="0" w:lastRow="0" w:firstColumn="0" w:lastColumn="0" w:noHBand="0" w:noVBand="0"/>
      </w:tblPr>
      <w:tblGrid>
        <w:gridCol w:w="2268"/>
        <w:gridCol w:w="6260"/>
      </w:tblGrid>
      <w:tr w:rsidR="00405405" w:rsidRPr="008D24DA" w14:paraId="2AC6831D" w14:textId="77777777" w:rsidTr="00522743">
        <w:tc>
          <w:tcPr>
            <w:tcW w:w="2268" w:type="dxa"/>
            <w:tcBorders>
              <w:top w:val="single" w:sz="4" w:space="0" w:color="auto"/>
              <w:left w:val="single" w:sz="4" w:space="0" w:color="auto"/>
              <w:bottom w:val="single" w:sz="4" w:space="0" w:color="auto"/>
              <w:right w:val="single" w:sz="4" w:space="0" w:color="auto"/>
            </w:tcBorders>
          </w:tcPr>
          <w:p w14:paraId="35B961AA" w14:textId="77777777" w:rsidR="00405405" w:rsidRPr="008D24DA" w:rsidRDefault="00405405" w:rsidP="00FB7E43">
            <w:pPr>
              <w:pStyle w:val="Heading1"/>
              <w:rPr>
                <w:sz w:val="22"/>
              </w:rPr>
            </w:pPr>
            <w:r w:rsidRPr="008D24DA">
              <w:rPr>
                <w:sz w:val="22"/>
              </w:rPr>
              <w:t>Business Area:</w:t>
            </w:r>
          </w:p>
          <w:p w14:paraId="23E4746D" w14:textId="77777777" w:rsidR="00405405" w:rsidRPr="008D24DA" w:rsidRDefault="00405405" w:rsidP="00522743">
            <w:pPr>
              <w:rPr>
                <w:sz w:val="22"/>
              </w:rPr>
            </w:pPr>
          </w:p>
        </w:tc>
        <w:tc>
          <w:tcPr>
            <w:tcW w:w="6260" w:type="dxa"/>
            <w:tcBorders>
              <w:top w:val="single" w:sz="4" w:space="0" w:color="auto"/>
              <w:left w:val="single" w:sz="4" w:space="0" w:color="auto"/>
              <w:bottom w:val="single" w:sz="4" w:space="0" w:color="auto"/>
              <w:right w:val="single" w:sz="4" w:space="0" w:color="auto"/>
            </w:tcBorders>
          </w:tcPr>
          <w:p w14:paraId="0E533FE2" w14:textId="77777777" w:rsidR="00405405" w:rsidRPr="008D24DA" w:rsidRDefault="00405405" w:rsidP="00FB7E43">
            <w:pPr>
              <w:pStyle w:val="Heading1"/>
              <w:rPr>
                <w:sz w:val="22"/>
              </w:rPr>
            </w:pPr>
            <w:r w:rsidRPr="00AA7C63">
              <w:rPr>
                <w:sz w:val="22"/>
              </w:rPr>
              <w:t>NORTHERN IRELAND TRANSPORT HOLDING COMPANY (‘TRANSLINK’)</w:t>
            </w:r>
          </w:p>
        </w:tc>
      </w:tr>
      <w:tr w:rsidR="00405405" w:rsidRPr="008D24DA" w14:paraId="27A43D1D" w14:textId="77777777" w:rsidTr="00522743">
        <w:tc>
          <w:tcPr>
            <w:tcW w:w="2268" w:type="dxa"/>
            <w:tcBorders>
              <w:top w:val="single" w:sz="4" w:space="0" w:color="auto"/>
              <w:left w:val="single" w:sz="4" w:space="0" w:color="auto"/>
              <w:bottom w:val="single" w:sz="4" w:space="0" w:color="auto"/>
              <w:right w:val="single" w:sz="4" w:space="0" w:color="auto"/>
            </w:tcBorders>
          </w:tcPr>
          <w:p w14:paraId="1CA0CA5A" w14:textId="77777777" w:rsidR="00405405" w:rsidRPr="008D24DA" w:rsidRDefault="00405405" w:rsidP="00FB7E43">
            <w:pPr>
              <w:pStyle w:val="Heading1"/>
              <w:rPr>
                <w:sz w:val="22"/>
              </w:rPr>
            </w:pPr>
            <w:r w:rsidRPr="008D24DA">
              <w:rPr>
                <w:sz w:val="22"/>
              </w:rPr>
              <w:t>Reporting Period:</w:t>
            </w:r>
          </w:p>
          <w:p w14:paraId="5F7F97DD" w14:textId="77777777" w:rsidR="00405405" w:rsidRPr="008D24DA" w:rsidRDefault="00405405" w:rsidP="00522743">
            <w:pPr>
              <w:rPr>
                <w:sz w:val="22"/>
              </w:rPr>
            </w:pPr>
          </w:p>
        </w:tc>
        <w:tc>
          <w:tcPr>
            <w:tcW w:w="6260" w:type="dxa"/>
            <w:tcBorders>
              <w:top w:val="single" w:sz="4" w:space="0" w:color="auto"/>
              <w:left w:val="single" w:sz="4" w:space="0" w:color="auto"/>
              <w:bottom w:val="single" w:sz="4" w:space="0" w:color="auto"/>
              <w:right w:val="single" w:sz="4" w:space="0" w:color="auto"/>
            </w:tcBorders>
          </w:tcPr>
          <w:p w14:paraId="3CF1E9D4" w14:textId="2C2813C1" w:rsidR="00405405" w:rsidRPr="008D24DA" w:rsidRDefault="00405405" w:rsidP="00FB7E43">
            <w:pPr>
              <w:pStyle w:val="Heading1"/>
              <w:rPr>
                <w:sz w:val="22"/>
              </w:rPr>
            </w:pPr>
            <w:r>
              <w:rPr>
                <w:sz w:val="22"/>
              </w:rPr>
              <w:t>1 April 20XX – 30 March 20XX</w:t>
            </w:r>
          </w:p>
        </w:tc>
      </w:tr>
    </w:tbl>
    <w:p w14:paraId="7A1274A0" w14:textId="77777777" w:rsidR="00405405" w:rsidRPr="00D1762B" w:rsidRDefault="00405405" w:rsidP="00405405"/>
    <w:tbl>
      <w:tblPr>
        <w:tblpPr w:leftFromText="180" w:rightFromText="180" w:vertAnchor="text" w:horzAnchor="margin" w:tblpY="172"/>
        <w:tblW w:w="0" w:type="auto"/>
        <w:tblLook w:val="0000" w:firstRow="0" w:lastRow="0" w:firstColumn="0" w:lastColumn="0" w:noHBand="0" w:noVBand="0"/>
      </w:tblPr>
      <w:tblGrid>
        <w:gridCol w:w="2268"/>
        <w:gridCol w:w="6254"/>
      </w:tblGrid>
      <w:tr w:rsidR="00405405" w:rsidRPr="008D24DA" w14:paraId="0EA17EA9" w14:textId="77777777" w:rsidTr="00522743">
        <w:tc>
          <w:tcPr>
            <w:tcW w:w="8522" w:type="dxa"/>
            <w:gridSpan w:val="2"/>
            <w:tcBorders>
              <w:top w:val="single" w:sz="4" w:space="0" w:color="auto"/>
              <w:left w:val="single" w:sz="4" w:space="0" w:color="auto"/>
              <w:bottom w:val="single" w:sz="4" w:space="0" w:color="auto"/>
              <w:right w:val="single" w:sz="4" w:space="0" w:color="auto"/>
            </w:tcBorders>
          </w:tcPr>
          <w:p w14:paraId="31111A48" w14:textId="77777777" w:rsidR="00405405" w:rsidRDefault="00405405" w:rsidP="00522743">
            <w:pPr>
              <w:rPr>
                <w:sz w:val="22"/>
              </w:rPr>
            </w:pPr>
          </w:p>
          <w:p w14:paraId="782A153E" w14:textId="77777777" w:rsidR="00405405" w:rsidRDefault="00405405" w:rsidP="00522743">
            <w:pPr>
              <w:rPr>
                <w:sz w:val="22"/>
              </w:rPr>
            </w:pPr>
            <w:r w:rsidRPr="00B71A36">
              <w:rPr>
                <w:sz w:val="22"/>
              </w:rPr>
              <w:t xml:space="preserve">I certify that the information detailed in this </w:t>
            </w:r>
            <w:r>
              <w:rPr>
                <w:sz w:val="22"/>
              </w:rPr>
              <w:t>S</w:t>
            </w:r>
            <w:r w:rsidRPr="00B71A36">
              <w:rPr>
                <w:sz w:val="22"/>
              </w:rPr>
              <w:t>tatement is complete and correct</w:t>
            </w:r>
            <w:r>
              <w:rPr>
                <w:sz w:val="22"/>
              </w:rPr>
              <w:t xml:space="preserve">. </w:t>
            </w:r>
          </w:p>
          <w:p w14:paraId="017DEA9B" w14:textId="77777777" w:rsidR="00405405" w:rsidRDefault="00405405" w:rsidP="00522743">
            <w:pPr>
              <w:rPr>
                <w:sz w:val="22"/>
              </w:rPr>
            </w:pPr>
          </w:p>
          <w:p w14:paraId="569DF22E" w14:textId="77777777" w:rsidR="00405405" w:rsidRDefault="00405405" w:rsidP="00522743">
            <w:pPr>
              <w:rPr>
                <w:sz w:val="22"/>
              </w:rPr>
            </w:pPr>
            <w:r>
              <w:rPr>
                <w:sz w:val="22"/>
              </w:rPr>
              <w:t>I can confirm that there are no exceptions other than those (if any) set out in the exception report at Section 7.</w:t>
            </w:r>
          </w:p>
          <w:p w14:paraId="0460BF8F" w14:textId="77777777" w:rsidR="00405405" w:rsidRPr="00B71A36" w:rsidRDefault="00405405" w:rsidP="00522743">
            <w:pPr>
              <w:rPr>
                <w:sz w:val="22"/>
              </w:rPr>
            </w:pPr>
          </w:p>
        </w:tc>
      </w:tr>
      <w:tr w:rsidR="00405405" w:rsidRPr="008D24DA" w14:paraId="7894BAFE" w14:textId="77777777" w:rsidTr="00522743">
        <w:tc>
          <w:tcPr>
            <w:tcW w:w="2268" w:type="dxa"/>
            <w:tcBorders>
              <w:top w:val="single" w:sz="4" w:space="0" w:color="auto"/>
              <w:left w:val="single" w:sz="4" w:space="0" w:color="auto"/>
              <w:bottom w:val="single" w:sz="4" w:space="0" w:color="auto"/>
              <w:right w:val="single" w:sz="4" w:space="0" w:color="auto"/>
            </w:tcBorders>
          </w:tcPr>
          <w:p w14:paraId="6484C53A" w14:textId="77777777" w:rsidR="00405405" w:rsidRPr="008D24DA" w:rsidRDefault="00405405" w:rsidP="00FB7E43">
            <w:pPr>
              <w:pStyle w:val="Heading2"/>
              <w:tabs>
                <w:tab w:val="left" w:pos="720"/>
              </w:tabs>
              <w:rPr>
                <w:sz w:val="22"/>
              </w:rPr>
            </w:pPr>
          </w:p>
          <w:p w14:paraId="548F25E0" w14:textId="77777777" w:rsidR="00405405" w:rsidRPr="008D24DA" w:rsidRDefault="00405405" w:rsidP="00522743">
            <w:pPr>
              <w:rPr>
                <w:b/>
                <w:bCs/>
                <w:sz w:val="22"/>
              </w:rPr>
            </w:pPr>
            <w:r w:rsidRPr="008D24DA">
              <w:rPr>
                <w:b/>
                <w:bCs/>
                <w:sz w:val="22"/>
              </w:rPr>
              <w:t>Signed:</w:t>
            </w:r>
          </w:p>
          <w:p w14:paraId="12ACDA1E" w14:textId="77777777" w:rsidR="00405405" w:rsidRPr="008D24DA" w:rsidRDefault="00405405" w:rsidP="00522743">
            <w:pPr>
              <w:rPr>
                <w:b/>
                <w:bCs/>
                <w:sz w:val="22"/>
              </w:rPr>
            </w:pPr>
          </w:p>
        </w:tc>
        <w:tc>
          <w:tcPr>
            <w:tcW w:w="6254" w:type="dxa"/>
            <w:tcBorders>
              <w:top w:val="single" w:sz="4" w:space="0" w:color="auto"/>
              <w:left w:val="single" w:sz="4" w:space="0" w:color="auto"/>
              <w:bottom w:val="single" w:sz="4" w:space="0" w:color="auto"/>
              <w:right w:val="single" w:sz="4" w:space="0" w:color="auto"/>
            </w:tcBorders>
          </w:tcPr>
          <w:p w14:paraId="0C387F47" w14:textId="77777777" w:rsidR="00405405" w:rsidRPr="008D24DA" w:rsidRDefault="00405405" w:rsidP="00522743">
            <w:pPr>
              <w:rPr>
                <w:sz w:val="22"/>
              </w:rPr>
            </w:pPr>
          </w:p>
          <w:p w14:paraId="6E777A1E" w14:textId="77777777" w:rsidR="00405405" w:rsidRPr="008D24DA" w:rsidRDefault="00405405" w:rsidP="00FB7E43">
            <w:pPr>
              <w:pStyle w:val="Heading2"/>
              <w:tabs>
                <w:tab w:val="left" w:pos="720"/>
              </w:tabs>
              <w:rPr>
                <w:b w:val="0"/>
                <w:bCs/>
                <w:sz w:val="22"/>
              </w:rPr>
            </w:pPr>
          </w:p>
        </w:tc>
      </w:tr>
      <w:tr w:rsidR="00405405" w:rsidRPr="008D24DA" w14:paraId="6BC64DCA" w14:textId="77777777" w:rsidTr="00522743">
        <w:tc>
          <w:tcPr>
            <w:tcW w:w="2268" w:type="dxa"/>
            <w:tcBorders>
              <w:top w:val="single" w:sz="4" w:space="0" w:color="auto"/>
              <w:left w:val="single" w:sz="4" w:space="0" w:color="auto"/>
              <w:bottom w:val="single" w:sz="4" w:space="0" w:color="auto"/>
              <w:right w:val="single" w:sz="4" w:space="0" w:color="auto"/>
            </w:tcBorders>
          </w:tcPr>
          <w:p w14:paraId="7CD6AA44" w14:textId="77777777" w:rsidR="00405405" w:rsidRPr="008D24DA" w:rsidRDefault="00405405" w:rsidP="00FB7E43">
            <w:pPr>
              <w:pStyle w:val="Heading2"/>
              <w:tabs>
                <w:tab w:val="left" w:pos="720"/>
              </w:tabs>
              <w:rPr>
                <w:sz w:val="22"/>
              </w:rPr>
            </w:pPr>
          </w:p>
          <w:p w14:paraId="524EE69E" w14:textId="77777777" w:rsidR="00405405" w:rsidRPr="008D24DA" w:rsidRDefault="00405405" w:rsidP="00522743">
            <w:pPr>
              <w:rPr>
                <w:b/>
                <w:bCs/>
                <w:sz w:val="22"/>
              </w:rPr>
            </w:pPr>
            <w:r w:rsidRPr="008D24DA">
              <w:rPr>
                <w:b/>
                <w:bCs/>
                <w:sz w:val="22"/>
              </w:rPr>
              <w:t>Name:</w:t>
            </w:r>
          </w:p>
          <w:p w14:paraId="37F2153D" w14:textId="77777777" w:rsidR="00405405" w:rsidRPr="008D24DA" w:rsidRDefault="00405405" w:rsidP="00522743">
            <w:pPr>
              <w:rPr>
                <w:b/>
                <w:bCs/>
                <w:sz w:val="22"/>
              </w:rPr>
            </w:pPr>
            <w:r w:rsidRPr="008D24DA">
              <w:rPr>
                <w:sz w:val="22"/>
              </w:rPr>
              <w:t>(Block Capitals)</w:t>
            </w:r>
          </w:p>
        </w:tc>
        <w:tc>
          <w:tcPr>
            <w:tcW w:w="6254" w:type="dxa"/>
            <w:tcBorders>
              <w:top w:val="single" w:sz="4" w:space="0" w:color="auto"/>
              <w:left w:val="single" w:sz="4" w:space="0" w:color="auto"/>
              <w:bottom w:val="single" w:sz="4" w:space="0" w:color="auto"/>
              <w:right w:val="single" w:sz="4" w:space="0" w:color="auto"/>
            </w:tcBorders>
          </w:tcPr>
          <w:p w14:paraId="5D2596D5" w14:textId="77777777" w:rsidR="00405405" w:rsidRDefault="00405405" w:rsidP="00FB7E43">
            <w:pPr>
              <w:pStyle w:val="Heading2"/>
              <w:tabs>
                <w:tab w:val="left" w:pos="720"/>
              </w:tabs>
              <w:rPr>
                <w:sz w:val="22"/>
              </w:rPr>
            </w:pPr>
          </w:p>
          <w:p w14:paraId="061842C6" w14:textId="3B048912" w:rsidR="00405405" w:rsidRPr="008D24DA" w:rsidRDefault="00405405" w:rsidP="00FB7E43">
            <w:pPr>
              <w:pStyle w:val="Heading2"/>
              <w:tabs>
                <w:tab w:val="left" w:pos="720"/>
              </w:tabs>
              <w:rPr>
                <w:sz w:val="22"/>
              </w:rPr>
            </w:pPr>
          </w:p>
        </w:tc>
      </w:tr>
      <w:tr w:rsidR="00405405" w:rsidRPr="008D24DA" w14:paraId="2EF1A2C7" w14:textId="77777777" w:rsidTr="00522743">
        <w:tc>
          <w:tcPr>
            <w:tcW w:w="2268" w:type="dxa"/>
            <w:tcBorders>
              <w:top w:val="single" w:sz="4" w:space="0" w:color="auto"/>
              <w:left w:val="single" w:sz="4" w:space="0" w:color="auto"/>
              <w:bottom w:val="single" w:sz="4" w:space="0" w:color="auto"/>
              <w:right w:val="single" w:sz="4" w:space="0" w:color="auto"/>
            </w:tcBorders>
          </w:tcPr>
          <w:p w14:paraId="31A33080" w14:textId="77777777" w:rsidR="00405405" w:rsidRPr="008D24DA" w:rsidRDefault="00405405" w:rsidP="00FB7E43">
            <w:pPr>
              <w:pStyle w:val="Heading2"/>
              <w:tabs>
                <w:tab w:val="left" w:pos="720"/>
              </w:tabs>
              <w:rPr>
                <w:sz w:val="22"/>
              </w:rPr>
            </w:pPr>
          </w:p>
          <w:p w14:paraId="5C886A8D" w14:textId="77777777" w:rsidR="00405405" w:rsidRPr="008D24DA" w:rsidRDefault="00405405" w:rsidP="00522743">
            <w:pPr>
              <w:rPr>
                <w:b/>
                <w:sz w:val="22"/>
              </w:rPr>
            </w:pPr>
            <w:r w:rsidRPr="008D24DA">
              <w:rPr>
                <w:b/>
                <w:sz w:val="22"/>
              </w:rPr>
              <w:t>Grade:</w:t>
            </w:r>
          </w:p>
          <w:p w14:paraId="786C8B12" w14:textId="77777777" w:rsidR="00405405" w:rsidRPr="008D24DA" w:rsidRDefault="00405405" w:rsidP="00522743">
            <w:pPr>
              <w:rPr>
                <w:b/>
                <w:sz w:val="22"/>
              </w:rPr>
            </w:pPr>
          </w:p>
        </w:tc>
        <w:tc>
          <w:tcPr>
            <w:tcW w:w="6254" w:type="dxa"/>
            <w:tcBorders>
              <w:top w:val="single" w:sz="4" w:space="0" w:color="auto"/>
              <w:left w:val="single" w:sz="4" w:space="0" w:color="auto"/>
              <w:bottom w:val="single" w:sz="4" w:space="0" w:color="auto"/>
              <w:right w:val="single" w:sz="4" w:space="0" w:color="auto"/>
            </w:tcBorders>
          </w:tcPr>
          <w:p w14:paraId="7720284C" w14:textId="77777777" w:rsidR="00405405" w:rsidRDefault="00405405" w:rsidP="00FB7E43">
            <w:pPr>
              <w:pStyle w:val="Heading2"/>
              <w:tabs>
                <w:tab w:val="left" w:pos="720"/>
              </w:tabs>
              <w:rPr>
                <w:sz w:val="22"/>
              </w:rPr>
            </w:pPr>
          </w:p>
          <w:p w14:paraId="27B6E811" w14:textId="77777777" w:rsidR="00405405" w:rsidRPr="008D24DA" w:rsidRDefault="00405405" w:rsidP="00FB7E43">
            <w:pPr>
              <w:pStyle w:val="Heading2"/>
              <w:tabs>
                <w:tab w:val="left" w:pos="720"/>
              </w:tabs>
              <w:rPr>
                <w:sz w:val="22"/>
              </w:rPr>
            </w:pPr>
            <w:r w:rsidRPr="00AA7C63">
              <w:rPr>
                <w:sz w:val="22"/>
              </w:rPr>
              <w:t>GROUP CHIEF EXECUTIVE</w:t>
            </w:r>
            <w:r>
              <w:rPr>
                <w:sz w:val="22"/>
              </w:rPr>
              <w:t xml:space="preserve"> (NITHC Accounting Officer)</w:t>
            </w:r>
          </w:p>
        </w:tc>
      </w:tr>
      <w:tr w:rsidR="00405405" w:rsidRPr="008D24DA" w14:paraId="75488365" w14:textId="77777777" w:rsidTr="00522743">
        <w:tc>
          <w:tcPr>
            <w:tcW w:w="2268" w:type="dxa"/>
            <w:tcBorders>
              <w:top w:val="single" w:sz="4" w:space="0" w:color="auto"/>
              <w:left w:val="single" w:sz="4" w:space="0" w:color="auto"/>
              <w:bottom w:val="single" w:sz="4" w:space="0" w:color="auto"/>
              <w:right w:val="single" w:sz="4" w:space="0" w:color="auto"/>
            </w:tcBorders>
          </w:tcPr>
          <w:p w14:paraId="06FE7487" w14:textId="77777777" w:rsidR="00405405" w:rsidRPr="008D24DA" w:rsidRDefault="00405405" w:rsidP="00FB7E43">
            <w:pPr>
              <w:pStyle w:val="Heading2"/>
              <w:tabs>
                <w:tab w:val="left" w:pos="720"/>
              </w:tabs>
              <w:rPr>
                <w:sz w:val="22"/>
              </w:rPr>
            </w:pPr>
          </w:p>
          <w:p w14:paraId="6AC9166A" w14:textId="77777777" w:rsidR="00405405" w:rsidRPr="008D24DA" w:rsidRDefault="00405405" w:rsidP="00522743">
            <w:pPr>
              <w:rPr>
                <w:b/>
                <w:sz w:val="22"/>
              </w:rPr>
            </w:pPr>
            <w:r w:rsidRPr="008D24DA">
              <w:rPr>
                <w:b/>
                <w:sz w:val="22"/>
              </w:rPr>
              <w:t>Date:</w:t>
            </w:r>
          </w:p>
          <w:p w14:paraId="3F6DC344" w14:textId="77777777" w:rsidR="00405405" w:rsidRPr="008D24DA" w:rsidRDefault="00405405" w:rsidP="00522743">
            <w:pPr>
              <w:rPr>
                <w:b/>
                <w:sz w:val="22"/>
              </w:rPr>
            </w:pPr>
          </w:p>
        </w:tc>
        <w:tc>
          <w:tcPr>
            <w:tcW w:w="6254" w:type="dxa"/>
            <w:tcBorders>
              <w:top w:val="single" w:sz="4" w:space="0" w:color="auto"/>
              <w:left w:val="single" w:sz="4" w:space="0" w:color="auto"/>
              <w:bottom w:val="single" w:sz="4" w:space="0" w:color="auto"/>
              <w:right w:val="single" w:sz="4" w:space="0" w:color="auto"/>
            </w:tcBorders>
          </w:tcPr>
          <w:p w14:paraId="70E8CAC3" w14:textId="77777777" w:rsidR="00405405" w:rsidRPr="002175D6" w:rsidRDefault="00405405" w:rsidP="00FB7E43">
            <w:pPr>
              <w:pStyle w:val="Heading2"/>
              <w:tabs>
                <w:tab w:val="left" w:pos="720"/>
              </w:tabs>
              <w:rPr>
                <w:sz w:val="22"/>
              </w:rPr>
            </w:pPr>
          </w:p>
          <w:p w14:paraId="2DB78A7C" w14:textId="77777777" w:rsidR="00405405" w:rsidRPr="00AA7C63" w:rsidRDefault="00405405" w:rsidP="00522743"/>
        </w:tc>
      </w:tr>
    </w:tbl>
    <w:p w14:paraId="79E5BD6A" w14:textId="77777777" w:rsidR="00405405" w:rsidRPr="008D24DA" w:rsidRDefault="00405405" w:rsidP="00405405">
      <w:pPr>
        <w:ind w:left="720" w:hanging="720"/>
        <w:rPr>
          <w:b/>
          <w:bCs/>
          <w:sz w:val="22"/>
        </w:rPr>
      </w:pPr>
      <w:r>
        <w:rPr>
          <w:b/>
          <w:bCs/>
        </w:rPr>
        <w:br w:type="page"/>
      </w:r>
      <w:r w:rsidRPr="00D1762B">
        <w:rPr>
          <w:b/>
          <w:bCs/>
        </w:rPr>
        <w:lastRenderedPageBreak/>
        <w:t>1.</w:t>
      </w:r>
      <w:r w:rsidRPr="00D1762B">
        <w:rPr>
          <w:b/>
          <w:bCs/>
        </w:rPr>
        <w:tab/>
      </w:r>
      <w:r w:rsidRPr="008D24DA">
        <w:rPr>
          <w:b/>
          <w:bCs/>
          <w:sz w:val="22"/>
        </w:rPr>
        <w:t>Acknowledgement of Ownership</w:t>
      </w:r>
    </w:p>
    <w:p w14:paraId="7DA071EE" w14:textId="77777777" w:rsidR="00405405" w:rsidRPr="008D24DA" w:rsidRDefault="00405405" w:rsidP="00405405">
      <w:pPr>
        <w:rPr>
          <w:sz w:val="22"/>
        </w:rPr>
      </w:pPr>
    </w:p>
    <w:p w14:paraId="0F3FC35B" w14:textId="73F15DFC" w:rsidR="00405405" w:rsidRPr="005E0AC2" w:rsidRDefault="00405405" w:rsidP="005E0AC2">
      <w:pPr>
        <w:spacing w:after="0" w:line="240" w:lineRule="auto"/>
        <w:ind w:left="720" w:firstLine="0"/>
        <w:rPr>
          <w:rFonts w:eastAsia="Times New Roman"/>
          <w:color w:val="auto"/>
          <w:sz w:val="22"/>
          <w:lang w:eastAsia="en-US"/>
        </w:rPr>
      </w:pPr>
      <w:r w:rsidRPr="005E0AC2">
        <w:rPr>
          <w:rFonts w:eastAsia="Times New Roman"/>
          <w:color w:val="auto"/>
          <w:sz w:val="22"/>
          <w:lang w:eastAsia="en-US"/>
        </w:rPr>
        <w:t>I acknowledge my responsibility for developing and maintaining effective internal control within my business area</w:t>
      </w:r>
      <w:r w:rsidR="004942C7" w:rsidRPr="005E0AC2">
        <w:rPr>
          <w:rFonts w:eastAsia="Times New Roman"/>
          <w:color w:val="auto"/>
          <w:sz w:val="22"/>
          <w:lang w:eastAsia="en-US"/>
        </w:rPr>
        <w:t xml:space="preserve">. </w:t>
      </w:r>
      <w:r w:rsidRPr="005E0AC2">
        <w:rPr>
          <w:rFonts w:eastAsia="Times New Roman"/>
          <w:color w:val="auto"/>
          <w:sz w:val="22"/>
          <w:lang w:eastAsia="en-US"/>
        </w:rPr>
        <w:t>I am also responsible for managing and monitoring the financial and other resources, key risks, audit recommendations and compliance within my business area, including those classified as corporate</w:t>
      </w:r>
      <w:r w:rsidR="004942C7" w:rsidRPr="005E0AC2">
        <w:rPr>
          <w:rFonts w:eastAsia="Times New Roman"/>
          <w:color w:val="auto"/>
          <w:sz w:val="22"/>
          <w:lang w:eastAsia="en-US"/>
        </w:rPr>
        <w:t xml:space="preserve">. </w:t>
      </w:r>
    </w:p>
    <w:p w14:paraId="1C363255" w14:textId="77777777" w:rsidR="00405405" w:rsidRDefault="00405405" w:rsidP="00405405">
      <w:pPr>
        <w:ind w:left="720" w:hanging="720"/>
        <w:rPr>
          <w:sz w:val="22"/>
        </w:rPr>
      </w:pPr>
    </w:p>
    <w:p w14:paraId="6635AA2A" w14:textId="4488F4A0" w:rsidR="00405405" w:rsidRPr="00D31F0A" w:rsidRDefault="00405405" w:rsidP="00405405">
      <w:pPr>
        <w:spacing w:after="0" w:line="240" w:lineRule="auto"/>
        <w:ind w:left="720" w:firstLine="0"/>
        <w:rPr>
          <w:rFonts w:eastAsia="Times New Roman"/>
          <w:color w:val="auto"/>
          <w:sz w:val="22"/>
          <w:lang w:eastAsia="en-US"/>
        </w:rPr>
      </w:pPr>
      <w:r w:rsidRPr="00D31F0A">
        <w:rPr>
          <w:rFonts w:eastAsia="Times New Roman"/>
          <w:color w:val="auto"/>
          <w:sz w:val="22"/>
          <w:lang w:eastAsia="en-US"/>
        </w:rPr>
        <w:t>I declare that I remain fit to carry out the role of Accounting Officer role. If at any time whilst in post, there are issues which emerge that question my ability to fulfil the Accounting Officer role (</w:t>
      </w:r>
      <w:r w:rsidR="00831381" w:rsidRPr="00D31F0A">
        <w:rPr>
          <w:rFonts w:eastAsia="Times New Roman"/>
          <w:color w:val="auto"/>
          <w:sz w:val="22"/>
          <w:lang w:eastAsia="en-US"/>
        </w:rPr>
        <w:t>e.g.,</w:t>
      </w:r>
      <w:r w:rsidRPr="00D31F0A">
        <w:rPr>
          <w:rFonts w:eastAsia="Times New Roman"/>
          <w:color w:val="auto"/>
          <w:sz w:val="22"/>
          <w:lang w:eastAsia="en-US"/>
        </w:rPr>
        <w:t xml:space="preserve"> bankruptcy, disqualifications etc.) I will inform the departmental Accounting Officer immediately.</w:t>
      </w:r>
    </w:p>
    <w:p w14:paraId="7DCE3440" w14:textId="77777777" w:rsidR="00405405" w:rsidRPr="008D24DA" w:rsidRDefault="00405405" w:rsidP="00405405">
      <w:pPr>
        <w:rPr>
          <w:sz w:val="22"/>
        </w:rPr>
      </w:pPr>
    </w:p>
    <w:p w14:paraId="6AB77229" w14:textId="77777777" w:rsidR="00405405" w:rsidRPr="008D24DA" w:rsidRDefault="00405405" w:rsidP="00405405">
      <w:pPr>
        <w:autoSpaceDE w:val="0"/>
        <w:autoSpaceDN w:val="0"/>
        <w:adjustRightInd w:val="0"/>
        <w:rPr>
          <w:rFonts w:ascii="MS Shell Dlg 2" w:hAnsi="MS Shell Dlg 2" w:cs="MS Shell Dlg 2"/>
          <w:sz w:val="22"/>
        </w:rPr>
      </w:pPr>
      <w:r w:rsidRPr="008D24DA">
        <w:rPr>
          <w:b/>
          <w:bCs/>
          <w:sz w:val="22"/>
        </w:rPr>
        <w:t>2.</w:t>
      </w:r>
      <w:r w:rsidRPr="008D24DA">
        <w:rPr>
          <w:b/>
          <w:bCs/>
          <w:sz w:val="22"/>
        </w:rPr>
        <w:tab/>
        <w:t xml:space="preserve">Risk Management Status </w:t>
      </w:r>
      <w:r w:rsidRPr="008D24DA">
        <w:rPr>
          <w:bCs/>
          <w:i/>
          <w:sz w:val="22"/>
        </w:rPr>
        <w:t>(please tick correct box)</w:t>
      </w:r>
    </w:p>
    <w:p w14:paraId="1AA372ED" w14:textId="77777777" w:rsidR="00405405" w:rsidRPr="008D24DA" w:rsidRDefault="00405405" w:rsidP="00405405">
      <w:pPr>
        <w:rPr>
          <w:b/>
          <w:bCs/>
          <w:sz w:val="22"/>
        </w:rPr>
      </w:pPr>
    </w:p>
    <w:p w14:paraId="0B7CB462" w14:textId="23610BF2" w:rsidR="00405405" w:rsidRPr="008D24DA" w:rsidRDefault="00405405" w:rsidP="00405405">
      <w:pPr>
        <w:pStyle w:val="Heading2"/>
        <w:tabs>
          <w:tab w:val="left" w:pos="720"/>
        </w:tabs>
        <w:ind w:left="1440" w:hanging="1440"/>
        <w:rPr>
          <w:b w:val="0"/>
          <w:bCs/>
          <w:sz w:val="22"/>
        </w:rPr>
      </w:pPr>
      <w:r>
        <w:rPr>
          <w:bCs/>
          <w:noProof/>
          <w:sz w:val="22"/>
        </w:rPr>
        <mc:AlternateContent>
          <mc:Choice Requires="wps">
            <w:drawing>
              <wp:anchor distT="0" distB="0" distL="114300" distR="114300" simplePos="0" relativeHeight="251658240" behindDoc="0" locked="0" layoutInCell="1" allowOverlap="1" wp14:anchorId="64343CA5" wp14:editId="43076D7E">
                <wp:simplePos x="0" y="0"/>
                <wp:positionH relativeFrom="column">
                  <wp:posOffset>460374</wp:posOffset>
                </wp:positionH>
                <wp:positionV relativeFrom="paragraph">
                  <wp:posOffset>14605</wp:posOffset>
                </wp:positionV>
                <wp:extent cx="254635" cy="284480"/>
                <wp:effectExtent l="0" t="0" r="1206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84480"/>
                        </a:xfrm>
                        <a:prstGeom prst="rect">
                          <a:avLst/>
                        </a:prstGeom>
                        <a:solidFill>
                          <a:srgbClr val="FFFFFF"/>
                        </a:solidFill>
                        <a:ln w="9525">
                          <a:solidFill>
                            <a:srgbClr val="000000"/>
                          </a:solidFill>
                          <a:miter lim="800000"/>
                          <a:headEnd/>
                          <a:tailEnd/>
                        </a:ln>
                      </wps:spPr>
                      <wps:txbx>
                        <w:txbxContent>
                          <w:p w14:paraId="63452F13" w14:textId="77777777" w:rsidR="00405405" w:rsidRDefault="00405405" w:rsidP="00405405">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3CA5" id="_x0000_t202" coordsize="21600,21600" o:spt="202" path="m,l,21600r21600,l21600,xe">
                <v:stroke joinstyle="miter"/>
                <v:path gradientshapeok="t" o:connecttype="rect"/>
              </v:shapetype>
              <v:shape id="Text Box 2" o:spid="_x0000_s1026" type="#_x0000_t202" style="position:absolute;left:0;text-align:left;margin-left:36.25pt;margin-top:1.15pt;width:20.0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">
                <v:textbox>
                  <w:txbxContent>
                    <w:p w14:paraId="63452F13" w14:textId="77777777" w:rsidR="00405405" w:rsidRDefault="00405405" w:rsidP="00405405">
                      <w:pPr>
                        <w:ind w:left="-180" w:firstLine="180"/>
                      </w:pPr>
                    </w:p>
                  </w:txbxContent>
                </v:textbox>
              </v:shape>
            </w:pict>
          </mc:Fallback>
        </mc:AlternateContent>
      </w:r>
      <w:r w:rsidRPr="008D24DA">
        <w:rPr>
          <w:sz w:val="22"/>
        </w:rPr>
        <w:tab/>
      </w:r>
      <w:r w:rsidRPr="008D24DA">
        <w:rPr>
          <w:sz w:val="22"/>
        </w:rPr>
        <w:tab/>
      </w:r>
      <w:r w:rsidRPr="008D24DA">
        <w:rPr>
          <w:sz w:val="22"/>
          <w:u w:val="single"/>
        </w:rPr>
        <w:t>APPROPRIATE</w:t>
      </w:r>
      <w:r w:rsidRPr="008D24DA">
        <w:rPr>
          <w:b w:val="0"/>
          <w:sz w:val="22"/>
        </w:rPr>
        <w:t xml:space="preserve"> – </w:t>
      </w:r>
      <w:r w:rsidRPr="008D24DA">
        <w:rPr>
          <w:sz w:val="22"/>
        </w:rPr>
        <w:t xml:space="preserve">I am satisfied </w:t>
      </w:r>
      <w:r w:rsidRPr="000549CC">
        <w:rPr>
          <w:b w:val="0"/>
          <w:sz w:val="22"/>
        </w:rPr>
        <w:t>that the measures/controls</w:t>
      </w:r>
      <w:r w:rsidRPr="008D24DA">
        <w:rPr>
          <w:b w:val="0"/>
          <w:sz w:val="22"/>
        </w:rPr>
        <w:t xml:space="preserve"> in place to manage the risks for which I am responsible are appropriate and operating effectively</w:t>
      </w:r>
      <w:r w:rsidR="004942C7" w:rsidRPr="008D24DA">
        <w:rPr>
          <w:b w:val="0"/>
          <w:sz w:val="22"/>
        </w:rPr>
        <w:t xml:space="preserve">. </w:t>
      </w:r>
      <w:r w:rsidRPr="008D24DA">
        <w:rPr>
          <w:b w:val="0"/>
          <w:sz w:val="22"/>
        </w:rPr>
        <w:t xml:space="preserve">They provide reasonable assurance that the risk will not occur, or if it does occur, that it will be detected and corrected in sufficient time to reduce the impact of the risk to tolerable or negligible levels. </w:t>
      </w:r>
    </w:p>
    <w:p w14:paraId="4A20D59D" w14:textId="77777777" w:rsidR="00405405" w:rsidRPr="008D24DA" w:rsidRDefault="00405405" w:rsidP="00405405">
      <w:pPr>
        <w:pStyle w:val="Heading2"/>
        <w:tabs>
          <w:tab w:val="left" w:pos="720"/>
        </w:tabs>
        <w:rPr>
          <w:b w:val="0"/>
          <w:bCs/>
          <w:sz w:val="22"/>
        </w:rPr>
      </w:pPr>
      <w:r>
        <w:rPr>
          <w:b w:val="0"/>
          <w:bCs/>
          <w:noProof/>
          <w:sz w:val="22"/>
        </w:rPr>
        <mc:AlternateContent>
          <mc:Choice Requires="wps">
            <w:drawing>
              <wp:anchor distT="0" distB="0" distL="114300" distR="114300" simplePos="0" relativeHeight="251658241" behindDoc="0" locked="0" layoutInCell="1" allowOverlap="1" wp14:anchorId="0F0055AA" wp14:editId="1AE31AE6">
                <wp:simplePos x="0" y="0"/>
                <wp:positionH relativeFrom="column">
                  <wp:posOffset>457200</wp:posOffset>
                </wp:positionH>
                <wp:positionV relativeFrom="paragraph">
                  <wp:posOffset>128270</wp:posOffset>
                </wp:positionV>
                <wp:extent cx="228600" cy="228600"/>
                <wp:effectExtent l="12065" t="7620" r="6985" b="1143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2BC883" w14:textId="77777777" w:rsidR="00405405" w:rsidRDefault="00405405" w:rsidP="00405405">
                            <w:pPr>
                              <w:ind w:left="-360" w:right="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55AA" id="Text Box 3" o:spid="_x0000_s1027" type="#_x0000_t202" style="position:absolute;left:0;text-align:left;margin-left:36pt;margin-top:10.1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">
                <v:textbox>
                  <w:txbxContent>
                    <w:p w14:paraId="702BC883" w14:textId="77777777" w:rsidR="00405405" w:rsidRDefault="00405405" w:rsidP="00405405">
                      <w:pPr>
                        <w:ind w:left="-360" w:right="60"/>
                      </w:pPr>
                    </w:p>
                  </w:txbxContent>
                </v:textbox>
              </v:shape>
            </w:pict>
          </mc:Fallback>
        </mc:AlternateContent>
      </w:r>
    </w:p>
    <w:p w14:paraId="68AFC2D9" w14:textId="61F44B18" w:rsidR="00405405" w:rsidRPr="008D24DA" w:rsidRDefault="00405405" w:rsidP="005E0AC2">
      <w:pPr>
        <w:spacing w:line="240" w:lineRule="auto"/>
        <w:ind w:left="1440" w:hanging="1440"/>
        <w:rPr>
          <w:sz w:val="22"/>
        </w:rPr>
      </w:pPr>
      <w:r w:rsidRPr="008D24DA">
        <w:rPr>
          <w:b/>
          <w:sz w:val="22"/>
        </w:rPr>
        <w:tab/>
      </w:r>
      <w:r w:rsidRPr="008D24DA">
        <w:rPr>
          <w:b/>
          <w:bCs/>
          <w:sz w:val="22"/>
          <w:u w:val="single"/>
        </w:rPr>
        <w:t>NOT APPROPRIATE</w:t>
      </w:r>
      <w:r w:rsidRPr="008D24DA">
        <w:rPr>
          <w:b/>
          <w:bCs/>
          <w:sz w:val="22"/>
        </w:rPr>
        <w:t xml:space="preserve"> – I am not satisfied </w:t>
      </w:r>
      <w:r w:rsidRPr="000549CC">
        <w:rPr>
          <w:bCs/>
          <w:sz w:val="22"/>
        </w:rPr>
        <w:t>that the measures/controls</w:t>
      </w:r>
      <w:r w:rsidRPr="008D24DA">
        <w:rPr>
          <w:b/>
          <w:bCs/>
          <w:sz w:val="22"/>
        </w:rPr>
        <w:t xml:space="preserve"> </w:t>
      </w:r>
      <w:r w:rsidRPr="008D24DA">
        <w:rPr>
          <w:bCs/>
          <w:sz w:val="22"/>
        </w:rPr>
        <w:t>in</w:t>
      </w:r>
      <w:r w:rsidRPr="008D24DA">
        <w:rPr>
          <w:sz w:val="22"/>
        </w:rPr>
        <w:t xml:space="preserve"> place to manage the risks for which I am responsible are appropriate and operating effectively</w:t>
      </w:r>
      <w:r w:rsidR="004942C7" w:rsidRPr="008D24DA">
        <w:rPr>
          <w:sz w:val="22"/>
        </w:rPr>
        <w:t xml:space="preserve">. </w:t>
      </w:r>
      <w:r w:rsidRPr="008D24DA">
        <w:rPr>
          <w:sz w:val="22"/>
        </w:rPr>
        <w:t>Further remedial action not yet in place or planned is required in order to safeguard the Department from the impact of the risk materialising.</w:t>
      </w:r>
    </w:p>
    <w:p w14:paraId="39D2DE5E" w14:textId="77777777" w:rsidR="00405405" w:rsidRPr="008D24DA" w:rsidRDefault="00405405" w:rsidP="00405405">
      <w:pPr>
        <w:rPr>
          <w:sz w:val="22"/>
        </w:rPr>
      </w:pPr>
    </w:p>
    <w:p w14:paraId="69A98653" w14:textId="77777777" w:rsidR="00405405" w:rsidRPr="008D24DA" w:rsidRDefault="00405405" w:rsidP="00405405">
      <w:pPr>
        <w:pStyle w:val="Heading2"/>
        <w:tabs>
          <w:tab w:val="left" w:pos="720"/>
        </w:tabs>
        <w:rPr>
          <w:bCs/>
          <w:sz w:val="22"/>
        </w:rPr>
      </w:pPr>
      <w:bookmarkStart w:id="30" w:name="OLE_LINK3"/>
      <w:bookmarkStart w:id="31" w:name="OLE_LINK4"/>
      <w:r w:rsidRPr="008D24DA">
        <w:rPr>
          <w:rFonts w:ascii="Times New Roman" w:hAnsi="Times New Roman"/>
          <w:b w:val="0"/>
          <w:sz w:val="22"/>
        </w:rPr>
        <w:tab/>
      </w:r>
      <w:r w:rsidRPr="008D24DA">
        <w:rPr>
          <w:sz w:val="22"/>
        </w:rPr>
        <w:t xml:space="preserve">In either case, please provide </w:t>
      </w:r>
      <w:r>
        <w:rPr>
          <w:sz w:val="22"/>
        </w:rPr>
        <w:t xml:space="preserve">key </w:t>
      </w:r>
      <w:r w:rsidRPr="008D24DA">
        <w:rPr>
          <w:sz w:val="22"/>
        </w:rPr>
        <w:t>supporting details below.</w:t>
      </w:r>
    </w:p>
    <w:bookmarkEnd w:id="30"/>
    <w:bookmarkEnd w:id="31"/>
    <w:tbl>
      <w:tblPr>
        <w:tblW w:w="8489"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489"/>
      </w:tblGrid>
      <w:tr w:rsidR="00405405" w:rsidRPr="003275FC" w14:paraId="287A30F3" w14:textId="77777777" w:rsidTr="005E0AC2">
        <w:trPr>
          <w:trHeight w:hRule="exact" w:val="4956"/>
        </w:trPr>
        <w:tc>
          <w:tcPr>
            <w:tcW w:w="8489" w:type="dxa"/>
          </w:tcPr>
          <w:p w14:paraId="50FDA65E" w14:textId="77777777" w:rsidR="00405405" w:rsidRPr="003275FC" w:rsidRDefault="00405405" w:rsidP="00522743">
            <w:pPr>
              <w:ind w:left="72"/>
              <w:rPr>
                <w:b/>
                <w:bCs/>
                <w:sz w:val="20"/>
                <w:szCs w:val="20"/>
              </w:rPr>
            </w:pPr>
          </w:p>
          <w:p w14:paraId="53C05DAC" w14:textId="77777777" w:rsidR="00405405" w:rsidRPr="003275FC" w:rsidRDefault="00405405" w:rsidP="00522743">
            <w:pPr>
              <w:ind w:left="72"/>
              <w:rPr>
                <w:bCs/>
                <w:sz w:val="20"/>
                <w:szCs w:val="20"/>
              </w:rPr>
            </w:pPr>
          </w:p>
          <w:p w14:paraId="15D6613C" w14:textId="77777777" w:rsidR="00405405" w:rsidRPr="003275FC" w:rsidRDefault="00405405" w:rsidP="00522743">
            <w:pPr>
              <w:ind w:left="72"/>
              <w:rPr>
                <w:bCs/>
                <w:sz w:val="20"/>
                <w:szCs w:val="20"/>
              </w:rPr>
            </w:pPr>
          </w:p>
          <w:p w14:paraId="5C5CF4CA" w14:textId="77777777" w:rsidR="00405405" w:rsidRPr="003275FC" w:rsidRDefault="00405405" w:rsidP="00522743">
            <w:pPr>
              <w:ind w:left="72"/>
              <w:rPr>
                <w:bCs/>
                <w:sz w:val="20"/>
                <w:szCs w:val="20"/>
              </w:rPr>
            </w:pPr>
          </w:p>
          <w:p w14:paraId="7527D9D9" w14:textId="77777777" w:rsidR="00405405" w:rsidRPr="003275FC" w:rsidRDefault="00405405" w:rsidP="00522743">
            <w:pPr>
              <w:ind w:left="72"/>
              <w:rPr>
                <w:bCs/>
                <w:sz w:val="20"/>
                <w:szCs w:val="20"/>
              </w:rPr>
            </w:pPr>
          </w:p>
          <w:p w14:paraId="14DD4C53" w14:textId="77777777" w:rsidR="00405405" w:rsidRPr="003275FC" w:rsidRDefault="00405405" w:rsidP="00522743">
            <w:pPr>
              <w:ind w:left="72"/>
              <w:rPr>
                <w:bCs/>
                <w:sz w:val="20"/>
                <w:szCs w:val="20"/>
              </w:rPr>
            </w:pPr>
          </w:p>
          <w:p w14:paraId="08C5D49D" w14:textId="77777777" w:rsidR="00405405" w:rsidRPr="003275FC" w:rsidRDefault="00405405" w:rsidP="00522743">
            <w:pPr>
              <w:ind w:left="72"/>
              <w:rPr>
                <w:bCs/>
                <w:sz w:val="20"/>
                <w:szCs w:val="20"/>
              </w:rPr>
            </w:pPr>
          </w:p>
        </w:tc>
      </w:tr>
      <w:tr w:rsidR="00405405" w:rsidRPr="003275FC" w14:paraId="18EA7A86" w14:textId="77777777" w:rsidTr="005E0AC2">
        <w:trPr>
          <w:trHeight w:val="36"/>
        </w:trPr>
        <w:tc>
          <w:tcPr>
            <w:tcW w:w="8489" w:type="dxa"/>
          </w:tcPr>
          <w:p w14:paraId="72B4B0AB" w14:textId="77777777" w:rsidR="00405405" w:rsidRPr="003275FC" w:rsidRDefault="00405405" w:rsidP="00522743">
            <w:pPr>
              <w:rPr>
                <w:b/>
                <w:bCs/>
                <w:sz w:val="20"/>
                <w:szCs w:val="20"/>
              </w:rPr>
            </w:pPr>
            <w:r w:rsidRPr="003275FC">
              <w:rPr>
                <w:b/>
                <w:bCs/>
                <w:sz w:val="20"/>
                <w:szCs w:val="20"/>
              </w:rPr>
              <w:t>Please do not type below this line.</w:t>
            </w:r>
          </w:p>
        </w:tc>
      </w:tr>
    </w:tbl>
    <w:p w14:paraId="766B1774" w14:textId="77777777" w:rsidR="00405405" w:rsidRDefault="00405405" w:rsidP="00405405">
      <w:pPr>
        <w:ind w:left="720"/>
        <w:rPr>
          <w:b/>
          <w:bCs/>
          <w:sz w:val="20"/>
          <w:szCs w:val="20"/>
        </w:rPr>
      </w:pPr>
    </w:p>
    <w:p w14:paraId="056FC6DD" w14:textId="77777777" w:rsidR="00405405" w:rsidRPr="006677DF" w:rsidRDefault="00405405" w:rsidP="00405405">
      <w:pPr>
        <w:pStyle w:val="Heading2"/>
        <w:rPr>
          <w:b w:val="0"/>
          <w:sz w:val="22"/>
        </w:rPr>
      </w:pPr>
      <w:r>
        <w:rPr>
          <w:b w:val="0"/>
          <w:sz w:val="20"/>
          <w:szCs w:val="20"/>
        </w:rPr>
        <w:tab/>
      </w:r>
      <w:r w:rsidRPr="00D07AFB">
        <w:rPr>
          <w:b w:val="0"/>
          <w:sz w:val="16"/>
          <w:szCs w:val="16"/>
        </w:rPr>
        <w:t xml:space="preserve">Please refer to the </w:t>
      </w:r>
      <w:r>
        <w:rPr>
          <w:b w:val="0"/>
          <w:sz w:val="16"/>
          <w:szCs w:val="16"/>
        </w:rPr>
        <w:t>“</w:t>
      </w:r>
      <w:r w:rsidRPr="00D07AFB">
        <w:rPr>
          <w:b w:val="0"/>
          <w:sz w:val="16"/>
          <w:szCs w:val="16"/>
        </w:rPr>
        <w:t>guidance</w:t>
      </w:r>
      <w:r>
        <w:rPr>
          <w:b w:val="0"/>
          <w:sz w:val="16"/>
          <w:szCs w:val="16"/>
        </w:rPr>
        <w:t xml:space="preserve"> document”</w:t>
      </w:r>
      <w:r w:rsidRPr="00D07AFB">
        <w:rPr>
          <w:b w:val="0"/>
          <w:sz w:val="16"/>
          <w:szCs w:val="16"/>
        </w:rPr>
        <w:t xml:space="preserve"> </w:t>
      </w:r>
      <w:r>
        <w:rPr>
          <w:b w:val="0"/>
          <w:sz w:val="16"/>
          <w:szCs w:val="16"/>
        </w:rPr>
        <w:t>to assist in completing this section.</w:t>
      </w:r>
    </w:p>
    <w:p w14:paraId="2C2CBA5E" w14:textId="77777777" w:rsidR="00405405" w:rsidRPr="00FC1313" w:rsidRDefault="00405405" w:rsidP="00405405">
      <w:pPr>
        <w:pStyle w:val="Heading2"/>
        <w:tabs>
          <w:tab w:val="left" w:pos="720"/>
        </w:tabs>
        <w:rPr>
          <w:sz w:val="22"/>
        </w:rPr>
      </w:pPr>
      <w:r>
        <w:rPr>
          <w:highlight w:val="cyan"/>
        </w:rPr>
        <w:br w:type="page"/>
      </w:r>
      <w:r w:rsidRPr="00FC1313">
        <w:lastRenderedPageBreak/>
        <w:t>3.</w:t>
      </w:r>
      <w:r w:rsidRPr="00FC1313">
        <w:tab/>
      </w:r>
      <w:r w:rsidRPr="00FC1313">
        <w:rPr>
          <w:sz w:val="22"/>
        </w:rPr>
        <w:t xml:space="preserve">External and Internal Audit </w:t>
      </w:r>
    </w:p>
    <w:p w14:paraId="4AF676D3" w14:textId="77777777" w:rsidR="00405405" w:rsidRPr="008D24DA" w:rsidRDefault="00405405" w:rsidP="00405405">
      <w:pPr>
        <w:pStyle w:val="BodyTextIndent"/>
        <w:rPr>
          <w:rFonts w:cs="Arial"/>
          <w:sz w:val="22"/>
          <w:szCs w:val="22"/>
        </w:rPr>
      </w:pPr>
    </w:p>
    <w:p w14:paraId="6C394BD9" w14:textId="77777777" w:rsidR="00405405" w:rsidRPr="009129AB" w:rsidRDefault="00405405" w:rsidP="00405405">
      <w:pPr>
        <w:pStyle w:val="BodyTextIndent"/>
        <w:ind w:left="720" w:hanging="720"/>
        <w:rPr>
          <w:rFonts w:cs="Arial"/>
          <w:b/>
          <w:sz w:val="22"/>
          <w:szCs w:val="22"/>
        </w:rPr>
      </w:pPr>
      <w:r w:rsidRPr="008D24DA">
        <w:rPr>
          <w:rFonts w:cs="Arial"/>
          <w:sz w:val="22"/>
          <w:szCs w:val="22"/>
        </w:rPr>
        <w:tab/>
      </w:r>
      <w:r w:rsidRPr="005C6DD9">
        <w:rPr>
          <w:rFonts w:cs="Arial"/>
          <w:b/>
          <w:sz w:val="22"/>
          <w:szCs w:val="22"/>
        </w:rPr>
        <w:t>New Audit Recommendations</w:t>
      </w:r>
    </w:p>
    <w:p w14:paraId="6D1FC3CF" w14:textId="77777777" w:rsidR="00405405" w:rsidRDefault="00405405" w:rsidP="00405405">
      <w:pPr>
        <w:pStyle w:val="BodyTextIndent"/>
        <w:ind w:left="720" w:hanging="720"/>
        <w:rPr>
          <w:rFonts w:cs="Arial"/>
          <w:sz w:val="22"/>
          <w:szCs w:val="22"/>
        </w:rPr>
      </w:pPr>
    </w:p>
    <w:p w14:paraId="76A7BF54" w14:textId="77777777" w:rsidR="00405405" w:rsidRDefault="00405405" w:rsidP="00405405">
      <w:pPr>
        <w:pStyle w:val="BodyTextIndent"/>
        <w:ind w:left="720" w:hanging="720"/>
        <w:jc w:val="left"/>
        <w:rPr>
          <w:rFonts w:cs="Arial"/>
          <w:sz w:val="22"/>
          <w:szCs w:val="22"/>
        </w:rPr>
      </w:pPr>
      <w:r>
        <w:rPr>
          <w:rFonts w:cs="Arial"/>
          <w:sz w:val="22"/>
          <w:szCs w:val="22"/>
        </w:rPr>
        <w:tab/>
      </w:r>
      <w:r w:rsidRPr="009129AB">
        <w:rPr>
          <w:rFonts w:cs="Arial"/>
          <w:sz w:val="22"/>
          <w:szCs w:val="22"/>
        </w:rPr>
        <w:t xml:space="preserve">Please outline any </w:t>
      </w:r>
      <w:r w:rsidRPr="009129AB">
        <w:rPr>
          <w:rFonts w:cs="Arial"/>
          <w:b/>
          <w:sz w:val="22"/>
          <w:szCs w:val="22"/>
        </w:rPr>
        <w:t>new</w:t>
      </w:r>
      <w:r w:rsidRPr="009129AB">
        <w:rPr>
          <w:rFonts w:cs="Arial"/>
          <w:sz w:val="22"/>
          <w:szCs w:val="22"/>
        </w:rPr>
        <w:t xml:space="preserve"> PAC, NIAO and Internal Audit Reports received during the reporting period, providing a </w:t>
      </w:r>
      <w:r>
        <w:rPr>
          <w:rFonts w:cs="Arial"/>
          <w:sz w:val="22"/>
          <w:szCs w:val="22"/>
        </w:rPr>
        <w:t xml:space="preserve">brief </w:t>
      </w:r>
      <w:r w:rsidRPr="009129AB">
        <w:rPr>
          <w:rFonts w:cs="Arial"/>
          <w:sz w:val="22"/>
          <w:szCs w:val="22"/>
        </w:rPr>
        <w:t xml:space="preserve">summary </w:t>
      </w:r>
      <w:r>
        <w:rPr>
          <w:rFonts w:cs="Arial"/>
          <w:sz w:val="22"/>
          <w:szCs w:val="22"/>
        </w:rPr>
        <w:t>o</w:t>
      </w:r>
      <w:r w:rsidRPr="009129AB">
        <w:rPr>
          <w:rFonts w:cs="Arial"/>
          <w:sz w:val="22"/>
          <w:szCs w:val="22"/>
        </w:rPr>
        <w:t>f</w:t>
      </w:r>
      <w:r>
        <w:rPr>
          <w:rFonts w:cs="Arial"/>
          <w:sz w:val="22"/>
          <w:szCs w:val="22"/>
        </w:rPr>
        <w:t xml:space="preserve"> any</w:t>
      </w:r>
      <w:r w:rsidRPr="009129AB">
        <w:rPr>
          <w:rFonts w:cs="Arial"/>
          <w:sz w:val="22"/>
          <w:szCs w:val="22"/>
        </w:rPr>
        <w:t xml:space="preserve"> key issues raised and number of recommendations made. For Internal Audit, please also state the assurance opinions provided</w:t>
      </w:r>
      <w:r w:rsidRPr="008D24DA">
        <w:rPr>
          <w:rFonts w:cs="Arial"/>
          <w:sz w:val="22"/>
          <w:szCs w:val="22"/>
        </w:rPr>
        <w:t>.</w:t>
      </w:r>
      <w:r>
        <w:rPr>
          <w:rFonts w:cs="Arial"/>
          <w:sz w:val="22"/>
          <w:szCs w:val="22"/>
        </w:rPr>
        <w:t xml:space="preserve"> </w:t>
      </w:r>
    </w:p>
    <w:p w14:paraId="1C63DF58" w14:textId="77777777" w:rsidR="00405405" w:rsidRDefault="00405405" w:rsidP="00405405">
      <w:pPr>
        <w:pStyle w:val="BodyTextIndent"/>
        <w:ind w:left="720" w:hanging="720"/>
        <w:rPr>
          <w:rFonts w:cs="Arial"/>
          <w:sz w:val="22"/>
          <w:szCs w:val="22"/>
        </w:rPr>
      </w:pPr>
    </w:p>
    <w:tbl>
      <w:tblPr>
        <w:tblW w:w="8641"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641"/>
      </w:tblGrid>
      <w:tr w:rsidR="00405405" w:rsidRPr="003275FC" w14:paraId="4090643C" w14:textId="77777777" w:rsidTr="00522743">
        <w:trPr>
          <w:trHeight w:hRule="exact" w:val="3667"/>
        </w:trPr>
        <w:tc>
          <w:tcPr>
            <w:tcW w:w="8479" w:type="dxa"/>
          </w:tcPr>
          <w:p w14:paraId="3E7C071D" w14:textId="77777777" w:rsidR="00405405" w:rsidRDefault="00405405" w:rsidP="00522743">
            <w:pPr>
              <w:ind w:left="72"/>
              <w:rPr>
                <w:bCs/>
                <w:sz w:val="22"/>
              </w:rPr>
            </w:pPr>
          </w:p>
          <w:p w14:paraId="3729BCB3" w14:textId="77777777" w:rsidR="00405405" w:rsidRPr="00B759E8" w:rsidRDefault="00405405" w:rsidP="00522743">
            <w:pPr>
              <w:ind w:left="72"/>
              <w:rPr>
                <w:bCs/>
                <w:sz w:val="22"/>
              </w:rPr>
            </w:pPr>
          </w:p>
          <w:p w14:paraId="5738FEB6" w14:textId="77777777" w:rsidR="00405405" w:rsidRPr="003275FC" w:rsidRDefault="00405405" w:rsidP="00522743">
            <w:pPr>
              <w:ind w:left="72"/>
              <w:rPr>
                <w:bCs/>
                <w:sz w:val="20"/>
                <w:szCs w:val="20"/>
              </w:rPr>
            </w:pPr>
          </w:p>
        </w:tc>
      </w:tr>
      <w:tr w:rsidR="00405405" w:rsidRPr="003275FC" w14:paraId="14F1F7C1" w14:textId="77777777" w:rsidTr="00522743">
        <w:trPr>
          <w:trHeight w:val="70"/>
        </w:trPr>
        <w:tc>
          <w:tcPr>
            <w:tcW w:w="8479" w:type="dxa"/>
          </w:tcPr>
          <w:p w14:paraId="7E621CA6" w14:textId="77777777" w:rsidR="00405405" w:rsidRPr="003275FC" w:rsidRDefault="00405405" w:rsidP="00522743">
            <w:pPr>
              <w:rPr>
                <w:b/>
                <w:bCs/>
                <w:sz w:val="20"/>
                <w:szCs w:val="20"/>
              </w:rPr>
            </w:pPr>
            <w:r w:rsidRPr="003275FC">
              <w:rPr>
                <w:b/>
                <w:bCs/>
                <w:sz w:val="20"/>
                <w:szCs w:val="20"/>
              </w:rPr>
              <w:t>Please do not type below this line.</w:t>
            </w:r>
          </w:p>
        </w:tc>
      </w:tr>
    </w:tbl>
    <w:p w14:paraId="21BA6CE0" w14:textId="77777777" w:rsidR="00405405" w:rsidRDefault="00405405" w:rsidP="00405405">
      <w:pPr>
        <w:ind w:left="540"/>
        <w:rPr>
          <w:b/>
          <w:bCs/>
          <w:sz w:val="20"/>
          <w:szCs w:val="20"/>
        </w:rPr>
      </w:pPr>
    </w:p>
    <w:p w14:paraId="07EF84FA" w14:textId="77777777" w:rsidR="00405405" w:rsidRPr="008D24DA" w:rsidRDefault="00405405" w:rsidP="00405405">
      <w:pPr>
        <w:ind w:firstLine="540"/>
        <w:rPr>
          <w:sz w:val="22"/>
        </w:rPr>
      </w:pPr>
      <w:r>
        <w:rPr>
          <w:b/>
          <w:sz w:val="22"/>
        </w:rPr>
        <w:tab/>
      </w:r>
      <w:r w:rsidRPr="005C6DD9">
        <w:rPr>
          <w:b/>
          <w:sz w:val="22"/>
        </w:rPr>
        <w:t>Existing Audit Recommendations</w:t>
      </w:r>
      <w:r w:rsidRPr="009129AB">
        <w:rPr>
          <w:b/>
          <w:sz w:val="22"/>
        </w:rPr>
        <w:tab/>
      </w:r>
      <w:r w:rsidRPr="008D24DA">
        <w:rPr>
          <w:bCs/>
          <w:i/>
          <w:sz w:val="22"/>
        </w:rPr>
        <w:t xml:space="preserve">(please tick correct box)  </w:t>
      </w:r>
    </w:p>
    <w:p w14:paraId="0ACD15C2" w14:textId="77777777" w:rsidR="00405405" w:rsidRPr="008D24DA" w:rsidRDefault="00405405" w:rsidP="00405405">
      <w:pPr>
        <w:pStyle w:val="BodyTextIndent"/>
        <w:ind w:left="540" w:firstLine="0"/>
        <w:rPr>
          <w:rFonts w:cs="Arial"/>
          <w:sz w:val="22"/>
          <w:szCs w:val="22"/>
        </w:rPr>
      </w:pPr>
    </w:p>
    <w:p w14:paraId="78C86A05" w14:textId="02273526" w:rsidR="00405405" w:rsidRPr="008D24DA" w:rsidRDefault="00405405" w:rsidP="00405405">
      <w:pPr>
        <w:pStyle w:val="BodyTextIndent"/>
        <w:tabs>
          <w:tab w:val="clear" w:pos="1200"/>
          <w:tab w:val="left" w:pos="1260"/>
        </w:tabs>
        <w:ind w:left="1260" w:firstLine="0"/>
        <w:jc w:val="left"/>
        <w:rPr>
          <w:rFonts w:cs="Arial"/>
          <w:sz w:val="22"/>
          <w:szCs w:val="22"/>
        </w:rPr>
      </w:pPr>
      <w:r>
        <w:rPr>
          <w:rFonts w:cs="Arial"/>
          <w:b/>
          <w:noProof/>
          <w:sz w:val="22"/>
          <w:szCs w:val="22"/>
          <w:lang w:eastAsia="en-GB"/>
        </w:rPr>
        <mc:AlternateContent>
          <mc:Choice Requires="wps">
            <w:drawing>
              <wp:anchor distT="0" distB="0" distL="114300" distR="114300" simplePos="0" relativeHeight="251658246" behindDoc="0" locked="0" layoutInCell="1" allowOverlap="1" wp14:anchorId="158BAF9E" wp14:editId="2ADCED82">
                <wp:simplePos x="0" y="0"/>
                <wp:positionH relativeFrom="column">
                  <wp:posOffset>460374</wp:posOffset>
                </wp:positionH>
                <wp:positionV relativeFrom="paragraph">
                  <wp:posOffset>73024</wp:posOffset>
                </wp:positionV>
                <wp:extent cx="235585" cy="281305"/>
                <wp:effectExtent l="0" t="0" r="12065" b="2349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81305"/>
                        </a:xfrm>
                        <a:prstGeom prst="rect">
                          <a:avLst/>
                        </a:prstGeom>
                        <a:solidFill>
                          <a:srgbClr val="FFFFFF"/>
                        </a:solidFill>
                        <a:ln w="9525">
                          <a:solidFill>
                            <a:srgbClr val="000000"/>
                          </a:solidFill>
                          <a:miter lim="800000"/>
                          <a:headEnd/>
                          <a:tailEnd/>
                        </a:ln>
                      </wps:spPr>
                      <wps:txbx>
                        <w:txbxContent>
                          <w:p w14:paraId="5AB836E9"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BAF9E" id="Text Box 10" o:spid="_x0000_s1028" type="#_x0000_t202" style="position:absolute;left:0;text-align:left;margin-left:36.25pt;margin-top:5.75pt;width:18.55pt;height:22.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">
                <v:textbox>
                  <w:txbxContent>
                    <w:p w14:paraId="5AB836E9" w14:textId="77777777" w:rsidR="00405405" w:rsidRDefault="00405405" w:rsidP="00405405"/>
                  </w:txbxContent>
                </v:textbox>
              </v:shape>
            </w:pict>
          </mc:Fallback>
        </mc:AlternateContent>
      </w:r>
      <w:r w:rsidRPr="00A52312">
        <w:rPr>
          <w:rFonts w:cs="Arial"/>
          <w:b/>
          <w:sz w:val="22"/>
          <w:szCs w:val="22"/>
        </w:rPr>
        <w:t xml:space="preserve">I am </w:t>
      </w:r>
      <w:r w:rsidRPr="00B759E8">
        <w:rPr>
          <w:rFonts w:cs="Arial"/>
          <w:b/>
          <w:sz w:val="22"/>
          <w:szCs w:val="22"/>
        </w:rPr>
        <w:t>satisfied</w:t>
      </w:r>
      <w:r w:rsidRPr="00B759E8">
        <w:rPr>
          <w:rFonts w:cs="Arial"/>
          <w:sz w:val="22"/>
          <w:szCs w:val="22"/>
        </w:rPr>
        <w:t xml:space="preserve"> that</w:t>
      </w:r>
      <w:r w:rsidR="00D418FE">
        <w:rPr>
          <w:rFonts w:cs="Arial"/>
          <w:sz w:val="22"/>
          <w:szCs w:val="22"/>
        </w:rPr>
        <w:t xml:space="preserve"> those</w:t>
      </w:r>
      <w:r w:rsidRPr="00B759E8">
        <w:rPr>
          <w:rFonts w:cs="Arial"/>
          <w:sz w:val="22"/>
          <w:szCs w:val="22"/>
        </w:rPr>
        <w:t xml:space="preserve"> recommendations</w:t>
      </w:r>
      <w:r>
        <w:rPr>
          <w:rFonts w:cs="Arial"/>
          <w:sz w:val="22"/>
          <w:szCs w:val="22"/>
        </w:rPr>
        <w:t xml:space="preserve"> set out in my Audit Action Plans and relevant Accountability Grids and these have been accurately updated and that processes are in place to address all recommendations for which I am responsible.</w:t>
      </w:r>
    </w:p>
    <w:p w14:paraId="3B984B03" w14:textId="77777777" w:rsidR="00405405" w:rsidRDefault="00405405" w:rsidP="00405405">
      <w:pPr>
        <w:pStyle w:val="BodyTextIndent"/>
        <w:ind w:left="540" w:firstLine="0"/>
        <w:rPr>
          <w:rFonts w:cs="Arial"/>
          <w:sz w:val="20"/>
          <w:szCs w:val="20"/>
        </w:rPr>
      </w:pPr>
      <w:r w:rsidRPr="00D1762B">
        <w:rPr>
          <w:rFonts w:cs="Arial"/>
        </w:rPr>
        <w:t xml:space="preserve"> </w:t>
      </w:r>
      <w:r>
        <w:rPr>
          <w:rFonts w:cs="Arial"/>
          <w:sz w:val="20"/>
          <w:szCs w:val="20"/>
        </w:rPr>
        <w:tab/>
      </w:r>
    </w:p>
    <w:p w14:paraId="5C827C0B" w14:textId="2C705130" w:rsidR="00405405" w:rsidRPr="00D1762B" w:rsidRDefault="00405405" w:rsidP="00405405">
      <w:pPr>
        <w:pStyle w:val="BodyTextIndent"/>
        <w:ind w:left="1260" w:firstLine="0"/>
        <w:rPr>
          <w:rFonts w:cs="Arial"/>
        </w:rPr>
      </w:pPr>
      <w:r>
        <w:rPr>
          <w:rFonts w:cs="Arial"/>
          <w:b/>
          <w:noProof/>
          <w:sz w:val="20"/>
          <w:szCs w:val="20"/>
          <w:lang w:eastAsia="en-GB"/>
        </w:rPr>
        <mc:AlternateContent>
          <mc:Choice Requires="wps">
            <w:drawing>
              <wp:anchor distT="0" distB="0" distL="114300" distR="114300" simplePos="0" relativeHeight="251658247" behindDoc="0" locked="0" layoutInCell="1" allowOverlap="1" wp14:anchorId="78905509" wp14:editId="541B3F0B">
                <wp:simplePos x="0" y="0"/>
                <wp:positionH relativeFrom="column">
                  <wp:posOffset>457200</wp:posOffset>
                </wp:positionH>
                <wp:positionV relativeFrom="paragraph">
                  <wp:posOffset>111125</wp:posOffset>
                </wp:positionV>
                <wp:extent cx="228600" cy="228600"/>
                <wp:effectExtent l="12065" t="8255" r="6985" b="1079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1F6315"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5509" id="Text Box 11" o:spid="_x0000_s1029" type="#_x0000_t202" style="position:absolute;left:0;text-align:left;margin-left:36pt;margin-top:8.75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">
                <v:textbox>
                  <w:txbxContent>
                    <w:p w14:paraId="681F6315" w14:textId="77777777" w:rsidR="00405405" w:rsidRDefault="00405405" w:rsidP="00405405"/>
                  </w:txbxContent>
                </v:textbox>
              </v:shape>
            </w:pict>
          </mc:Fallback>
        </mc:AlternateContent>
      </w:r>
      <w:r w:rsidRPr="00A52312">
        <w:rPr>
          <w:rFonts w:cs="Arial"/>
          <w:b/>
          <w:sz w:val="22"/>
          <w:szCs w:val="22"/>
        </w:rPr>
        <w:t>I am not satisfied</w:t>
      </w:r>
      <w:r>
        <w:rPr>
          <w:rFonts w:cs="Arial"/>
          <w:sz w:val="22"/>
          <w:szCs w:val="22"/>
        </w:rPr>
        <w:t xml:space="preserve"> </w:t>
      </w:r>
      <w:r w:rsidR="00D418FE" w:rsidRPr="00B759E8">
        <w:rPr>
          <w:rFonts w:cs="Arial"/>
          <w:sz w:val="22"/>
          <w:szCs w:val="22"/>
        </w:rPr>
        <w:t>those recommendations</w:t>
      </w:r>
      <w:r>
        <w:rPr>
          <w:rFonts w:cs="Arial"/>
          <w:sz w:val="22"/>
          <w:szCs w:val="22"/>
        </w:rPr>
        <w:t xml:space="preserve"> set out in my Audit Action Plans and relevant Accountability Grids have been accurately updated and/or that processes are in place to address all recommendations for which I am responsible.</w:t>
      </w:r>
    </w:p>
    <w:p w14:paraId="14DD968E" w14:textId="77777777" w:rsidR="00405405" w:rsidRDefault="00405405" w:rsidP="00405405">
      <w:pPr>
        <w:spacing w:line="360" w:lineRule="auto"/>
        <w:ind w:left="540"/>
        <w:rPr>
          <w:sz w:val="20"/>
          <w:szCs w:val="20"/>
        </w:rPr>
      </w:pPr>
      <w:r>
        <w:rPr>
          <w:sz w:val="20"/>
          <w:szCs w:val="20"/>
        </w:rPr>
        <w:tab/>
      </w:r>
    </w:p>
    <w:p w14:paraId="13E56FEC" w14:textId="77777777" w:rsidR="00405405" w:rsidRPr="00C57E29" w:rsidRDefault="00405405" w:rsidP="00405405">
      <w:pPr>
        <w:spacing w:line="360" w:lineRule="auto"/>
        <w:ind w:left="540"/>
      </w:pPr>
      <w:r>
        <w:rPr>
          <w:b/>
          <w:bCs/>
          <w:sz w:val="22"/>
        </w:rPr>
        <w:tab/>
      </w:r>
      <w:r w:rsidRPr="00521540">
        <w:rPr>
          <w:b/>
          <w:bCs/>
          <w:sz w:val="22"/>
        </w:rPr>
        <w:t>In either case, please provide supporting details below</w:t>
      </w:r>
      <w:r w:rsidRPr="008D24DA">
        <w:rPr>
          <w:bCs/>
          <w:sz w:val="22"/>
        </w:rPr>
        <w:t>.</w:t>
      </w:r>
    </w:p>
    <w:tbl>
      <w:tblPr>
        <w:tblW w:w="8662"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662"/>
      </w:tblGrid>
      <w:tr w:rsidR="00405405" w:rsidRPr="003275FC" w14:paraId="74C2F3C6" w14:textId="77777777" w:rsidTr="00522743">
        <w:trPr>
          <w:trHeight w:hRule="exact" w:val="3163"/>
        </w:trPr>
        <w:tc>
          <w:tcPr>
            <w:tcW w:w="8662" w:type="dxa"/>
          </w:tcPr>
          <w:p w14:paraId="64037C43" w14:textId="77777777" w:rsidR="00405405" w:rsidRPr="00B759E8" w:rsidRDefault="00405405" w:rsidP="00522743">
            <w:pPr>
              <w:rPr>
                <w:bCs/>
                <w:sz w:val="22"/>
              </w:rPr>
            </w:pPr>
          </w:p>
        </w:tc>
      </w:tr>
      <w:tr w:rsidR="00405405" w:rsidRPr="003275FC" w14:paraId="33BAF1E5" w14:textId="77777777" w:rsidTr="00522743">
        <w:trPr>
          <w:trHeight w:val="60"/>
        </w:trPr>
        <w:tc>
          <w:tcPr>
            <w:tcW w:w="8662" w:type="dxa"/>
          </w:tcPr>
          <w:p w14:paraId="760EE02C" w14:textId="77777777" w:rsidR="00405405" w:rsidRPr="003275FC" w:rsidRDefault="00405405" w:rsidP="00522743">
            <w:pPr>
              <w:rPr>
                <w:b/>
                <w:bCs/>
                <w:sz w:val="20"/>
                <w:szCs w:val="20"/>
              </w:rPr>
            </w:pPr>
            <w:r w:rsidRPr="003275FC">
              <w:rPr>
                <w:b/>
                <w:bCs/>
                <w:sz w:val="20"/>
                <w:szCs w:val="20"/>
              </w:rPr>
              <w:t>Please do not type below this line.</w:t>
            </w:r>
          </w:p>
        </w:tc>
      </w:tr>
    </w:tbl>
    <w:p w14:paraId="25DEA60D" w14:textId="77777777" w:rsidR="00405405" w:rsidRDefault="00405405" w:rsidP="00405405"/>
    <w:p w14:paraId="6994FB9D" w14:textId="77777777" w:rsidR="00405405" w:rsidRDefault="00405405" w:rsidP="00405405">
      <w:pPr>
        <w:pStyle w:val="Heading2"/>
        <w:ind w:left="720"/>
      </w:pPr>
      <w:r w:rsidRPr="00D07AFB">
        <w:rPr>
          <w:b w:val="0"/>
          <w:sz w:val="16"/>
          <w:szCs w:val="16"/>
        </w:rPr>
        <w:t xml:space="preserve">Please refer to the </w:t>
      </w:r>
      <w:r>
        <w:rPr>
          <w:b w:val="0"/>
          <w:sz w:val="16"/>
          <w:szCs w:val="16"/>
        </w:rPr>
        <w:t>“</w:t>
      </w:r>
      <w:r w:rsidRPr="00D07AFB">
        <w:rPr>
          <w:b w:val="0"/>
          <w:sz w:val="16"/>
          <w:szCs w:val="16"/>
        </w:rPr>
        <w:t>guidance</w:t>
      </w:r>
      <w:r>
        <w:rPr>
          <w:b w:val="0"/>
          <w:sz w:val="16"/>
          <w:szCs w:val="16"/>
        </w:rPr>
        <w:t xml:space="preserve"> document”</w:t>
      </w:r>
      <w:r w:rsidRPr="00D07AFB">
        <w:rPr>
          <w:b w:val="0"/>
          <w:sz w:val="16"/>
          <w:szCs w:val="16"/>
        </w:rPr>
        <w:t xml:space="preserve"> </w:t>
      </w:r>
      <w:r>
        <w:rPr>
          <w:b w:val="0"/>
          <w:sz w:val="16"/>
          <w:szCs w:val="16"/>
        </w:rPr>
        <w:t>to assist in completing this section.</w:t>
      </w:r>
    </w:p>
    <w:p w14:paraId="1385AD66" w14:textId="77777777" w:rsidR="00405405" w:rsidRPr="008D24DA" w:rsidRDefault="00405405" w:rsidP="00405405">
      <w:pPr>
        <w:pStyle w:val="Heading2"/>
        <w:rPr>
          <w:b w:val="0"/>
          <w:i/>
          <w:sz w:val="22"/>
        </w:rPr>
      </w:pPr>
      <w:r>
        <w:br w:type="page"/>
      </w:r>
      <w:r>
        <w:lastRenderedPageBreak/>
        <w:t>4</w:t>
      </w:r>
      <w:r w:rsidRPr="008D24DA">
        <w:rPr>
          <w:sz w:val="22"/>
        </w:rPr>
        <w:t>.</w:t>
      </w:r>
      <w:r w:rsidRPr="008D24DA">
        <w:rPr>
          <w:sz w:val="22"/>
        </w:rPr>
        <w:tab/>
        <w:t xml:space="preserve">Financial Management </w:t>
      </w:r>
      <w:r w:rsidRPr="008D24DA">
        <w:rPr>
          <w:b w:val="0"/>
          <w:i/>
          <w:sz w:val="22"/>
        </w:rPr>
        <w:t>(please tick correct box)</w:t>
      </w:r>
      <w:r w:rsidRPr="008D24DA">
        <w:rPr>
          <w:i/>
          <w:sz w:val="22"/>
        </w:rPr>
        <w:t xml:space="preserve"> </w:t>
      </w:r>
    </w:p>
    <w:p w14:paraId="0A59E319" w14:textId="77777777" w:rsidR="00405405" w:rsidRPr="008D24DA" w:rsidRDefault="00405405" w:rsidP="00405405">
      <w:pPr>
        <w:rPr>
          <w:i/>
          <w:sz w:val="22"/>
        </w:rPr>
      </w:pPr>
    </w:p>
    <w:p w14:paraId="3569DCAC" w14:textId="77777777" w:rsidR="00405405" w:rsidRDefault="00405405" w:rsidP="00405405">
      <w:pPr>
        <w:pStyle w:val="Header"/>
        <w:tabs>
          <w:tab w:val="left" w:pos="1260"/>
          <w:tab w:val="left" w:pos="5760"/>
          <w:tab w:val="left" w:pos="6240"/>
        </w:tabs>
        <w:ind w:left="1260"/>
        <w:rPr>
          <w:color w:val="1F497D"/>
          <w:sz w:val="22"/>
        </w:rPr>
      </w:pPr>
      <w:r>
        <w:rPr>
          <w:i/>
          <w:noProof/>
          <w:sz w:val="22"/>
        </w:rPr>
        <mc:AlternateContent>
          <mc:Choice Requires="wps">
            <w:drawing>
              <wp:anchor distT="0" distB="0" distL="114300" distR="114300" simplePos="0" relativeHeight="251658242" behindDoc="0" locked="0" layoutInCell="1" allowOverlap="1" wp14:anchorId="344E5DBE" wp14:editId="3D6F0635">
                <wp:simplePos x="0" y="0"/>
                <wp:positionH relativeFrom="column">
                  <wp:posOffset>454660</wp:posOffset>
                </wp:positionH>
                <wp:positionV relativeFrom="paragraph">
                  <wp:posOffset>33020</wp:posOffset>
                </wp:positionV>
                <wp:extent cx="254000" cy="330200"/>
                <wp:effectExtent l="0" t="0" r="12700" b="1270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30200"/>
                        </a:xfrm>
                        <a:prstGeom prst="rect">
                          <a:avLst/>
                        </a:prstGeom>
                        <a:solidFill>
                          <a:srgbClr val="FFFFFF"/>
                        </a:solidFill>
                        <a:ln w="9525">
                          <a:solidFill>
                            <a:srgbClr val="000000"/>
                          </a:solidFill>
                          <a:miter lim="800000"/>
                          <a:headEnd/>
                          <a:tailEnd/>
                        </a:ln>
                      </wps:spPr>
                      <wps:txbx>
                        <w:txbxContent>
                          <w:p w14:paraId="1728FFB0" w14:textId="77777777" w:rsidR="00405405" w:rsidRPr="00C6588C"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5DBE" id="Text Box 4" o:spid="_x0000_s1030" type="#_x0000_t202" style="position:absolute;left:0;text-align:left;margin-left:35.8pt;margin-top:2.6pt;width:20pt;height: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">
                <v:textbox>
                  <w:txbxContent>
                    <w:p w14:paraId="1728FFB0" w14:textId="77777777" w:rsidR="00405405" w:rsidRPr="00C6588C" w:rsidRDefault="00405405" w:rsidP="00405405"/>
                  </w:txbxContent>
                </v:textbox>
              </v:shape>
            </w:pict>
          </mc:Fallback>
        </mc:AlternateContent>
      </w:r>
      <w:r w:rsidRPr="008D24DA">
        <w:rPr>
          <w:b/>
          <w:sz w:val="22"/>
        </w:rPr>
        <w:t>I am satisfied</w:t>
      </w:r>
      <w:r w:rsidRPr="008D24DA">
        <w:rPr>
          <w:sz w:val="22"/>
        </w:rPr>
        <w:t xml:space="preserve"> that proper financial controls are in place to enable me to ensure value for money, propriety and regularity of expenditure under my control, manage my business area’s budget, protect any financial assets under my care and achieve </w:t>
      </w:r>
      <w:r>
        <w:rPr>
          <w:sz w:val="22"/>
        </w:rPr>
        <w:t xml:space="preserve">maximum utilisation of my budget to support the Department’s / my Group’s achievement of its financial targets. </w:t>
      </w:r>
    </w:p>
    <w:p w14:paraId="39437ADE" w14:textId="77777777" w:rsidR="00405405" w:rsidRDefault="00405405" w:rsidP="00405405">
      <w:pPr>
        <w:pStyle w:val="Header"/>
        <w:tabs>
          <w:tab w:val="left" w:pos="1260"/>
          <w:tab w:val="left" w:pos="5760"/>
          <w:tab w:val="left" w:pos="6240"/>
        </w:tabs>
        <w:ind w:left="1260"/>
        <w:rPr>
          <w:sz w:val="22"/>
        </w:rPr>
      </w:pPr>
    </w:p>
    <w:p w14:paraId="6CCD5BF4" w14:textId="77777777" w:rsidR="00405405" w:rsidRPr="008D24DA" w:rsidRDefault="00405405" w:rsidP="00405405">
      <w:pPr>
        <w:pStyle w:val="Header"/>
        <w:tabs>
          <w:tab w:val="left" w:pos="1260"/>
          <w:tab w:val="left" w:pos="5760"/>
          <w:tab w:val="left" w:pos="6240"/>
        </w:tabs>
        <w:ind w:left="1260"/>
        <w:rPr>
          <w:sz w:val="22"/>
        </w:rPr>
      </w:pPr>
      <w:r>
        <w:rPr>
          <w:b/>
          <w:noProof/>
          <w:sz w:val="22"/>
        </w:rPr>
        <mc:AlternateContent>
          <mc:Choice Requires="wps">
            <w:drawing>
              <wp:anchor distT="0" distB="0" distL="114300" distR="114300" simplePos="0" relativeHeight="251658243" behindDoc="0" locked="0" layoutInCell="1" allowOverlap="1" wp14:anchorId="674E0455" wp14:editId="37090BFE">
                <wp:simplePos x="0" y="0"/>
                <wp:positionH relativeFrom="column">
                  <wp:posOffset>457200</wp:posOffset>
                </wp:positionH>
                <wp:positionV relativeFrom="paragraph">
                  <wp:posOffset>50800</wp:posOffset>
                </wp:positionV>
                <wp:extent cx="228600" cy="228600"/>
                <wp:effectExtent l="12065" t="8890" r="6985" b="1016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E5BB5C"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0455" id="Text Box 5" o:spid="_x0000_s1031" type="#_x0000_t202" style="position:absolute;left:0;text-align:left;margin-left:36pt;margin-top:4pt;width:1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">
                <v:textbox>
                  <w:txbxContent>
                    <w:p w14:paraId="1AE5BB5C" w14:textId="77777777" w:rsidR="00405405" w:rsidRDefault="00405405" w:rsidP="00405405"/>
                  </w:txbxContent>
                </v:textbox>
              </v:shape>
            </w:pict>
          </mc:Fallback>
        </mc:AlternateContent>
      </w:r>
      <w:r w:rsidRPr="008D24DA">
        <w:rPr>
          <w:b/>
          <w:sz w:val="22"/>
        </w:rPr>
        <w:t>I am not satisfied</w:t>
      </w:r>
      <w:r w:rsidRPr="008D24DA">
        <w:rPr>
          <w:sz w:val="22"/>
        </w:rPr>
        <w:t xml:space="preserve"> that proper financial controls are in place to enable me to ensure value for money, propriety and regularity of expenditure under my control, manage my business area’s budget, protect any financial assets under my care and achieve </w:t>
      </w:r>
      <w:r>
        <w:rPr>
          <w:sz w:val="22"/>
        </w:rPr>
        <w:t>maximum utilisation of my budget to support the Department’s / my Group’s achievement of its financial targets</w:t>
      </w:r>
      <w:r w:rsidRPr="008D24DA">
        <w:rPr>
          <w:sz w:val="22"/>
        </w:rPr>
        <w:t xml:space="preserve"> </w:t>
      </w:r>
    </w:p>
    <w:p w14:paraId="1D4DA085" w14:textId="77777777" w:rsidR="00405405" w:rsidRPr="008D24DA" w:rsidRDefault="00405405" w:rsidP="00405405">
      <w:pPr>
        <w:pStyle w:val="Header"/>
        <w:tabs>
          <w:tab w:val="left" w:pos="1080"/>
          <w:tab w:val="left" w:pos="5760"/>
          <w:tab w:val="left" w:pos="6240"/>
        </w:tabs>
        <w:ind w:left="720"/>
        <w:rPr>
          <w:sz w:val="22"/>
        </w:rPr>
      </w:pPr>
    </w:p>
    <w:p w14:paraId="4613D1FA" w14:textId="77777777" w:rsidR="00405405" w:rsidRPr="008D24DA" w:rsidRDefault="00405405" w:rsidP="00405405">
      <w:pPr>
        <w:pStyle w:val="Header"/>
        <w:tabs>
          <w:tab w:val="left" w:pos="1080"/>
          <w:tab w:val="left" w:pos="5760"/>
          <w:tab w:val="left" w:pos="6240"/>
        </w:tabs>
        <w:ind w:left="720"/>
        <w:rPr>
          <w:b/>
          <w:sz w:val="22"/>
        </w:rPr>
      </w:pPr>
      <w:r w:rsidRPr="008D24DA">
        <w:rPr>
          <w:b/>
          <w:sz w:val="22"/>
        </w:rPr>
        <w:t>Please provide supporting details in either case:</w:t>
      </w:r>
    </w:p>
    <w:p w14:paraId="016B3E7D" w14:textId="77777777" w:rsidR="00405405" w:rsidRPr="008D24DA" w:rsidRDefault="00405405" w:rsidP="00405405">
      <w:pPr>
        <w:pStyle w:val="Header"/>
        <w:tabs>
          <w:tab w:val="left" w:pos="1080"/>
          <w:tab w:val="left" w:pos="5760"/>
          <w:tab w:val="left" w:pos="6240"/>
        </w:tabs>
        <w:ind w:left="720"/>
        <w:rPr>
          <w:b/>
          <w:sz w:val="22"/>
        </w:rPr>
      </w:pPr>
    </w:p>
    <w:p w14:paraId="0A48ECA6" w14:textId="77777777" w:rsidR="00405405" w:rsidRPr="008D24DA" w:rsidRDefault="00405405" w:rsidP="00405405">
      <w:pPr>
        <w:pStyle w:val="Header"/>
        <w:numPr>
          <w:ilvl w:val="0"/>
          <w:numId w:val="12"/>
        </w:numPr>
        <w:tabs>
          <w:tab w:val="clear" w:pos="4513"/>
          <w:tab w:val="clear" w:pos="9026"/>
          <w:tab w:val="left" w:pos="1080"/>
          <w:tab w:val="left" w:pos="5760"/>
          <w:tab w:val="left" w:pos="6240"/>
        </w:tabs>
        <w:rPr>
          <w:b/>
          <w:sz w:val="22"/>
        </w:rPr>
      </w:pPr>
      <w:r>
        <w:rPr>
          <w:b/>
          <w:sz w:val="22"/>
        </w:rPr>
        <w:t>D</w:t>
      </w:r>
      <w:r w:rsidRPr="008D24DA">
        <w:rPr>
          <w:b/>
          <w:sz w:val="22"/>
        </w:rPr>
        <w:t>etails of positive actions to ensure sound financial management; and</w:t>
      </w:r>
    </w:p>
    <w:p w14:paraId="2AAB485E" w14:textId="77777777" w:rsidR="00405405" w:rsidRDefault="00405405" w:rsidP="00405405">
      <w:pPr>
        <w:pStyle w:val="Header"/>
        <w:numPr>
          <w:ilvl w:val="0"/>
          <w:numId w:val="12"/>
        </w:numPr>
        <w:tabs>
          <w:tab w:val="clear" w:pos="4513"/>
          <w:tab w:val="clear" w:pos="9026"/>
          <w:tab w:val="left" w:pos="1080"/>
          <w:tab w:val="left" w:pos="5760"/>
          <w:tab w:val="left" w:pos="6240"/>
        </w:tabs>
        <w:rPr>
          <w:b/>
          <w:sz w:val="22"/>
        </w:rPr>
      </w:pPr>
      <w:r>
        <w:rPr>
          <w:b/>
          <w:sz w:val="22"/>
        </w:rPr>
        <w:t>I</w:t>
      </w:r>
      <w:r w:rsidRPr="008D24DA">
        <w:rPr>
          <w:b/>
          <w:sz w:val="22"/>
        </w:rPr>
        <w:t>f not satisfied, details of issues and corrective action being taken.</w:t>
      </w:r>
    </w:p>
    <w:p w14:paraId="0803F5A3" w14:textId="77777777" w:rsidR="00405405" w:rsidRPr="008D24DA" w:rsidRDefault="00405405" w:rsidP="00405405">
      <w:pPr>
        <w:pStyle w:val="Header"/>
        <w:tabs>
          <w:tab w:val="left" w:pos="1080"/>
          <w:tab w:val="left" w:pos="5760"/>
          <w:tab w:val="left" w:pos="6240"/>
        </w:tabs>
        <w:ind w:left="1440"/>
        <w:rPr>
          <w:b/>
          <w:sz w:val="22"/>
        </w:rPr>
      </w:pPr>
    </w:p>
    <w:tbl>
      <w:tblPr>
        <w:tblW w:w="8732"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732"/>
      </w:tblGrid>
      <w:tr w:rsidR="00405405" w:rsidRPr="003275FC" w14:paraId="6847CCB4" w14:textId="77777777" w:rsidTr="00522743">
        <w:trPr>
          <w:trHeight w:hRule="exact" w:val="9217"/>
        </w:trPr>
        <w:tc>
          <w:tcPr>
            <w:tcW w:w="8732" w:type="dxa"/>
          </w:tcPr>
          <w:p w14:paraId="1AF321E1" w14:textId="77777777" w:rsidR="00405405" w:rsidRDefault="00405405" w:rsidP="00522743">
            <w:pPr>
              <w:rPr>
                <w:sz w:val="20"/>
                <w:szCs w:val="20"/>
              </w:rPr>
            </w:pPr>
          </w:p>
          <w:p w14:paraId="7C6784A5" w14:textId="77777777" w:rsidR="00405405" w:rsidRDefault="00405405" w:rsidP="00522743">
            <w:pPr>
              <w:rPr>
                <w:sz w:val="20"/>
                <w:szCs w:val="20"/>
              </w:rPr>
            </w:pPr>
          </w:p>
          <w:p w14:paraId="2A58B693" w14:textId="77777777" w:rsidR="00405405" w:rsidRDefault="00405405" w:rsidP="00522743">
            <w:pPr>
              <w:rPr>
                <w:sz w:val="20"/>
                <w:szCs w:val="20"/>
              </w:rPr>
            </w:pPr>
          </w:p>
          <w:p w14:paraId="2860F49A" w14:textId="77777777" w:rsidR="00405405" w:rsidRDefault="00405405" w:rsidP="00522743">
            <w:pPr>
              <w:rPr>
                <w:sz w:val="20"/>
                <w:szCs w:val="20"/>
              </w:rPr>
            </w:pPr>
          </w:p>
          <w:p w14:paraId="2A949190" w14:textId="77777777" w:rsidR="00405405" w:rsidRDefault="00405405" w:rsidP="00522743">
            <w:pPr>
              <w:rPr>
                <w:sz w:val="20"/>
                <w:szCs w:val="20"/>
              </w:rPr>
            </w:pPr>
          </w:p>
          <w:p w14:paraId="20A0FE15" w14:textId="77777777" w:rsidR="00405405" w:rsidRDefault="00405405" w:rsidP="00522743">
            <w:pPr>
              <w:rPr>
                <w:sz w:val="20"/>
                <w:szCs w:val="20"/>
              </w:rPr>
            </w:pPr>
          </w:p>
          <w:p w14:paraId="5B402B04" w14:textId="77777777" w:rsidR="00405405" w:rsidRDefault="00405405" w:rsidP="00522743">
            <w:pPr>
              <w:rPr>
                <w:sz w:val="20"/>
                <w:szCs w:val="20"/>
              </w:rPr>
            </w:pPr>
          </w:p>
          <w:p w14:paraId="47BF2BEB" w14:textId="77777777" w:rsidR="00405405" w:rsidRDefault="00405405" w:rsidP="00522743">
            <w:pPr>
              <w:rPr>
                <w:sz w:val="20"/>
                <w:szCs w:val="20"/>
              </w:rPr>
            </w:pPr>
          </w:p>
          <w:p w14:paraId="0C04ACB1" w14:textId="77777777" w:rsidR="00405405" w:rsidRDefault="00405405" w:rsidP="00522743">
            <w:pPr>
              <w:rPr>
                <w:sz w:val="20"/>
                <w:szCs w:val="20"/>
              </w:rPr>
            </w:pPr>
          </w:p>
          <w:p w14:paraId="2A61BF5E" w14:textId="77777777" w:rsidR="00405405" w:rsidRDefault="00405405" w:rsidP="00522743">
            <w:pPr>
              <w:rPr>
                <w:sz w:val="20"/>
                <w:szCs w:val="20"/>
              </w:rPr>
            </w:pPr>
          </w:p>
          <w:p w14:paraId="02F7546A" w14:textId="77777777" w:rsidR="00405405" w:rsidRDefault="00405405" w:rsidP="00522743">
            <w:pPr>
              <w:rPr>
                <w:sz w:val="20"/>
                <w:szCs w:val="20"/>
              </w:rPr>
            </w:pPr>
          </w:p>
          <w:p w14:paraId="656E231F" w14:textId="77777777" w:rsidR="00405405" w:rsidRDefault="00405405" w:rsidP="00522743">
            <w:pPr>
              <w:rPr>
                <w:sz w:val="20"/>
                <w:szCs w:val="20"/>
              </w:rPr>
            </w:pPr>
          </w:p>
          <w:p w14:paraId="4D465A71" w14:textId="77777777" w:rsidR="00405405" w:rsidRDefault="00405405" w:rsidP="00522743">
            <w:pPr>
              <w:rPr>
                <w:sz w:val="20"/>
                <w:szCs w:val="20"/>
              </w:rPr>
            </w:pPr>
          </w:p>
          <w:p w14:paraId="1F088D66" w14:textId="77777777" w:rsidR="00405405" w:rsidRDefault="00405405" w:rsidP="00522743">
            <w:pPr>
              <w:rPr>
                <w:sz w:val="20"/>
                <w:szCs w:val="20"/>
              </w:rPr>
            </w:pPr>
          </w:p>
          <w:p w14:paraId="26254E8F" w14:textId="77777777" w:rsidR="00405405" w:rsidRDefault="00405405" w:rsidP="00522743">
            <w:pPr>
              <w:rPr>
                <w:sz w:val="20"/>
                <w:szCs w:val="20"/>
              </w:rPr>
            </w:pPr>
          </w:p>
          <w:p w14:paraId="004388E3" w14:textId="77777777" w:rsidR="00405405" w:rsidRDefault="00405405" w:rsidP="00522743">
            <w:pPr>
              <w:rPr>
                <w:sz w:val="20"/>
                <w:szCs w:val="20"/>
              </w:rPr>
            </w:pPr>
          </w:p>
          <w:p w14:paraId="39E72423" w14:textId="77777777" w:rsidR="00405405" w:rsidRDefault="00405405" w:rsidP="00522743">
            <w:pPr>
              <w:rPr>
                <w:sz w:val="20"/>
                <w:szCs w:val="20"/>
              </w:rPr>
            </w:pPr>
          </w:p>
          <w:p w14:paraId="73622AFB" w14:textId="77777777" w:rsidR="00405405" w:rsidRDefault="00405405" w:rsidP="00522743">
            <w:pPr>
              <w:rPr>
                <w:sz w:val="20"/>
                <w:szCs w:val="20"/>
              </w:rPr>
            </w:pPr>
          </w:p>
          <w:p w14:paraId="1817C65D" w14:textId="77777777" w:rsidR="00405405" w:rsidRDefault="00405405" w:rsidP="00522743">
            <w:pPr>
              <w:rPr>
                <w:sz w:val="20"/>
                <w:szCs w:val="20"/>
              </w:rPr>
            </w:pPr>
          </w:p>
          <w:p w14:paraId="632195E8" w14:textId="77777777" w:rsidR="00405405" w:rsidRDefault="00405405" w:rsidP="00522743">
            <w:pPr>
              <w:rPr>
                <w:sz w:val="20"/>
                <w:szCs w:val="20"/>
              </w:rPr>
            </w:pPr>
          </w:p>
          <w:p w14:paraId="1A80C0FF" w14:textId="77777777" w:rsidR="00405405" w:rsidRDefault="00405405" w:rsidP="00522743">
            <w:pPr>
              <w:rPr>
                <w:sz w:val="20"/>
                <w:szCs w:val="20"/>
              </w:rPr>
            </w:pPr>
          </w:p>
          <w:p w14:paraId="5878B6B3" w14:textId="77777777" w:rsidR="00405405" w:rsidRDefault="00405405" w:rsidP="00522743">
            <w:pPr>
              <w:rPr>
                <w:sz w:val="20"/>
                <w:szCs w:val="20"/>
              </w:rPr>
            </w:pPr>
          </w:p>
          <w:p w14:paraId="2A05D67B" w14:textId="77777777" w:rsidR="00405405" w:rsidRDefault="00405405" w:rsidP="00522743">
            <w:pPr>
              <w:rPr>
                <w:sz w:val="20"/>
                <w:szCs w:val="20"/>
              </w:rPr>
            </w:pPr>
          </w:p>
          <w:p w14:paraId="3D020446" w14:textId="77777777" w:rsidR="00405405" w:rsidRDefault="00405405" w:rsidP="00522743">
            <w:pPr>
              <w:rPr>
                <w:sz w:val="20"/>
                <w:szCs w:val="20"/>
              </w:rPr>
            </w:pPr>
          </w:p>
          <w:p w14:paraId="116AD83C" w14:textId="77777777" w:rsidR="00405405" w:rsidRDefault="00405405" w:rsidP="00522743">
            <w:pPr>
              <w:rPr>
                <w:sz w:val="20"/>
                <w:szCs w:val="20"/>
              </w:rPr>
            </w:pPr>
          </w:p>
          <w:p w14:paraId="4AF6315D" w14:textId="77777777" w:rsidR="00405405" w:rsidRDefault="00405405" w:rsidP="00522743">
            <w:pPr>
              <w:rPr>
                <w:sz w:val="20"/>
                <w:szCs w:val="20"/>
              </w:rPr>
            </w:pPr>
          </w:p>
          <w:p w14:paraId="61D0A622" w14:textId="77777777" w:rsidR="00405405" w:rsidRDefault="00405405" w:rsidP="00522743">
            <w:pPr>
              <w:rPr>
                <w:sz w:val="20"/>
                <w:szCs w:val="20"/>
              </w:rPr>
            </w:pPr>
          </w:p>
          <w:p w14:paraId="1C824F07" w14:textId="77777777" w:rsidR="00405405" w:rsidRDefault="00405405" w:rsidP="00522743">
            <w:pPr>
              <w:rPr>
                <w:sz w:val="20"/>
                <w:szCs w:val="20"/>
              </w:rPr>
            </w:pPr>
          </w:p>
          <w:p w14:paraId="4E1E8FDE" w14:textId="77777777" w:rsidR="00405405" w:rsidRDefault="00405405" w:rsidP="00522743">
            <w:pPr>
              <w:rPr>
                <w:sz w:val="20"/>
                <w:szCs w:val="20"/>
              </w:rPr>
            </w:pPr>
          </w:p>
          <w:p w14:paraId="058206B4" w14:textId="77777777" w:rsidR="00405405" w:rsidRPr="00E846DF" w:rsidRDefault="00405405" w:rsidP="00522743">
            <w:pPr>
              <w:rPr>
                <w:sz w:val="20"/>
                <w:szCs w:val="20"/>
              </w:rPr>
            </w:pPr>
          </w:p>
        </w:tc>
      </w:tr>
    </w:tbl>
    <w:p w14:paraId="258500C4" w14:textId="77777777" w:rsidR="00405405" w:rsidRPr="00543540" w:rsidRDefault="00405405" w:rsidP="00405405">
      <w:pPr>
        <w:pStyle w:val="Heading2"/>
        <w:ind w:left="720" w:hanging="720"/>
        <w:rPr>
          <w:sz w:val="20"/>
          <w:szCs w:val="20"/>
        </w:rPr>
      </w:pPr>
      <w:r>
        <w:lastRenderedPageBreak/>
        <w:t>5</w:t>
      </w:r>
      <w:r w:rsidRPr="000C05AE">
        <w:t>.</w:t>
      </w:r>
      <w:r w:rsidRPr="008D585F">
        <w:rPr>
          <w:sz w:val="20"/>
          <w:szCs w:val="20"/>
        </w:rPr>
        <w:tab/>
      </w:r>
      <w:r w:rsidRPr="00D07AFB">
        <w:rPr>
          <w:sz w:val="22"/>
        </w:rPr>
        <w:t>Busines</w:t>
      </w:r>
      <w:r w:rsidRPr="008D24DA">
        <w:rPr>
          <w:sz w:val="22"/>
        </w:rPr>
        <w:t>s Planning</w:t>
      </w:r>
      <w:r>
        <w:rPr>
          <w:sz w:val="22"/>
        </w:rPr>
        <w:t xml:space="preserve">, </w:t>
      </w:r>
      <w:r w:rsidRPr="00B759E8">
        <w:rPr>
          <w:sz w:val="22"/>
        </w:rPr>
        <w:t xml:space="preserve">Performance Monitoring and Business Continuity </w:t>
      </w:r>
    </w:p>
    <w:p w14:paraId="7A7B1DD7" w14:textId="77777777" w:rsidR="00405405" w:rsidRPr="008D24DA" w:rsidRDefault="00405405" w:rsidP="00405405">
      <w:pPr>
        <w:pStyle w:val="Heading2"/>
        <w:ind w:left="540" w:firstLine="180"/>
        <w:rPr>
          <w:sz w:val="22"/>
        </w:rPr>
      </w:pPr>
      <w:r w:rsidRPr="008D24DA">
        <w:rPr>
          <w:b w:val="0"/>
          <w:i/>
          <w:sz w:val="22"/>
        </w:rPr>
        <w:t>(please tick correct box)</w:t>
      </w:r>
      <w:r w:rsidRPr="008D24DA">
        <w:rPr>
          <w:i/>
          <w:sz w:val="22"/>
        </w:rPr>
        <w:t xml:space="preserve"> </w:t>
      </w:r>
    </w:p>
    <w:p w14:paraId="6034BB9D" w14:textId="77777777" w:rsidR="00405405" w:rsidRPr="008D24DA" w:rsidRDefault="00405405" w:rsidP="00405405">
      <w:pPr>
        <w:pStyle w:val="Header"/>
        <w:tabs>
          <w:tab w:val="left" w:pos="1080"/>
          <w:tab w:val="left" w:pos="5760"/>
          <w:tab w:val="left" w:pos="6240"/>
        </w:tabs>
        <w:ind w:left="720"/>
        <w:rPr>
          <w:sz w:val="22"/>
        </w:rPr>
      </w:pPr>
    </w:p>
    <w:p w14:paraId="620E4F46" w14:textId="77777777" w:rsidR="00405405" w:rsidRPr="008D24DA" w:rsidRDefault="00405405" w:rsidP="00405405">
      <w:pPr>
        <w:pStyle w:val="Header"/>
        <w:tabs>
          <w:tab w:val="left" w:pos="1260"/>
          <w:tab w:val="left" w:pos="5760"/>
          <w:tab w:val="left" w:pos="6240"/>
        </w:tabs>
        <w:ind w:left="1260"/>
        <w:rPr>
          <w:sz w:val="22"/>
        </w:rPr>
      </w:pPr>
      <w:r>
        <w:rPr>
          <w:noProof/>
        </w:rPr>
        <mc:AlternateContent>
          <mc:Choice Requires="wps">
            <w:drawing>
              <wp:anchor distT="0" distB="0" distL="114300" distR="114300" simplePos="0" relativeHeight="251658249" behindDoc="0" locked="0" layoutInCell="1" allowOverlap="1" wp14:anchorId="711DE450" wp14:editId="22CCD77C">
                <wp:simplePos x="0" y="0"/>
                <wp:positionH relativeFrom="column">
                  <wp:posOffset>454660</wp:posOffset>
                </wp:positionH>
                <wp:positionV relativeFrom="paragraph">
                  <wp:posOffset>37465</wp:posOffset>
                </wp:positionV>
                <wp:extent cx="273050" cy="317500"/>
                <wp:effectExtent l="0" t="0" r="12700" b="2540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17500"/>
                        </a:xfrm>
                        <a:prstGeom prst="rect">
                          <a:avLst/>
                        </a:prstGeom>
                        <a:solidFill>
                          <a:srgbClr val="FFFFFF"/>
                        </a:solidFill>
                        <a:ln w="9525">
                          <a:solidFill>
                            <a:srgbClr val="000000"/>
                          </a:solidFill>
                          <a:miter lim="800000"/>
                          <a:headEnd/>
                          <a:tailEnd/>
                        </a:ln>
                      </wps:spPr>
                      <wps:txbx>
                        <w:txbxContent>
                          <w:p w14:paraId="7A5189A4"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E450" id="Text Box 14" o:spid="_x0000_s1032" type="#_x0000_t202" style="position:absolute;left:0;text-align:left;margin-left:35.8pt;margin-top:2.95pt;width:21.5pt;height: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">
                <v:textbox>
                  <w:txbxContent>
                    <w:p w14:paraId="7A5189A4" w14:textId="77777777" w:rsidR="00405405" w:rsidRDefault="00405405" w:rsidP="00405405"/>
                  </w:txbxContent>
                </v:textbox>
              </v:shape>
            </w:pict>
          </mc:Fallback>
        </mc:AlternateContent>
      </w:r>
      <w:r w:rsidRPr="008D24DA">
        <w:rPr>
          <w:b/>
          <w:sz w:val="22"/>
        </w:rPr>
        <w:t>I am satisfied</w:t>
      </w:r>
      <w:r>
        <w:rPr>
          <w:b/>
          <w:sz w:val="22"/>
        </w:rPr>
        <w:t xml:space="preserve"> </w:t>
      </w:r>
      <w:r w:rsidRPr="008D24DA">
        <w:rPr>
          <w:sz w:val="22"/>
        </w:rPr>
        <w:t xml:space="preserve">that appropriate </w:t>
      </w:r>
      <w:r>
        <w:rPr>
          <w:sz w:val="22"/>
        </w:rPr>
        <w:t>B</w:t>
      </w:r>
      <w:r w:rsidRPr="008D24DA">
        <w:rPr>
          <w:sz w:val="22"/>
        </w:rPr>
        <w:t>usiness Planning</w:t>
      </w:r>
      <w:r>
        <w:rPr>
          <w:sz w:val="22"/>
        </w:rPr>
        <w:t xml:space="preserve">, </w:t>
      </w:r>
      <w:r w:rsidRPr="008D24DA">
        <w:rPr>
          <w:sz w:val="22"/>
        </w:rPr>
        <w:t xml:space="preserve">Performance Monitoring </w:t>
      </w:r>
      <w:r>
        <w:rPr>
          <w:sz w:val="22"/>
        </w:rPr>
        <w:t xml:space="preserve">and Business Continuity </w:t>
      </w:r>
      <w:r w:rsidRPr="008D24DA">
        <w:rPr>
          <w:sz w:val="22"/>
        </w:rPr>
        <w:t>arrangements are in place within my Business Area.</w:t>
      </w:r>
    </w:p>
    <w:p w14:paraId="5A041715" w14:textId="77777777" w:rsidR="00405405" w:rsidRPr="008D24DA" w:rsidRDefault="00405405" w:rsidP="00405405">
      <w:pPr>
        <w:pStyle w:val="Heading2"/>
        <w:rPr>
          <w:sz w:val="22"/>
        </w:rPr>
      </w:pPr>
    </w:p>
    <w:p w14:paraId="69F6549F" w14:textId="77777777" w:rsidR="00405405" w:rsidRPr="008D24DA" w:rsidRDefault="00405405" w:rsidP="00405405">
      <w:pPr>
        <w:pStyle w:val="Header"/>
        <w:tabs>
          <w:tab w:val="left" w:pos="1260"/>
          <w:tab w:val="left" w:pos="5760"/>
          <w:tab w:val="left" w:pos="6240"/>
        </w:tabs>
        <w:ind w:left="1260"/>
        <w:rPr>
          <w:sz w:val="22"/>
        </w:rPr>
      </w:pPr>
      <w:r>
        <w:rPr>
          <w:noProof/>
        </w:rPr>
        <mc:AlternateContent>
          <mc:Choice Requires="wps">
            <w:drawing>
              <wp:anchor distT="0" distB="0" distL="114300" distR="114300" simplePos="0" relativeHeight="251658248" behindDoc="0" locked="0" layoutInCell="1" allowOverlap="1" wp14:anchorId="277384CB" wp14:editId="15BA23EF">
                <wp:simplePos x="0" y="0"/>
                <wp:positionH relativeFrom="column">
                  <wp:posOffset>457200</wp:posOffset>
                </wp:positionH>
                <wp:positionV relativeFrom="paragraph">
                  <wp:posOffset>14605</wp:posOffset>
                </wp:positionV>
                <wp:extent cx="228600" cy="228600"/>
                <wp:effectExtent l="0" t="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1A54E3"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84CB" id="Text Box 7" o:spid="_x0000_s1033" type="#_x0000_t202" style="position:absolute;left:0;text-align:left;margin-left:36pt;margin-top:1.15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">
                <v:textbox>
                  <w:txbxContent>
                    <w:p w14:paraId="251A54E3" w14:textId="77777777" w:rsidR="00405405" w:rsidRDefault="00405405" w:rsidP="00405405"/>
                  </w:txbxContent>
                </v:textbox>
              </v:shape>
            </w:pict>
          </mc:Fallback>
        </mc:AlternateContent>
      </w:r>
      <w:r w:rsidRPr="008D24DA">
        <w:rPr>
          <w:b/>
          <w:sz w:val="22"/>
        </w:rPr>
        <w:t>I am not satisfied</w:t>
      </w:r>
      <w:r w:rsidRPr="008D24DA">
        <w:rPr>
          <w:sz w:val="22"/>
        </w:rPr>
        <w:t xml:space="preserve"> that appropriate </w:t>
      </w:r>
      <w:r>
        <w:rPr>
          <w:sz w:val="22"/>
        </w:rPr>
        <w:t>B</w:t>
      </w:r>
      <w:r w:rsidRPr="008D24DA">
        <w:rPr>
          <w:sz w:val="22"/>
        </w:rPr>
        <w:t>usiness Planning</w:t>
      </w:r>
      <w:r>
        <w:rPr>
          <w:sz w:val="22"/>
        </w:rPr>
        <w:t xml:space="preserve">, </w:t>
      </w:r>
      <w:r w:rsidRPr="008D24DA">
        <w:rPr>
          <w:sz w:val="22"/>
        </w:rPr>
        <w:t xml:space="preserve">Performance Monitoring </w:t>
      </w:r>
      <w:r>
        <w:rPr>
          <w:sz w:val="22"/>
        </w:rPr>
        <w:t xml:space="preserve">and Business Continuity </w:t>
      </w:r>
      <w:r w:rsidRPr="008D24DA">
        <w:rPr>
          <w:sz w:val="22"/>
        </w:rPr>
        <w:t>arrangements are in place within my Business Area.</w:t>
      </w:r>
    </w:p>
    <w:p w14:paraId="2A19495B" w14:textId="77777777" w:rsidR="00405405" w:rsidRPr="008D24DA" w:rsidRDefault="00405405" w:rsidP="00405405">
      <w:pPr>
        <w:pStyle w:val="Heading2"/>
        <w:ind w:left="720" w:hanging="720"/>
        <w:rPr>
          <w:sz w:val="22"/>
        </w:rPr>
      </w:pPr>
    </w:p>
    <w:p w14:paraId="271FE99F" w14:textId="77777777" w:rsidR="00405405" w:rsidRPr="008D24DA" w:rsidRDefault="00405405" w:rsidP="00405405">
      <w:pPr>
        <w:pStyle w:val="Header"/>
        <w:tabs>
          <w:tab w:val="left" w:pos="1080"/>
          <w:tab w:val="left" w:pos="5760"/>
          <w:tab w:val="left" w:pos="6240"/>
        </w:tabs>
        <w:ind w:left="720"/>
        <w:rPr>
          <w:b/>
          <w:sz w:val="22"/>
        </w:rPr>
      </w:pPr>
      <w:r w:rsidRPr="008D24DA">
        <w:rPr>
          <w:b/>
          <w:sz w:val="22"/>
        </w:rPr>
        <w:t>Please provide supporting details:</w:t>
      </w:r>
    </w:p>
    <w:p w14:paraId="0E525022" w14:textId="77777777" w:rsidR="00405405" w:rsidRPr="008D24DA" w:rsidRDefault="00405405" w:rsidP="00405405">
      <w:pPr>
        <w:pStyle w:val="Header"/>
        <w:tabs>
          <w:tab w:val="left" w:pos="1080"/>
          <w:tab w:val="left" w:pos="5760"/>
          <w:tab w:val="left" w:pos="6240"/>
        </w:tabs>
        <w:ind w:left="720"/>
        <w:rPr>
          <w:b/>
          <w:sz w:val="22"/>
        </w:rPr>
      </w:pPr>
    </w:p>
    <w:p w14:paraId="06D8D3E4" w14:textId="77777777" w:rsidR="00405405" w:rsidRPr="008D24DA" w:rsidRDefault="00405405" w:rsidP="00405405">
      <w:pPr>
        <w:pStyle w:val="Header"/>
        <w:numPr>
          <w:ilvl w:val="0"/>
          <w:numId w:val="12"/>
        </w:numPr>
        <w:tabs>
          <w:tab w:val="clear" w:pos="4513"/>
          <w:tab w:val="clear" w:pos="9026"/>
          <w:tab w:val="left" w:pos="1080"/>
          <w:tab w:val="left" w:pos="5760"/>
          <w:tab w:val="left" w:pos="6240"/>
        </w:tabs>
        <w:rPr>
          <w:b/>
          <w:sz w:val="22"/>
        </w:rPr>
      </w:pPr>
      <w:r>
        <w:rPr>
          <w:b/>
          <w:sz w:val="22"/>
        </w:rPr>
        <w:t>If satisfied, details of actio</w:t>
      </w:r>
      <w:r w:rsidRPr="008D24DA">
        <w:rPr>
          <w:b/>
          <w:sz w:val="22"/>
        </w:rPr>
        <w:t>ns that have been taken in this area</w:t>
      </w:r>
      <w:r>
        <w:rPr>
          <w:b/>
          <w:sz w:val="22"/>
        </w:rPr>
        <w:t>;</w:t>
      </w:r>
      <w:r w:rsidRPr="008D24DA">
        <w:rPr>
          <w:b/>
          <w:sz w:val="22"/>
        </w:rPr>
        <w:t xml:space="preserve"> and</w:t>
      </w:r>
    </w:p>
    <w:p w14:paraId="47457365" w14:textId="77777777" w:rsidR="00405405" w:rsidRDefault="00405405" w:rsidP="00405405">
      <w:pPr>
        <w:pStyle w:val="Header"/>
        <w:numPr>
          <w:ilvl w:val="0"/>
          <w:numId w:val="12"/>
        </w:numPr>
        <w:tabs>
          <w:tab w:val="clear" w:pos="4513"/>
          <w:tab w:val="clear" w:pos="9026"/>
          <w:tab w:val="left" w:pos="1080"/>
          <w:tab w:val="left" w:pos="5760"/>
          <w:tab w:val="left" w:pos="6240"/>
        </w:tabs>
        <w:rPr>
          <w:b/>
          <w:sz w:val="22"/>
        </w:rPr>
      </w:pPr>
      <w:r w:rsidRPr="008D24DA">
        <w:rPr>
          <w:b/>
          <w:sz w:val="22"/>
        </w:rPr>
        <w:t xml:space="preserve">If not satisfied, details of issues and corrective action being taken. </w:t>
      </w:r>
    </w:p>
    <w:p w14:paraId="4E68D1EB" w14:textId="77777777" w:rsidR="00405405" w:rsidRDefault="00405405" w:rsidP="00405405">
      <w:pPr>
        <w:pStyle w:val="Header"/>
        <w:tabs>
          <w:tab w:val="left" w:pos="1080"/>
          <w:tab w:val="left" w:pos="5760"/>
          <w:tab w:val="left" w:pos="6240"/>
        </w:tabs>
        <w:ind w:left="720"/>
        <w:rPr>
          <w:b/>
        </w:rPr>
      </w:pPr>
    </w:p>
    <w:tbl>
      <w:tblPr>
        <w:tblW w:w="8541"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541"/>
      </w:tblGrid>
      <w:tr w:rsidR="00405405" w:rsidRPr="003275FC" w14:paraId="394F7430" w14:textId="77777777" w:rsidTr="00522743">
        <w:trPr>
          <w:trHeight w:hRule="exact" w:val="8856"/>
        </w:trPr>
        <w:tc>
          <w:tcPr>
            <w:tcW w:w="8541" w:type="dxa"/>
          </w:tcPr>
          <w:p w14:paraId="2649F140" w14:textId="77777777" w:rsidR="00405405" w:rsidRPr="003275FC" w:rsidRDefault="00405405" w:rsidP="00522743">
            <w:pPr>
              <w:ind w:left="72"/>
              <w:rPr>
                <w:b/>
                <w:bCs/>
                <w:sz w:val="20"/>
                <w:szCs w:val="20"/>
              </w:rPr>
            </w:pPr>
          </w:p>
          <w:p w14:paraId="7DB8E5A9" w14:textId="77777777" w:rsidR="00405405" w:rsidRPr="003275FC" w:rsidRDefault="00405405" w:rsidP="00522743">
            <w:pPr>
              <w:ind w:left="72"/>
              <w:rPr>
                <w:bCs/>
                <w:sz w:val="20"/>
                <w:szCs w:val="20"/>
              </w:rPr>
            </w:pPr>
            <w:r>
              <w:rPr>
                <w:bCs/>
                <w:sz w:val="22"/>
              </w:rPr>
              <w:t xml:space="preserve"> </w:t>
            </w:r>
          </w:p>
        </w:tc>
      </w:tr>
      <w:tr w:rsidR="00405405" w:rsidRPr="003275FC" w14:paraId="1F1307F3" w14:textId="77777777" w:rsidTr="00522743">
        <w:trPr>
          <w:trHeight w:val="58"/>
        </w:trPr>
        <w:tc>
          <w:tcPr>
            <w:tcW w:w="8541" w:type="dxa"/>
          </w:tcPr>
          <w:p w14:paraId="38292F94" w14:textId="77777777" w:rsidR="00405405" w:rsidRPr="003275FC" w:rsidRDefault="00405405" w:rsidP="00522743">
            <w:pPr>
              <w:rPr>
                <w:b/>
                <w:bCs/>
                <w:sz w:val="20"/>
                <w:szCs w:val="20"/>
              </w:rPr>
            </w:pPr>
            <w:r w:rsidRPr="003275FC">
              <w:rPr>
                <w:b/>
                <w:bCs/>
                <w:sz w:val="20"/>
                <w:szCs w:val="20"/>
              </w:rPr>
              <w:t>Please do not type below this line.</w:t>
            </w:r>
          </w:p>
        </w:tc>
      </w:tr>
    </w:tbl>
    <w:p w14:paraId="3824BE2F" w14:textId="77777777" w:rsidR="00405405" w:rsidRDefault="00405405" w:rsidP="00405405">
      <w:pPr>
        <w:pStyle w:val="Heading2"/>
        <w:ind w:left="720"/>
        <w:rPr>
          <w:sz w:val="20"/>
          <w:szCs w:val="20"/>
        </w:rPr>
      </w:pPr>
    </w:p>
    <w:p w14:paraId="74A0E0CC" w14:textId="77777777" w:rsidR="00405405" w:rsidRDefault="00405405" w:rsidP="00405405">
      <w:pPr>
        <w:pStyle w:val="Heading2"/>
        <w:ind w:firstLine="720"/>
        <w:rPr>
          <w:b w:val="0"/>
          <w:sz w:val="16"/>
          <w:szCs w:val="16"/>
        </w:rPr>
      </w:pPr>
      <w:r w:rsidRPr="00D07AFB">
        <w:rPr>
          <w:b w:val="0"/>
          <w:sz w:val="16"/>
          <w:szCs w:val="16"/>
        </w:rPr>
        <w:t xml:space="preserve">Please refer to the </w:t>
      </w:r>
      <w:r>
        <w:rPr>
          <w:b w:val="0"/>
          <w:sz w:val="16"/>
          <w:szCs w:val="16"/>
        </w:rPr>
        <w:t>“</w:t>
      </w:r>
      <w:r w:rsidRPr="00D07AFB">
        <w:rPr>
          <w:b w:val="0"/>
          <w:sz w:val="16"/>
          <w:szCs w:val="16"/>
        </w:rPr>
        <w:t>guidance</w:t>
      </w:r>
      <w:r>
        <w:rPr>
          <w:b w:val="0"/>
          <w:sz w:val="16"/>
          <w:szCs w:val="16"/>
        </w:rPr>
        <w:t xml:space="preserve"> document”</w:t>
      </w:r>
      <w:r w:rsidRPr="00D07AFB">
        <w:rPr>
          <w:b w:val="0"/>
          <w:sz w:val="16"/>
          <w:szCs w:val="16"/>
        </w:rPr>
        <w:t xml:space="preserve"> </w:t>
      </w:r>
      <w:r>
        <w:rPr>
          <w:b w:val="0"/>
          <w:sz w:val="16"/>
          <w:szCs w:val="16"/>
        </w:rPr>
        <w:t>to assist in completing this section</w:t>
      </w:r>
    </w:p>
    <w:p w14:paraId="5ADCD623" w14:textId="77777777" w:rsidR="00405405" w:rsidRPr="00204CC6" w:rsidRDefault="00405405" w:rsidP="00405405"/>
    <w:p w14:paraId="650FE96F" w14:textId="77777777" w:rsidR="00405405" w:rsidRPr="00682E13" w:rsidRDefault="00405405" w:rsidP="00405405">
      <w:pPr>
        <w:pStyle w:val="Heading2"/>
        <w:ind w:firstLine="720"/>
        <w:rPr>
          <w:sz w:val="22"/>
        </w:rPr>
      </w:pPr>
      <w:r>
        <w:rPr>
          <w:sz w:val="22"/>
        </w:rPr>
        <w:lastRenderedPageBreak/>
        <w:t xml:space="preserve">6. </w:t>
      </w:r>
      <w:r w:rsidRPr="006677DF">
        <w:rPr>
          <w:sz w:val="22"/>
        </w:rPr>
        <w:t>Information Management and Data Security</w:t>
      </w:r>
      <w:r>
        <w:rPr>
          <w:sz w:val="22"/>
        </w:rPr>
        <w:t xml:space="preserve"> </w:t>
      </w:r>
      <w:r w:rsidRPr="006677DF">
        <w:rPr>
          <w:b w:val="0"/>
          <w:i/>
          <w:sz w:val="22"/>
        </w:rPr>
        <w:t>(please tick correct box)</w:t>
      </w:r>
      <w:r w:rsidRPr="006677DF">
        <w:rPr>
          <w:i/>
          <w:sz w:val="22"/>
        </w:rPr>
        <w:t xml:space="preserve"> </w:t>
      </w:r>
    </w:p>
    <w:p w14:paraId="2E7B36AB" w14:textId="77777777" w:rsidR="00405405" w:rsidRPr="006677DF" w:rsidRDefault="00405405" w:rsidP="00405405">
      <w:pPr>
        <w:pStyle w:val="Header"/>
        <w:tabs>
          <w:tab w:val="left" w:pos="1080"/>
          <w:tab w:val="left" w:pos="5760"/>
          <w:tab w:val="left" w:pos="6240"/>
        </w:tabs>
        <w:ind w:left="720"/>
        <w:rPr>
          <w:sz w:val="22"/>
        </w:rPr>
      </w:pPr>
    </w:p>
    <w:p w14:paraId="47ED14D0" w14:textId="77777777" w:rsidR="00405405" w:rsidRPr="00E6130E" w:rsidRDefault="00405405" w:rsidP="00405405">
      <w:pPr>
        <w:pStyle w:val="Header"/>
        <w:tabs>
          <w:tab w:val="left" w:pos="1276"/>
          <w:tab w:val="left" w:pos="5760"/>
          <w:tab w:val="left" w:pos="6240"/>
        </w:tabs>
        <w:ind w:left="1276"/>
        <w:rPr>
          <w:i/>
          <w:sz w:val="16"/>
          <w:szCs w:val="16"/>
        </w:rPr>
      </w:pPr>
      <w:r>
        <w:rPr>
          <w:b/>
          <w:noProof/>
          <w:sz w:val="22"/>
        </w:rPr>
        <mc:AlternateContent>
          <mc:Choice Requires="wps">
            <w:drawing>
              <wp:anchor distT="0" distB="0" distL="114300" distR="114300" simplePos="0" relativeHeight="251658244" behindDoc="0" locked="0" layoutInCell="1" allowOverlap="1" wp14:anchorId="2101468B" wp14:editId="48FBF73F">
                <wp:simplePos x="0" y="0"/>
                <wp:positionH relativeFrom="column">
                  <wp:posOffset>460374</wp:posOffset>
                </wp:positionH>
                <wp:positionV relativeFrom="paragraph">
                  <wp:posOffset>64769</wp:posOffset>
                </wp:positionV>
                <wp:extent cx="273685" cy="304165"/>
                <wp:effectExtent l="0" t="0" r="12065" b="19685"/>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304165"/>
                        </a:xfrm>
                        <a:prstGeom prst="rect">
                          <a:avLst/>
                        </a:prstGeom>
                        <a:solidFill>
                          <a:srgbClr val="FFFFFF"/>
                        </a:solidFill>
                        <a:ln w="9525">
                          <a:solidFill>
                            <a:srgbClr val="000000"/>
                          </a:solidFill>
                          <a:miter lim="800000"/>
                          <a:headEnd/>
                          <a:tailEnd/>
                        </a:ln>
                      </wps:spPr>
                      <wps:txbx>
                        <w:txbxContent>
                          <w:p w14:paraId="7E374920"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468B" id="Text Box 8" o:spid="_x0000_s1034" type="#_x0000_t202" style="position:absolute;left:0;text-align:left;margin-left:36.25pt;margin-top:5.1pt;width:21.55pt;height:2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">
                <v:textbox>
                  <w:txbxContent>
                    <w:p w14:paraId="7E374920" w14:textId="77777777" w:rsidR="00405405" w:rsidRDefault="00405405" w:rsidP="00405405"/>
                  </w:txbxContent>
                </v:textbox>
              </v:shape>
            </w:pict>
          </mc:Fallback>
        </mc:AlternateContent>
      </w:r>
      <w:r w:rsidRPr="006677DF">
        <w:rPr>
          <w:b/>
          <w:sz w:val="22"/>
        </w:rPr>
        <w:t>I am satisfied</w:t>
      </w:r>
      <w:r w:rsidRPr="006677DF">
        <w:rPr>
          <w:sz w:val="22"/>
        </w:rPr>
        <w:t xml:space="preserve"> </w:t>
      </w:r>
      <w:r>
        <w:rPr>
          <w:sz w:val="22"/>
        </w:rPr>
        <w:t xml:space="preserve">that appropriate information management controls are in place, including </w:t>
      </w:r>
      <w:r w:rsidRPr="006677DF">
        <w:rPr>
          <w:sz w:val="22"/>
        </w:rPr>
        <w:t>having taken assurance from Information Asset Owners</w:t>
      </w:r>
      <w:r>
        <w:rPr>
          <w:sz w:val="22"/>
        </w:rPr>
        <w:t>*</w:t>
      </w:r>
      <w:r>
        <w:rPr>
          <w:i/>
          <w:sz w:val="22"/>
        </w:rPr>
        <w:t xml:space="preserve"> </w:t>
      </w:r>
      <w:r w:rsidRPr="006677DF">
        <w:rPr>
          <w:sz w:val="22"/>
        </w:rPr>
        <w:t>within my business area</w:t>
      </w:r>
      <w:r>
        <w:rPr>
          <w:sz w:val="22"/>
        </w:rPr>
        <w:t>.</w:t>
      </w:r>
      <w:r w:rsidRPr="00E6130E">
        <w:rPr>
          <w:sz w:val="22"/>
        </w:rPr>
        <w:t xml:space="preserve"> </w:t>
      </w:r>
      <w:r w:rsidRPr="00E6130E">
        <w:rPr>
          <w:i/>
          <w:sz w:val="16"/>
          <w:szCs w:val="16"/>
        </w:rPr>
        <w:t xml:space="preserve">* Information Asset Owner assurance </w:t>
      </w:r>
      <w:r w:rsidRPr="00070B3A">
        <w:rPr>
          <w:b/>
          <w:i/>
          <w:sz w:val="16"/>
          <w:szCs w:val="16"/>
          <w:u w:val="single"/>
        </w:rPr>
        <w:t>must</w:t>
      </w:r>
      <w:r w:rsidRPr="00E6130E">
        <w:rPr>
          <w:i/>
          <w:sz w:val="16"/>
          <w:szCs w:val="16"/>
        </w:rPr>
        <w:t xml:space="preserve"> be sought.</w:t>
      </w:r>
    </w:p>
    <w:p w14:paraId="6D444F78" w14:textId="77777777" w:rsidR="00405405" w:rsidRPr="006677DF" w:rsidRDefault="00405405" w:rsidP="00405405">
      <w:pPr>
        <w:pStyle w:val="Header"/>
        <w:tabs>
          <w:tab w:val="left" w:pos="1260"/>
          <w:tab w:val="left" w:pos="5760"/>
          <w:tab w:val="left" w:pos="6240"/>
        </w:tabs>
        <w:ind w:left="1260"/>
        <w:rPr>
          <w:sz w:val="22"/>
        </w:rPr>
      </w:pPr>
    </w:p>
    <w:p w14:paraId="70A99B9D" w14:textId="77777777" w:rsidR="00405405" w:rsidRPr="006677DF" w:rsidRDefault="00405405" w:rsidP="00405405">
      <w:pPr>
        <w:pStyle w:val="Header"/>
        <w:tabs>
          <w:tab w:val="left" w:pos="1260"/>
          <w:tab w:val="left" w:pos="5760"/>
          <w:tab w:val="left" w:pos="6240"/>
        </w:tabs>
        <w:ind w:left="1260"/>
        <w:rPr>
          <w:sz w:val="22"/>
        </w:rPr>
      </w:pPr>
      <w:r>
        <w:rPr>
          <w:b/>
          <w:noProof/>
          <w:sz w:val="22"/>
        </w:rPr>
        <mc:AlternateContent>
          <mc:Choice Requires="wps">
            <w:drawing>
              <wp:anchor distT="0" distB="0" distL="114300" distR="114300" simplePos="0" relativeHeight="251658245" behindDoc="0" locked="0" layoutInCell="1" allowOverlap="1" wp14:anchorId="054900EF" wp14:editId="5CB58A85">
                <wp:simplePos x="0" y="0"/>
                <wp:positionH relativeFrom="column">
                  <wp:posOffset>457200</wp:posOffset>
                </wp:positionH>
                <wp:positionV relativeFrom="paragraph">
                  <wp:posOffset>41910</wp:posOffset>
                </wp:positionV>
                <wp:extent cx="228600" cy="228600"/>
                <wp:effectExtent l="12065" t="5080" r="6985" b="1397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FD4777" w14:textId="77777777" w:rsidR="00405405" w:rsidRDefault="00405405" w:rsidP="00405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00EF" id="Text Box 9" o:spid="_x0000_s1035" type="#_x0000_t202" style="position:absolute;left:0;text-align:left;margin-left:36pt;margin-top:3.3pt;width:18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">
                <v:textbox>
                  <w:txbxContent>
                    <w:p w14:paraId="29FD4777" w14:textId="77777777" w:rsidR="00405405" w:rsidRDefault="00405405" w:rsidP="00405405"/>
                  </w:txbxContent>
                </v:textbox>
              </v:shape>
            </w:pict>
          </mc:Fallback>
        </mc:AlternateContent>
      </w:r>
      <w:r w:rsidRPr="006677DF">
        <w:rPr>
          <w:b/>
          <w:sz w:val="22"/>
        </w:rPr>
        <w:t>I am not satisfied</w:t>
      </w:r>
      <w:r w:rsidRPr="006677DF">
        <w:rPr>
          <w:sz w:val="22"/>
        </w:rPr>
        <w:t xml:space="preserve"> that appropriate management controls are in place within my business area. </w:t>
      </w:r>
    </w:p>
    <w:p w14:paraId="35C3BAF7" w14:textId="77777777" w:rsidR="00405405" w:rsidRPr="006677DF" w:rsidRDefault="00405405" w:rsidP="00405405">
      <w:pPr>
        <w:pStyle w:val="Header"/>
        <w:tabs>
          <w:tab w:val="left" w:pos="1080"/>
          <w:tab w:val="left" w:pos="5760"/>
          <w:tab w:val="left" w:pos="6240"/>
        </w:tabs>
        <w:ind w:left="720"/>
        <w:rPr>
          <w:sz w:val="22"/>
        </w:rPr>
      </w:pPr>
    </w:p>
    <w:p w14:paraId="30E862FC" w14:textId="77777777" w:rsidR="00405405" w:rsidRPr="006677DF" w:rsidRDefault="00405405" w:rsidP="00405405">
      <w:pPr>
        <w:pStyle w:val="Header"/>
        <w:tabs>
          <w:tab w:val="left" w:pos="1080"/>
          <w:tab w:val="left" w:pos="5760"/>
          <w:tab w:val="left" w:pos="6240"/>
        </w:tabs>
        <w:ind w:left="720"/>
        <w:rPr>
          <w:b/>
          <w:sz w:val="22"/>
        </w:rPr>
      </w:pPr>
      <w:r w:rsidRPr="006677DF">
        <w:rPr>
          <w:b/>
          <w:sz w:val="22"/>
        </w:rPr>
        <w:t>Please provide supporting details in either case:</w:t>
      </w:r>
    </w:p>
    <w:p w14:paraId="5E2A1B70" w14:textId="77777777" w:rsidR="00405405" w:rsidRPr="006677DF" w:rsidRDefault="00405405" w:rsidP="00405405">
      <w:pPr>
        <w:pStyle w:val="Header"/>
        <w:tabs>
          <w:tab w:val="left" w:pos="1080"/>
          <w:tab w:val="left" w:pos="5760"/>
          <w:tab w:val="left" w:pos="6240"/>
        </w:tabs>
        <w:ind w:left="720"/>
        <w:rPr>
          <w:b/>
          <w:sz w:val="22"/>
        </w:rPr>
      </w:pPr>
    </w:p>
    <w:p w14:paraId="106B72E1" w14:textId="77777777" w:rsidR="00405405" w:rsidRPr="006677DF" w:rsidRDefault="00405405" w:rsidP="00405405">
      <w:pPr>
        <w:pStyle w:val="Header"/>
        <w:numPr>
          <w:ilvl w:val="0"/>
          <w:numId w:val="12"/>
        </w:numPr>
        <w:tabs>
          <w:tab w:val="clear" w:pos="4513"/>
          <w:tab w:val="clear" w:pos="9026"/>
          <w:tab w:val="left" w:pos="1080"/>
          <w:tab w:val="left" w:pos="5760"/>
          <w:tab w:val="left" w:pos="6240"/>
        </w:tabs>
        <w:jc w:val="left"/>
        <w:rPr>
          <w:b/>
          <w:sz w:val="22"/>
        </w:rPr>
      </w:pPr>
      <w:r w:rsidRPr="006677DF">
        <w:rPr>
          <w:b/>
          <w:sz w:val="22"/>
        </w:rPr>
        <w:t>Details of positive actions to ensure that appropriate Information Assurance has been taken in this area</w:t>
      </w:r>
      <w:r>
        <w:rPr>
          <w:b/>
          <w:sz w:val="22"/>
        </w:rPr>
        <w:t>, including confirmation that IAOs have completed/signed the IAO Key Task checklist</w:t>
      </w:r>
      <w:r w:rsidRPr="006677DF">
        <w:rPr>
          <w:b/>
          <w:sz w:val="22"/>
        </w:rPr>
        <w:t>; and</w:t>
      </w:r>
    </w:p>
    <w:p w14:paraId="0522D764" w14:textId="77777777" w:rsidR="00405405" w:rsidRPr="006677DF" w:rsidRDefault="00405405" w:rsidP="00405405">
      <w:pPr>
        <w:pStyle w:val="Header"/>
        <w:numPr>
          <w:ilvl w:val="0"/>
          <w:numId w:val="12"/>
        </w:numPr>
        <w:tabs>
          <w:tab w:val="clear" w:pos="4513"/>
          <w:tab w:val="clear" w:pos="9026"/>
          <w:tab w:val="left" w:pos="1080"/>
          <w:tab w:val="left" w:pos="5760"/>
          <w:tab w:val="left" w:pos="6240"/>
        </w:tabs>
        <w:jc w:val="left"/>
        <w:rPr>
          <w:b/>
          <w:sz w:val="22"/>
        </w:rPr>
      </w:pPr>
      <w:r w:rsidRPr="006677DF">
        <w:rPr>
          <w:b/>
          <w:sz w:val="22"/>
        </w:rPr>
        <w:t>If not satisfied, details of issues including data related incidents or information loss and corrective action being taken.</w:t>
      </w:r>
    </w:p>
    <w:p w14:paraId="24ADCCE7" w14:textId="77777777" w:rsidR="00405405" w:rsidRDefault="00405405" w:rsidP="00405405"/>
    <w:tbl>
      <w:tblPr>
        <w:tblW w:w="8479" w:type="dxa"/>
        <w:tblInd w:w="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479"/>
      </w:tblGrid>
      <w:tr w:rsidR="00405405" w:rsidRPr="003275FC" w14:paraId="0025E74E" w14:textId="77777777" w:rsidTr="00522743">
        <w:trPr>
          <w:trHeight w:hRule="exact" w:val="9185"/>
        </w:trPr>
        <w:tc>
          <w:tcPr>
            <w:tcW w:w="8479" w:type="dxa"/>
          </w:tcPr>
          <w:p w14:paraId="3A9A8EE3" w14:textId="77777777" w:rsidR="00405405" w:rsidRPr="003275FC" w:rsidRDefault="00405405" w:rsidP="00522743">
            <w:pPr>
              <w:ind w:left="72"/>
              <w:rPr>
                <w:b/>
                <w:bCs/>
                <w:sz w:val="20"/>
                <w:szCs w:val="20"/>
              </w:rPr>
            </w:pPr>
          </w:p>
          <w:p w14:paraId="5668738E" w14:textId="77777777" w:rsidR="00405405" w:rsidRPr="003275FC" w:rsidRDefault="00405405" w:rsidP="00522743">
            <w:pPr>
              <w:ind w:left="72"/>
              <w:rPr>
                <w:bCs/>
                <w:sz w:val="20"/>
                <w:szCs w:val="20"/>
              </w:rPr>
            </w:pPr>
            <w:r w:rsidRPr="00F17177">
              <w:rPr>
                <w:bCs/>
                <w:sz w:val="20"/>
                <w:szCs w:val="20"/>
              </w:rPr>
              <w:t xml:space="preserve"> </w:t>
            </w:r>
          </w:p>
        </w:tc>
      </w:tr>
      <w:tr w:rsidR="00405405" w:rsidRPr="003275FC" w14:paraId="04634F1A" w14:textId="77777777" w:rsidTr="00522743">
        <w:trPr>
          <w:trHeight w:val="199"/>
        </w:trPr>
        <w:tc>
          <w:tcPr>
            <w:tcW w:w="8479" w:type="dxa"/>
          </w:tcPr>
          <w:p w14:paraId="49275136" w14:textId="77777777" w:rsidR="00405405" w:rsidRPr="003275FC" w:rsidRDefault="00405405" w:rsidP="00522743">
            <w:pPr>
              <w:rPr>
                <w:b/>
                <w:bCs/>
                <w:sz w:val="20"/>
                <w:szCs w:val="20"/>
              </w:rPr>
            </w:pPr>
            <w:r w:rsidRPr="003275FC">
              <w:rPr>
                <w:b/>
                <w:bCs/>
                <w:sz w:val="20"/>
                <w:szCs w:val="20"/>
              </w:rPr>
              <w:t>Please do not type below this line.</w:t>
            </w:r>
          </w:p>
        </w:tc>
      </w:tr>
    </w:tbl>
    <w:p w14:paraId="1AA63353" w14:textId="77777777" w:rsidR="00405405" w:rsidRDefault="00405405" w:rsidP="00405405">
      <w:pPr>
        <w:pStyle w:val="Heading2"/>
        <w:ind w:firstLine="720"/>
        <w:rPr>
          <w:sz w:val="20"/>
          <w:szCs w:val="20"/>
        </w:rPr>
      </w:pPr>
      <w:r w:rsidRPr="00D07AFB">
        <w:rPr>
          <w:b w:val="0"/>
          <w:sz w:val="16"/>
          <w:szCs w:val="16"/>
        </w:rPr>
        <w:t xml:space="preserve">Please refer to the </w:t>
      </w:r>
      <w:r>
        <w:rPr>
          <w:b w:val="0"/>
          <w:sz w:val="16"/>
          <w:szCs w:val="16"/>
        </w:rPr>
        <w:t>“</w:t>
      </w:r>
      <w:r w:rsidRPr="00D07AFB">
        <w:rPr>
          <w:b w:val="0"/>
          <w:sz w:val="16"/>
          <w:szCs w:val="16"/>
        </w:rPr>
        <w:t>guidance</w:t>
      </w:r>
      <w:r>
        <w:rPr>
          <w:b w:val="0"/>
          <w:sz w:val="16"/>
          <w:szCs w:val="16"/>
        </w:rPr>
        <w:t xml:space="preserve"> document”</w:t>
      </w:r>
      <w:r w:rsidRPr="00D07AFB">
        <w:rPr>
          <w:b w:val="0"/>
          <w:sz w:val="16"/>
          <w:szCs w:val="16"/>
        </w:rPr>
        <w:t xml:space="preserve"> </w:t>
      </w:r>
      <w:r>
        <w:rPr>
          <w:b w:val="0"/>
          <w:sz w:val="16"/>
          <w:szCs w:val="16"/>
        </w:rPr>
        <w:t>to assist in completing this section.</w:t>
      </w:r>
    </w:p>
    <w:p w14:paraId="750BAD53" w14:textId="77777777" w:rsidR="00405405" w:rsidRPr="00FC1313" w:rsidRDefault="00405405" w:rsidP="00405405">
      <w:pPr>
        <w:pStyle w:val="Heading2"/>
        <w:rPr>
          <w:sz w:val="20"/>
          <w:szCs w:val="20"/>
        </w:rPr>
      </w:pPr>
      <w:r>
        <w:rPr>
          <w:sz w:val="20"/>
          <w:szCs w:val="20"/>
        </w:rPr>
        <w:br w:type="page"/>
      </w:r>
      <w:r>
        <w:lastRenderedPageBreak/>
        <w:t>7</w:t>
      </w:r>
      <w:r w:rsidRPr="000C05AE">
        <w:t>.</w:t>
      </w:r>
      <w:r w:rsidRPr="00FC1313">
        <w:rPr>
          <w:sz w:val="20"/>
          <w:szCs w:val="20"/>
        </w:rPr>
        <w:tab/>
      </w:r>
      <w:r w:rsidRPr="00FC1313">
        <w:rPr>
          <w:sz w:val="22"/>
        </w:rPr>
        <w:t>Assurance Statements – Exception Report</w:t>
      </w:r>
    </w:p>
    <w:p w14:paraId="5C052F81" w14:textId="77777777" w:rsidR="00405405" w:rsidRPr="00156810" w:rsidRDefault="00405405" w:rsidP="00405405">
      <w:pPr>
        <w:pStyle w:val="Heading2"/>
        <w:rPr>
          <w:i/>
          <w:sz w:val="20"/>
          <w:szCs w:val="20"/>
        </w:rPr>
      </w:pPr>
    </w:p>
    <w:p w14:paraId="4DFC467F" w14:textId="77777777" w:rsidR="00405405" w:rsidRPr="006677DF" w:rsidRDefault="00405405" w:rsidP="00405405">
      <w:pPr>
        <w:pStyle w:val="Heading2"/>
        <w:rPr>
          <w:b w:val="0"/>
          <w:sz w:val="22"/>
        </w:rPr>
      </w:pPr>
      <w:r>
        <w:rPr>
          <w:b w:val="0"/>
          <w:sz w:val="22"/>
        </w:rPr>
        <w:t xml:space="preserve">Please provide key details of any </w:t>
      </w:r>
      <w:r w:rsidRPr="006677DF">
        <w:rPr>
          <w:b w:val="0"/>
          <w:sz w:val="22"/>
        </w:rPr>
        <w:t xml:space="preserve">significant control issues that are likely to affect delivery against policies, aims and objectives. </w:t>
      </w:r>
    </w:p>
    <w:p w14:paraId="62295FC9" w14:textId="77777777" w:rsidR="00405405" w:rsidRPr="00306E2F" w:rsidRDefault="00405405" w:rsidP="00405405"/>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56"/>
      </w:tblGrid>
      <w:tr w:rsidR="00405405" w:rsidRPr="00467738" w14:paraId="09D35841" w14:textId="77777777" w:rsidTr="00522743">
        <w:trPr>
          <w:trHeight w:val="221"/>
        </w:trPr>
        <w:tc>
          <w:tcPr>
            <w:tcW w:w="2552" w:type="dxa"/>
          </w:tcPr>
          <w:p w14:paraId="684C8034" w14:textId="77777777" w:rsidR="00405405" w:rsidRDefault="00405405" w:rsidP="00522743">
            <w:pPr>
              <w:jc w:val="center"/>
              <w:rPr>
                <w:b/>
                <w:sz w:val="16"/>
                <w:szCs w:val="16"/>
              </w:rPr>
            </w:pPr>
            <w:r>
              <w:rPr>
                <w:b/>
                <w:sz w:val="20"/>
                <w:szCs w:val="20"/>
              </w:rPr>
              <w:t>Assurance Statement Reference</w:t>
            </w:r>
          </w:p>
          <w:p w14:paraId="59DF3117" w14:textId="41512812" w:rsidR="00405405" w:rsidRPr="00EF1662" w:rsidRDefault="00405405" w:rsidP="00522743">
            <w:pPr>
              <w:jc w:val="center"/>
              <w:rPr>
                <w:b/>
                <w:i/>
                <w:sz w:val="16"/>
                <w:szCs w:val="16"/>
              </w:rPr>
            </w:pPr>
            <w:r w:rsidRPr="00EF1662">
              <w:rPr>
                <w:b/>
                <w:i/>
                <w:sz w:val="16"/>
                <w:szCs w:val="16"/>
              </w:rPr>
              <w:t>(</w:t>
            </w:r>
            <w:r w:rsidR="005F1600" w:rsidRPr="00EF1662">
              <w:rPr>
                <w:b/>
                <w:i/>
                <w:sz w:val="16"/>
                <w:szCs w:val="16"/>
              </w:rPr>
              <w:t>e.g.,</w:t>
            </w:r>
            <w:r w:rsidRPr="00EF1662">
              <w:rPr>
                <w:b/>
                <w:i/>
                <w:sz w:val="16"/>
                <w:szCs w:val="16"/>
              </w:rPr>
              <w:t xml:space="preserve"> 4. Financial Management)</w:t>
            </w:r>
          </w:p>
        </w:tc>
        <w:tc>
          <w:tcPr>
            <w:tcW w:w="6956" w:type="dxa"/>
          </w:tcPr>
          <w:p w14:paraId="626B3644" w14:textId="77777777" w:rsidR="00405405" w:rsidRDefault="00405405" w:rsidP="00522743">
            <w:pPr>
              <w:jc w:val="center"/>
              <w:rPr>
                <w:b/>
                <w:sz w:val="20"/>
                <w:szCs w:val="20"/>
              </w:rPr>
            </w:pPr>
            <w:r w:rsidRPr="00FD209A">
              <w:rPr>
                <w:b/>
                <w:sz w:val="20"/>
                <w:szCs w:val="20"/>
              </w:rPr>
              <w:t>Issue</w:t>
            </w:r>
          </w:p>
          <w:p w14:paraId="460DB2A8" w14:textId="77777777" w:rsidR="00405405" w:rsidRDefault="00405405" w:rsidP="00522743">
            <w:pPr>
              <w:jc w:val="center"/>
              <w:rPr>
                <w:b/>
                <w:i/>
                <w:sz w:val="16"/>
                <w:szCs w:val="16"/>
              </w:rPr>
            </w:pPr>
            <w:r w:rsidRPr="00FD209A">
              <w:rPr>
                <w:b/>
                <w:i/>
                <w:sz w:val="16"/>
                <w:szCs w:val="16"/>
              </w:rPr>
              <w:t>(include details of the problem, the remedial action in place and prospects for future)</w:t>
            </w:r>
          </w:p>
          <w:p w14:paraId="168BBCB6" w14:textId="48345125" w:rsidR="00405405" w:rsidRPr="00FD209A" w:rsidRDefault="00405405" w:rsidP="00522743">
            <w:pPr>
              <w:jc w:val="center"/>
              <w:rPr>
                <w:b/>
                <w:i/>
                <w:sz w:val="16"/>
                <w:szCs w:val="16"/>
              </w:rPr>
            </w:pPr>
            <w:r>
              <w:rPr>
                <w:b/>
                <w:i/>
                <w:sz w:val="16"/>
                <w:szCs w:val="16"/>
              </w:rPr>
              <w:t>(If no Exceptions write ‘</w:t>
            </w:r>
            <w:r w:rsidR="005F1600">
              <w:rPr>
                <w:b/>
                <w:i/>
                <w:sz w:val="16"/>
                <w:szCs w:val="16"/>
              </w:rPr>
              <w:t>Nil</w:t>
            </w:r>
            <w:r>
              <w:rPr>
                <w:b/>
                <w:i/>
                <w:sz w:val="16"/>
                <w:szCs w:val="16"/>
              </w:rPr>
              <w:t>’)</w:t>
            </w:r>
          </w:p>
        </w:tc>
      </w:tr>
      <w:tr w:rsidR="00405405" w:rsidRPr="00467738" w14:paraId="3078460E" w14:textId="77777777" w:rsidTr="00522743">
        <w:trPr>
          <w:trHeight w:val="807"/>
        </w:trPr>
        <w:tc>
          <w:tcPr>
            <w:tcW w:w="2552" w:type="dxa"/>
          </w:tcPr>
          <w:p w14:paraId="0BED69B1" w14:textId="77777777" w:rsidR="00405405" w:rsidRPr="001346B6" w:rsidRDefault="00405405" w:rsidP="00522743">
            <w:pPr>
              <w:rPr>
                <w:b/>
                <w:sz w:val="22"/>
              </w:rPr>
            </w:pPr>
          </w:p>
          <w:p w14:paraId="2DFC67FE" w14:textId="77777777" w:rsidR="00405405" w:rsidRPr="001346B6" w:rsidRDefault="00405405" w:rsidP="00522743">
            <w:pPr>
              <w:rPr>
                <w:b/>
                <w:sz w:val="22"/>
              </w:rPr>
            </w:pPr>
          </w:p>
          <w:p w14:paraId="472E5A0F" w14:textId="77777777" w:rsidR="00405405" w:rsidRDefault="00405405" w:rsidP="00522743">
            <w:pPr>
              <w:rPr>
                <w:b/>
                <w:sz w:val="22"/>
              </w:rPr>
            </w:pPr>
          </w:p>
          <w:p w14:paraId="5841C2AC" w14:textId="77777777" w:rsidR="00405405" w:rsidRDefault="00405405" w:rsidP="00522743">
            <w:pPr>
              <w:rPr>
                <w:b/>
                <w:sz w:val="22"/>
              </w:rPr>
            </w:pPr>
          </w:p>
          <w:p w14:paraId="6DD6166D" w14:textId="77777777" w:rsidR="00405405" w:rsidRDefault="00405405" w:rsidP="00522743">
            <w:pPr>
              <w:rPr>
                <w:b/>
                <w:sz w:val="22"/>
              </w:rPr>
            </w:pPr>
          </w:p>
          <w:p w14:paraId="49273A8D" w14:textId="77777777" w:rsidR="00405405" w:rsidRPr="001346B6" w:rsidRDefault="00405405" w:rsidP="00522743">
            <w:pPr>
              <w:rPr>
                <w:b/>
                <w:sz w:val="22"/>
              </w:rPr>
            </w:pPr>
          </w:p>
        </w:tc>
        <w:tc>
          <w:tcPr>
            <w:tcW w:w="6956" w:type="dxa"/>
          </w:tcPr>
          <w:p w14:paraId="00FDFCE2" w14:textId="77777777" w:rsidR="00405405" w:rsidRPr="001346B6" w:rsidRDefault="00405405" w:rsidP="00522743">
            <w:pPr>
              <w:rPr>
                <w:sz w:val="22"/>
              </w:rPr>
            </w:pPr>
          </w:p>
          <w:p w14:paraId="2ADB0C6C" w14:textId="77777777" w:rsidR="00405405" w:rsidRPr="001346B6" w:rsidRDefault="00405405" w:rsidP="00522743">
            <w:pPr>
              <w:rPr>
                <w:sz w:val="22"/>
              </w:rPr>
            </w:pPr>
          </w:p>
        </w:tc>
      </w:tr>
      <w:tr w:rsidR="00405405" w:rsidRPr="00467738" w14:paraId="3772BE69" w14:textId="77777777" w:rsidTr="00522743">
        <w:trPr>
          <w:trHeight w:val="807"/>
        </w:trPr>
        <w:tc>
          <w:tcPr>
            <w:tcW w:w="2552" w:type="dxa"/>
          </w:tcPr>
          <w:p w14:paraId="11245C9F" w14:textId="77777777" w:rsidR="00405405" w:rsidRDefault="00405405" w:rsidP="00522743">
            <w:pPr>
              <w:rPr>
                <w:b/>
                <w:sz w:val="22"/>
              </w:rPr>
            </w:pPr>
          </w:p>
          <w:p w14:paraId="3B01ED35" w14:textId="77777777" w:rsidR="00405405" w:rsidRDefault="00405405" w:rsidP="00522743">
            <w:pPr>
              <w:rPr>
                <w:b/>
                <w:sz w:val="22"/>
              </w:rPr>
            </w:pPr>
          </w:p>
          <w:p w14:paraId="53F5D73E" w14:textId="77777777" w:rsidR="00405405" w:rsidRDefault="00405405" w:rsidP="00522743">
            <w:pPr>
              <w:rPr>
                <w:b/>
                <w:sz w:val="22"/>
              </w:rPr>
            </w:pPr>
          </w:p>
          <w:p w14:paraId="194F4489" w14:textId="77777777" w:rsidR="00405405" w:rsidRPr="001346B6" w:rsidRDefault="00405405" w:rsidP="00522743">
            <w:pPr>
              <w:rPr>
                <w:b/>
                <w:sz w:val="22"/>
              </w:rPr>
            </w:pPr>
          </w:p>
        </w:tc>
        <w:tc>
          <w:tcPr>
            <w:tcW w:w="6956" w:type="dxa"/>
          </w:tcPr>
          <w:p w14:paraId="1104FB89" w14:textId="77777777" w:rsidR="00405405" w:rsidRDefault="00405405" w:rsidP="00522743">
            <w:pPr>
              <w:pStyle w:val="paragraph"/>
              <w:spacing w:before="0" w:beforeAutospacing="0" w:after="0" w:afterAutospacing="0"/>
              <w:jc w:val="both"/>
              <w:textAlignment w:val="baseline"/>
              <w:rPr>
                <w:rStyle w:val="normaltextrun"/>
                <w:rFonts w:ascii="Arial" w:hAnsi="Arial" w:cs="Arial"/>
                <w:highlight w:val="yellow"/>
              </w:rPr>
            </w:pPr>
          </w:p>
          <w:p w14:paraId="0732805A" w14:textId="77777777" w:rsidR="00405405" w:rsidRPr="001346B6" w:rsidRDefault="00405405" w:rsidP="00522743">
            <w:pPr>
              <w:rPr>
                <w:sz w:val="22"/>
              </w:rPr>
            </w:pPr>
          </w:p>
        </w:tc>
      </w:tr>
      <w:tr w:rsidR="00405405" w:rsidRPr="00467738" w14:paraId="3A0F3DAF" w14:textId="77777777" w:rsidTr="00522743">
        <w:trPr>
          <w:trHeight w:val="807"/>
        </w:trPr>
        <w:tc>
          <w:tcPr>
            <w:tcW w:w="2552" w:type="dxa"/>
            <w:tcBorders>
              <w:right w:val="single" w:sz="4" w:space="0" w:color="auto"/>
            </w:tcBorders>
          </w:tcPr>
          <w:p w14:paraId="47FF8116" w14:textId="77777777" w:rsidR="00405405" w:rsidRDefault="00405405" w:rsidP="00522743">
            <w:pPr>
              <w:rPr>
                <w:b/>
                <w:sz w:val="22"/>
              </w:rPr>
            </w:pPr>
          </w:p>
          <w:p w14:paraId="3007F2A6" w14:textId="77777777" w:rsidR="00405405" w:rsidRDefault="00405405" w:rsidP="00522743">
            <w:pPr>
              <w:rPr>
                <w:b/>
                <w:sz w:val="22"/>
              </w:rPr>
            </w:pPr>
          </w:p>
          <w:p w14:paraId="3BF492FC" w14:textId="77777777" w:rsidR="00405405" w:rsidRDefault="00405405" w:rsidP="00522743">
            <w:pPr>
              <w:rPr>
                <w:b/>
                <w:sz w:val="22"/>
              </w:rPr>
            </w:pPr>
          </w:p>
          <w:p w14:paraId="30B7AEBB" w14:textId="77777777" w:rsidR="00405405" w:rsidRDefault="00405405" w:rsidP="00522743">
            <w:pPr>
              <w:rPr>
                <w:b/>
                <w:sz w:val="22"/>
              </w:rPr>
            </w:pPr>
          </w:p>
          <w:p w14:paraId="11B705F7" w14:textId="77777777" w:rsidR="00405405" w:rsidRDefault="00405405" w:rsidP="00522743">
            <w:pPr>
              <w:rPr>
                <w:b/>
                <w:sz w:val="22"/>
              </w:rPr>
            </w:pPr>
          </w:p>
          <w:p w14:paraId="356C99E4" w14:textId="77777777" w:rsidR="00405405" w:rsidRPr="001346B6" w:rsidRDefault="00405405" w:rsidP="00522743">
            <w:pPr>
              <w:rPr>
                <w:b/>
                <w:sz w:val="22"/>
              </w:rPr>
            </w:pPr>
          </w:p>
        </w:tc>
        <w:tc>
          <w:tcPr>
            <w:tcW w:w="6956" w:type="dxa"/>
            <w:tcBorders>
              <w:top w:val="single" w:sz="4" w:space="0" w:color="auto"/>
              <w:left w:val="single" w:sz="4" w:space="0" w:color="auto"/>
              <w:bottom w:val="single" w:sz="4" w:space="0" w:color="auto"/>
              <w:right w:val="single" w:sz="4" w:space="0" w:color="auto"/>
            </w:tcBorders>
          </w:tcPr>
          <w:p w14:paraId="22588C68" w14:textId="77777777" w:rsidR="00405405" w:rsidRPr="001346B6" w:rsidRDefault="00405405" w:rsidP="00522743">
            <w:pPr>
              <w:rPr>
                <w:sz w:val="22"/>
              </w:rPr>
            </w:pPr>
          </w:p>
        </w:tc>
      </w:tr>
      <w:tr w:rsidR="00405405" w:rsidRPr="00467738" w14:paraId="79A5C7ED" w14:textId="77777777" w:rsidTr="00522743">
        <w:trPr>
          <w:trHeight w:val="807"/>
        </w:trPr>
        <w:tc>
          <w:tcPr>
            <w:tcW w:w="2552" w:type="dxa"/>
            <w:tcBorders>
              <w:right w:val="single" w:sz="4" w:space="0" w:color="auto"/>
            </w:tcBorders>
          </w:tcPr>
          <w:p w14:paraId="75BE3C7C" w14:textId="77777777" w:rsidR="00405405" w:rsidRDefault="00405405" w:rsidP="00522743">
            <w:pPr>
              <w:rPr>
                <w:b/>
                <w:sz w:val="22"/>
              </w:rPr>
            </w:pPr>
          </w:p>
          <w:p w14:paraId="1E23600D" w14:textId="77777777" w:rsidR="00405405" w:rsidRDefault="00405405" w:rsidP="00522743">
            <w:pPr>
              <w:rPr>
                <w:b/>
                <w:sz w:val="22"/>
              </w:rPr>
            </w:pPr>
          </w:p>
          <w:p w14:paraId="4E28A811" w14:textId="77777777" w:rsidR="00405405" w:rsidRDefault="00405405" w:rsidP="00522743">
            <w:pPr>
              <w:rPr>
                <w:b/>
                <w:sz w:val="22"/>
              </w:rPr>
            </w:pPr>
          </w:p>
          <w:p w14:paraId="08C469BF" w14:textId="77777777" w:rsidR="00405405" w:rsidRDefault="00405405" w:rsidP="00522743">
            <w:pPr>
              <w:rPr>
                <w:b/>
                <w:sz w:val="22"/>
              </w:rPr>
            </w:pPr>
          </w:p>
          <w:p w14:paraId="7219887E" w14:textId="77777777" w:rsidR="00405405" w:rsidRDefault="00405405" w:rsidP="00522743">
            <w:pPr>
              <w:rPr>
                <w:b/>
                <w:sz w:val="22"/>
              </w:rPr>
            </w:pPr>
          </w:p>
          <w:p w14:paraId="58964E3F" w14:textId="77777777" w:rsidR="00405405" w:rsidRPr="001346B6" w:rsidRDefault="00405405" w:rsidP="00522743">
            <w:pPr>
              <w:rPr>
                <w:b/>
                <w:sz w:val="22"/>
              </w:rPr>
            </w:pPr>
          </w:p>
        </w:tc>
        <w:tc>
          <w:tcPr>
            <w:tcW w:w="6956" w:type="dxa"/>
            <w:tcBorders>
              <w:top w:val="single" w:sz="4" w:space="0" w:color="auto"/>
              <w:left w:val="single" w:sz="4" w:space="0" w:color="auto"/>
              <w:bottom w:val="single" w:sz="4" w:space="0" w:color="auto"/>
              <w:right w:val="single" w:sz="4" w:space="0" w:color="auto"/>
            </w:tcBorders>
          </w:tcPr>
          <w:p w14:paraId="1944A620" w14:textId="77777777" w:rsidR="00405405" w:rsidRPr="001346B6" w:rsidRDefault="00405405" w:rsidP="00522743">
            <w:pPr>
              <w:rPr>
                <w:sz w:val="22"/>
              </w:rPr>
            </w:pPr>
          </w:p>
        </w:tc>
      </w:tr>
    </w:tbl>
    <w:p w14:paraId="67F3D90A" w14:textId="77777777" w:rsidR="00405405" w:rsidRPr="006970C5" w:rsidRDefault="00405405" w:rsidP="00405405">
      <w:pPr>
        <w:rPr>
          <w:i/>
          <w:sz w:val="20"/>
          <w:szCs w:val="20"/>
        </w:rPr>
      </w:pPr>
    </w:p>
    <w:p w14:paraId="10DA3DE9" w14:textId="77777777" w:rsidR="00405405" w:rsidRPr="006970C5" w:rsidRDefault="00405405" w:rsidP="00405405">
      <w:pPr>
        <w:pStyle w:val="Heading2"/>
        <w:rPr>
          <w:b w:val="0"/>
          <w:sz w:val="16"/>
          <w:szCs w:val="16"/>
        </w:rPr>
      </w:pPr>
      <w:r w:rsidRPr="006970C5">
        <w:rPr>
          <w:b w:val="0"/>
          <w:sz w:val="16"/>
          <w:szCs w:val="16"/>
        </w:rPr>
        <w:t>Please refer to the “guidance document” to assist in completing this section.</w:t>
      </w:r>
    </w:p>
    <w:p w14:paraId="1F85CEFD" w14:textId="77777777" w:rsidR="00405405" w:rsidRPr="006970C5" w:rsidRDefault="00405405" w:rsidP="00405405">
      <w:pPr>
        <w:rPr>
          <w:sz w:val="16"/>
          <w:szCs w:val="16"/>
        </w:rPr>
      </w:pPr>
    </w:p>
    <w:p w14:paraId="54448B76" w14:textId="77777777" w:rsidR="00AB2097" w:rsidRDefault="00AB2097" w:rsidP="00AB2097">
      <w:pPr>
        <w:spacing w:after="115" w:line="259" w:lineRule="auto"/>
        <w:ind w:left="550" w:firstLine="0"/>
        <w:jc w:val="left"/>
      </w:pPr>
    </w:p>
    <w:p w14:paraId="4D335212" w14:textId="77777777" w:rsidR="00043D99" w:rsidRDefault="00043D99" w:rsidP="00AB2097">
      <w:pPr>
        <w:spacing w:after="115" w:line="259" w:lineRule="auto"/>
        <w:ind w:left="550" w:firstLine="0"/>
        <w:jc w:val="left"/>
      </w:pPr>
    </w:p>
    <w:p w14:paraId="6F868014" w14:textId="77777777" w:rsidR="00043D99" w:rsidRDefault="00043D99" w:rsidP="00AB2097">
      <w:pPr>
        <w:spacing w:after="115" w:line="259" w:lineRule="auto"/>
        <w:ind w:left="550" w:firstLine="0"/>
        <w:jc w:val="left"/>
      </w:pPr>
    </w:p>
    <w:p w14:paraId="64A70CF3" w14:textId="319F5EEA" w:rsidR="00AB2097" w:rsidRPr="00AD0647" w:rsidRDefault="00AB2097" w:rsidP="00AB2097">
      <w:pPr>
        <w:keepNext/>
        <w:keepLines/>
        <w:spacing w:after="0" w:line="259" w:lineRule="auto"/>
        <w:ind w:left="0" w:firstLine="380"/>
        <w:jc w:val="left"/>
        <w:outlineLvl w:val="0"/>
        <w:rPr>
          <w:b/>
          <w:color w:val="374C80"/>
          <w:sz w:val="28"/>
        </w:rPr>
      </w:pPr>
      <w:r w:rsidRPr="00AD0647">
        <w:rPr>
          <w:b/>
          <w:color w:val="374C80"/>
          <w:sz w:val="28"/>
        </w:rPr>
        <w:lastRenderedPageBreak/>
        <w:t xml:space="preserve">Annex </w:t>
      </w:r>
      <w:r w:rsidR="00D502D6" w:rsidRPr="00AD0647">
        <w:rPr>
          <w:b/>
          <w:color w:val="374C80"/>
          <w:sz w:val="28"/>
        </w:rPr>
        <w:t>4</w:t>
      </w:r>
      <w:r w:rsidRPr="00AD0647">
        <w:rPr>
          <w:b/>
          <w:color w:val="374C80"/>
          <w:sz w:val="28"/>
        </w:rPr>
        <w:t xml:space="preserve"> – Concerns/Complaints in respect of Board members </w:t>
      </w:r>
    </w:p>
    <w:p w14:paraId="77A8B35F" w14:textId="41499F36" w:rsidR="00AB2097" w:rsidRPr="00AD0647" w:rsidRDefault="00AB2097" w:rsidP="00AB2097">
      <w:pPr>
        <w:spacing w:after="47" w:line="259" w:lineRule="auto"/>
        <w:ind w:left="380" w:firstLine="0"/>
        <w:jc w:val="left"/>
      </w:pPr>
      <w:r w:rsidRPr="00AD0647">
        <w:rPr>
          <w:rFonts w:ascii="Calibri" w:eastAsia="Calibri" w:hAnsi="Calibri" w:cs="Calibri"/>
          <w:noProof/>
          <w:sz w:val="22"/>
        </w:rPr>
        <mc:AlternateContent>
          <mc:Choice Requires="wpg">
            <w:drawing>
              <wp:inline distT="0" distB="0" distL="0" distR="0" wp14:anchorId="1A5E7E91" wp14:editId="362A39FF">
                <wp:extent cx="5769610" cy="6096"/>
                <wp:effectExtent l="0" t="0" r="0" b="0"/>
                <wp:docPr id="32210" name="Group 32210"/>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7945" name="Shape 37945"/>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solidFill>
                            <a:srgbClr val="4A66AC"/>
                          </a:solidFill>
                          <a:ln w="0" cap="flat">
                            <a:noFill/>
                            <a:miter lim="127000"/>
                          </a:ln>
                          <a:effectLst/>
                        </wps:spPr>
                        <wps:bodyPr/>
                      </wps:wsp>
                    </wpg:wgp>
                  </a:graphicData>
                </a:graphic>
              </wp:inline>
            </w:drawing>
          </mc:Choice>
          <mc:Fallback>
            <w:pict>
              <v:group w14:anchorId="7885FC30" id="Group 32210" o:spid="_x0000_s1026" style="width:454.3pt;height:.5pt;mso-position-horizontal-relative:char;mso-position-vertical-relative:lin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CVtgUgOwIAAIMFAAAOAAAAAAAAAAAA&#10;AAAAAC4CAABkcnMvZTJvRG9jLnhtbFBLAQItABQABgAIAAAAIQCDXyzr2gAAAAMBAAAPAAAAAAAA&#10;AAAAAAAAAJUEAABkcnMvZG93bnJldi54bWxQSwUGAAAAAAQABADzAAAAnAUAAAAA&#10;">
                <v:shape id="Shape 37945"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" path="m,l5769610,r,9144l,9144,,e" fillcolor="#4a66ac" stroked="f" strokeweight="0">
                  <v:stroke miterlimit="83231f" joinstyle="miter"/>
                  <v:path arrowok="t" textboxrect="0,0,5769610,9144"/>
                </v:shape>
                <w10:anchorlock/>
              </v:group>
            </w:pict>
          </mc:Fallback>
        </mc:AlternateContent>
      </w:r>
    </w:p>
    <w:p w14:paraId="1DF62F56" w14:textId="4B54C250" w:rsidR="00AB2097" w:rsidRPr="00AD0647" w:rsidRDefault="00AB2097" w:rsidP="00AB2097">
      <w:pPr>
        <w:spacing w:after="117" w:line="259" w:lineRule="auto"/>
        <w:ind w:left="408" w:firstLine="0"/>
        <w:jc w:val="left"/>
      </w:pPr>
      <w:r w:rsidRPr="00AD0647">
        <w:t xml:space="preserve"> </w:t>
      </w:r>
    </w:p>
    <w:p w14:paraId="0882B868" w14:textId="0BD343F0" w:rsidR="00AB2097" w:rsidRPr="00AD0647" w:rsidRDefault="00AB2097" w:rsidP="00AB2097">
      <w:pPr>
        <w:ind w:left="403" w:right="60"/>
      </w:pPr>
      <w:r w:rsidRPr="00AD0647">
        <w:t xml:space="preserve">In line with the NI Code of Good Practice and the arrangements in this Partnership Agreement the approach to concerns/complaints raised in respect of </w:t>
      </w:r>
      <w:r w:rsidRPr="00AD0647">
        <w:rPr>
          <w:color w:val="auto"/>
        </w:rPr>
        <w:t xml:space="preserve">NITHC </w:t>
      </w:r>
      <w:r w:rsidRPr="00AD0647">
        <w:t xml:space="preserve">Board members should be transparent and collaborative. The principle of early and open engagement is important, with the Department made aware of any concerns/complaints as soon as practicable. </w:t>
      </w:r>
    </w:p>
    <w:p w14:paraId="19E9302C" w14:textId="5F5C4079" w:rsidR="00AB2097" w:rsidRPr="00AD0647" w:rsidRDefault="00AB2097" w:rsidP="00AB2097">
      <w:pPr>
        <w:spacing w:after="115" w:line="259" w:lineRule="auto"/>
        <w:ind w:left="408" w:firstLine="0"/>
        <w:jc w:val="left"/>
      </w:pPr>
      <w:r w:rsidRPr="00AD0647">
        <w:t xml:space="preserve"> </w:t>
      </w:r>
    </w:p>
    <w:p w14:paraId="21E9B8EA" w14:textId="1B915CFA" w:rsidR="00AB2097" w:rsidRPr="00AD0647" w:rsidRDefault="00AB2097" w:rsidP="00AB2097">
      <w:pPr>
        <w:ind w:left="403" w:right="60"/>
      </w:pPr>
      <w:r w:rsidRPr="00AD0647">
        <w:t xml:space="preserve">While Board Members are Public Appointees/office holders rather than </w:t>
      </w:r>
      <w:r w:rsidRPr="00AD0647">
        <w:rPr>
          <w:color w:val="auto"/>
        </w:rPr>
        <w:t xml:space="preserve">NITHC employees an NITHC employee may utilise NITHC’s </w:t>
      </w:r>
      <w:r w:rsidRPr="00AD0647">
        <w:t>grievance procedure to raise a complaint against a Board member</w:t>
      </w:r>
      <w:r w:rsidR="004942C7" w:rsidRPr="00AD0647">
        <w:t xml:space="preserve">. </w:t>
      </w:r>
      <w:r w:rsidRPr="00AD0647">
        <w:t xml:space="preserve">The </w:t>
      </w:r>
      <w:r w:rsidRPr="00AD0647">
        <w:rPr>
          <w:color w:val="auto"/>
        </w:rPr>
        <w:t>NITHC</w:t>
      </w:r>
      <w:r w:rsidRPr="00AD0647">
        <w:rPr>
          <w:i/>
          <w:color w:val="auto"/>
        </w:rPr>
        <w:t xml:space="preserve"> </w:t>
      </w:r>
      <w:r w:rsidRPr="00AD0647">
        <w:rPr>
          <w:color w:val="auto"/>
        </w:rPr>
        <w:t>employee raising the grievance should expect this to be handled in line with NITHC’s</w:t>
      </w:r>
      <w:r w:rsidRPr="00AD0647">
        <w:rPr>
          <w:i/>
          <w:color w:val="auto"/>
        </w:rPr>
        <w:t xml:space="preserve"> </w:t>
      </w:r>
      <w:r w:rsidRPr="00AD0647">
        <w:t xml:space="preserve">HR procedures. </w:t>
      </w:r>
    </w:p>
    <w:p w14:paraId="1E67B3F0" w14:textId="3C703862" w:rsidR="00AB2097" w:rsidRPr="00AD0647" w:rsidRDefault="00AB2097" w:rsidP="00AB2097">
      <w:pPr>
        <w:spacing w:after="115" w:line="259" w:lineRule="auto"/>
        <w:ind w:left="408" w:firstLine="0"/>
        <w:jc w:val="left"/>
      </w:pPr>
      <w:r w:rsidRPr="00AD0647">
        <w:t xml:space="preserve"> </w:t>
      </w:r>
    </w:p>
    <w:p w14:paraId="0B6ECA3E" w14:textId="338351BF" w:rsidR="00AB2097" w:rsidRPr="00AD0647" w:rsidRDefault="00AB2097" w:rsidP="00AB2097">
      <w:pPr>
        <w:spacing w:after="135" w:line="259" w:lineRule="auto"/>
        <w:ind w:left="403" w:right="60"/>
      </w:pPr>
      <w:r w:rsidRPr="00AD0647">
        <w:t xml:space="preserve">Concerns/complaints might also be raised through:  </w:t>
      </w:r>
    </w:p>
    <w:p w14:paraId="34516E03" w14:textId="75742BB2" w:rsidR="00AB2097" w:rsidRPr="00AD0647" w:rsidRDefault="00AB2097" w:rsidP="007E6496">
      <w:pPr>
        <w:numPr>
          <w:ilvl w:val="0"/>
          <w:numId w:val="8"/>
        </w:numPr>
        <w:spacing w:after="95" w:line="259" w:lineRule="auto"/>
        <w:ind w:right="60"/>
        <w:jc w:val="left"/>
      </w:pPr>
      <w:r w:rsidRPr="00AD0647">
        <w:t xml:space="preserve">Whistleblowing arrangements;  </w:t>
      </w:r>
    </w:p>
    <w:p w14:paraId="32F6397D" w14:textId="6BEC42A3" w:rsidR="00AB2097" w:rsidRPr="00AD0647" w:rsidRDefault="00AB2097" w:rsidP="007E6496">
      <w:pPr>
        <w:numPr>
          <w:ilvl w:val="0"/>
          <w:numId w:val="8"/>
        </w:numPr>
        <w:spacing w:after="92" w:line="259" w:lineRule="auto"/>
        <w:ind w:right="60"/>
        <w:jc w:val="left"/>
      </w:pPr>
      <w:r w:rsidRPr="00AD0647">
        <w:t xml:space="preserve">Complaints processes;   </w:t>
      </w:r>
    </w:p>
    <w:p w14:paraId="2B08466E" w14:textId="4F84C263" w:rsidR="00AB2097" w:rsidRPr="00AD0647" w:rsidRDefault="00AB2097" w:rsidP="007E6496">
      <w:pPr>
        <w:numPr>
          <w:ilvl w:val="0"/>
          <w:numId w:val="8"/>
        </w:numPr>
        <w:spacing w:after="78" w:line="259" w:lineRule="auto"/>
        <w:ind w:right="60"/>
        <w:jc w:val="left"/>
      </w:pPr>
      <w:r w:rsidRPr="00AD0647">
        <w:t xml:space="preserve">Directly with </w:t>
      </w:r>
      <w:r w:rsidRPr="00AD0647">
        <w:rPr>
          <w:color w:val="auto"/>
        </w:rPr>
        <w:t xml:space="preserve">NITHC </w:t>
      </w:r>
      <w:r w:rsidRPr="00AD0647">
        <w:t>or the Department</w:t>
      </w:r>
      <w:r w:rsidR="004942C7" w:rsidRPr="00AD0647">
        <w:t xml:space="preserve">. </w:t>
      </w:r>
    </w:p>
    <w:p w14:paraId="7782B184" w14:textId="5B60D834" w:rsidR="00AB2097" w:rsidRPr="00AD0647" w:rsidRDefault="00AB2097" w:rsidP="00AB2097">
      <w:pPr>
        <w:spacing w:after="115" w:line="259" w:lineRule="auto"/>
        <w:ind w:left="408" w:firstLine="0"/>
        <w:jc w:val="left"/>
      </w:pPr>
      <w:r w:rsidRPr="00AD0647">
        <w:rPr>
          <w:b/>
        </w:rPr>
        <w:t xml:space="preserve"> </w:t>
      </w:r>
    </w:p>
    <w:p w14:paraId="6BE100B3" w14:textId="22F6D353" w:rsidR="00AB2097" w:rsidRPr="00AD0647" w:rsidRDefault="00AB2097" w:rsidP="00AB2097">
      <w:pPr>
        <w:ind w:left="403" w:right="60"/>
        <w:rPr>
          <w:color w:val="auto"/>
        </w:rPr>
      </w:pPr>
      <w:r w:rsidRPr="00AD0647">
        <w:t xml:space="preserve">Where a concern/complaint is received within </w:t>
      </w:r>
      <w:r w:rsidRPr="00AD0647">
        <w:rPr>
          <w:color w:val="auto"/>
        </w:rPr>
        <w:t xml:space="preserve">NITHC in respect of an individual Board Member this should be provided to the NITHC Chair who should notify the Department at the outset in order that lead responsibility for handling the complaint/concern is clear in advance. </w:t>
      </w:r>
    </w:p>
    <w:p w14:paraId="31E4B4A9" w14:textId="4D5B2280" w:rsidR="00AB2097" w:rsidRPr="00AD0647" w:rsidRDefault="00AB2097" w:rsidP="00AB2097">
      <w:pPr>
        <w:spacing w:after="113" w:line="259" w:lineRule="auto"/>
        <w:ind w:left="771" w:firstLine="0"/>
        <w:jc w:val="left"/>
        <w:rPr>
          <w:color w:val="auto"/>
        </w:rPr>
      </w:pPr>
      <w:r w:rsidRPr="00AD0647">
        <w:rPr>
          <w:color w:val="auto"/>
        </w:rPr>
        <w:t xml:space="preserve"> </w:t>
      </w:r>
    </w:p>
    <w:p w14:paraId="2DF384F2" w14:textId="36C1C489" w:rsidR="00AB2097" w:rsidRPr="00AD0647" w:rsidRDefault="00AB2097" w:rsidP="00AB2097">
      <w:pPr>
        <w:ind w:left="403" w:right="60"/>
      </w:pPr>
      <w:r w:rsidRPr="00AD0647">
        <w:rPr>
          <w:color w:val="auto"/>
        </w:rPr>
        <w:t xml:space="preserve">Where a concern/complaint relates to the NITHC Chair, NITHC should </w:t>
      </w:r>
      <w:r w:rsidRPr="00AD0647">
        <w:t xml:space="preserve">notify the Department at the outset for the Department to determine the approach to handling the complaint/concern. </w:t>
      </w:r>
    </w:p>
    <w:p w14:paraId="724011AD" w14:textId="311163E6" w:rsidR="00AB2097" w:rsidRPr="00AD0647" w:rsidRDefault="00AB2097" w:rsidP="00AB2097">
      <w:pPr>
        <w:spacing w:after="115" w:line="259" w:lineRule="auto"/>
        <w:ind w:left="771" w:firstLine="0"/>
        <w:jc w:val="left"/>
      </w:pPr>
      <w:r w:rsidRPr="00AD0647">
        <w:t xml:space="preserve"> </w:t>
      </w:r>
    </w:p>
    <w:p w14:paraId="1EF30AEB" w14:textId="6C564A45" w:rsidR="00AB2097" w:rsidRPr="00AD0647" w:rsidRDefault="00AB2097" w:rsidP="00AB2097">
      <w:pPr>
        <w:ind w:left="403" w:right="60"/>
        <w:rPr>
          <w:color w:val="auto"/>
        </w:rPr>
      </w:pPr>
      <w:r w:rsidRPr="00AD0647">
        <w:t xml:space="preserve">Differences of view in relation to matters which fall within the Board’s responsibilities are a matter for the </w:t>
      </w:r>
      <w:r w:rsidRPr="00AD0647">
        <w:rPr>
          <w:color w:val="auto"/>
        </w:rPr>
        <w:t>Board to resolve through consensus based decision making in the best interests of the NITHC</w:t>
      </w:r>
      <w:r w:rsidR="004942C7" w:rsidRPr="00AD0647">
        <w:rPr>
          <w:color w:val="auto"/>
        </w:rPr>
        <w:t xml:space="preserve">. </w:t>
      </w:r>
    </w:p>
    <w:p w14:paraId="6CF69097" w14:textId="72A31D7A" w:rsidR="00AB2097" w:rsidRPr="00AD0647" w:rsidRDefault="00AB2097" w:rsidP="00AB2097">
      <w:pPr>
        <w:spacing w:after="115" w:line="259" w:lineRule="auto"/>
        <w:ind w:left="975" w:firstLine="0"/>
        <w:jc w:val="left"/>
        <w:rPr>
          <w:color w:val="auto"/>
        </w:rPr>
      </w:pPr>
      <w:r w:rsidRPr="00AD0647">
        <w:rPr>
          <w:color w:val="auto"/>
        </w:rPr>
        <w:t xml:space="preserve"> </w:t>
      </w:r>
    </w:p>
    <w:p w14:paraId="4A15EC0A" w14:textId="42E20F9A" w:rsidR="00AB2097" w:rsidRPr="00AD0647" w:rsidRDefault="00AB2097" w:rsidP="00AB2097">
      <w:pPr>
        <w:ind w:left="403" w:right="60"/>
      </w:pPr>
      <w:r w:rsidRPr="00AD0647">
        <w:rPr>
          <w:color w:val="auto"/>
        </w:rPr>
        <w:t xml:space="preserve">Exceptionally a concern/complaint may be raised by a Board Member about a fellow Board Member or a senior member of NITHC staff. The NITHC Chair should notify the Department at the outset to ensure that arrangements for handling </w:t>
      </w:r>
      <w:r w:rsidRPr="00AD0647">
        <w:t xml:space="preserve">the </w:t>
      </w:r>
      <w:r w:rsidRPr="00AD0647">
        <w:lastRenderedPageBreak/>
        <w:t xml:space="preserve">concern/complaint are clear. The Department may determine that it should make arrangements to deal with the concern/complaint. This will be agreed at the outset. </w:t>
      </w:r>
    </w:p>
    <w:p w14:paraId="460D06C9" w14:textId="4CCDFB4F" w:rsidR="00AB2097" w:rsidRPr="00AD0647" w:rsidRDefault="00AB2097" w:rsidP="00AB2097">
      <w:pPr>
        <w:spacing w:after="115" w:line="259" w:lineRule="auto"/>
        <w:ind w:left="408" w:firstLine="0"/>
        <w:jc w:val="left"/>
      </w:pPr>
      <w:r w:rsidRPr="00AD0647">
        <w:t xml:space="preserve"> </w:t>
      </w:r>
    </w:p>
    <w:p w14:paraId="7CCA2DF9" w14:textId="7B2739CA" w:rsidR="00AB2097" w:rsidRPr="00AD0647" w:rsidRDefault="00AB2097" w:rsidP="00AB2097">
      <w:pPr>
        <w:ind w:left="403" w:right="60"/>
      </w:pPr>
    </w:p>
    <w:p w14:paraId="7352AB4E" w14:textId="2DFFCA32" w:rsidR="005E0AC2" w:rsidRDefault="00AB2097" w:rsidP="00AB2097">
      <w:pPr>
        <w:spacing w:after="115" w:line="259" w:lineRule="auto"/>
        <w:ind w:left="408" w:firstLine="0"/>
        <w:jc w:val="left"/>
      </w:pPr>
      <w:r w:rsidRPr="00AD0647">
        <w:t xml:space="preserve"> </w:t>
      </w:r>
    </w:p>
    <w:p w14:paraId="48FCBA01" w14:textId="77777777" w:rsidR="005E0AC2" w:rsidRDefault="005E0AC2">
      <w:pPr>
        <w:spacing w:after="160" w:line="259" w:lineRule="auto"/>
        <w:ind w:left="0" w:firstLine="0"/>
        <w:jc w:val="left"/>
      </w:pPr>
      <w:r>
        <w:br w:type="page"/>
      </w:r>
    </w:p>
    <w:p w14:paraId="48997AD1" w14:textId="77777777" w:rsidR="008C5AC8" w:rsidRDefault="008C5AC8" w:rsidP="00AB2097">
      <w:pPr>
        <w:spacing w:after="115" w:line="259" w:lineRule="auto"/>
        <w:ind w:left="408" w:firstLine="0"/>
        <w:jc w:val="left"/>
        <w:sectPr w:rsidR="008C5AC8" w:rsidSect="00F23AC6">
          <w:footerReference w:type="default" r:id="rId36"/>
          <w:pgSz w:w="11906" w:h="16838"/>
          <w:pgMar w:top="988" w:right="1371" w:bottom="710" w:left="1032" w:header="720" w:footer="720" w:gutter="0"/>
          <w:pgNumType w:start="1"/>
          <w:cols w:space="720"/>
          <w:titlePg/>
          <w:docGrid w:linePitch="326"/>
        </w:sectPr>
      </w:pPr>
    </w:p>
    <w:p w14:paraId="15D52BD8" w14:textId="77777777" w:rsidR="00AB2097" w:rsidRPr="00AD0647" w:rsidRDefault="00AB2097" w:rsidP="00AB2097">
      <w:pPr>
        <w:spacing w:after="115" w:line="259" w:lineRule="auto"/>
        <w:ind w:left="408" w:firstLine="0"/>
        <w:jc w:val="left"/>
      </w:pPr>
    </w:p>
    <w:p w14:paraId="690B96D6" w14:textId="474DA6F9" w:rsidR="00AB2097" w:rsidRPr="0067415A" w:rsidRDefault="005E0AC2" w:rsidP="00E62147">
      <w:pPr>
        <w:tabs>
          <w:tab w:val="left" w:pos="2720"/>
          <w:tab w:val="left" w:pos="3270"/>
        </w:tabs>
        <w:spacing w:after="0" w:line="259" w:lineRule="auto"/>
        <w:ind w:left="0" w:firstLine="0"/>
        <w:jc w:val="left"/>
      </w:pPr>
      <w:bookmarkStart w:id="32" w:name="_Toc62827980"/>
      <w:r>
        <w:tab/>
      </w:r>
    </w:p>
    <w:bookmarkEnd w:id="32"/>
    <w:p w14:paraId="676701DB" w14:textId="6C2A8C05" w:rsidR="004C6641" w:rsidRPr="00AD0647" w:rsidRDefault="004C6641" w:rsidP="008C5AC8">
      <w:pPr>
        <w:tabs>
          <w:tab w:val="left" w:pos="6140"/>
          <w:tab w:val="left" w:pos="6690"/>
        </w:tabs>
        <w:spacing w:after="160" w:line="259" w:lineRule="auto"/>
        <w:ind w:left="0" w:firstLine="0"/>
        <w:jc w:val="left"/>
      </w:pPr>
      <w:r w:rsidRPr="00AD0647">
        <w:rPr>
          <w:b/>
          <w:color w:val="374C80"/>
          <w:sz w:val="28"/>
        </w:rPr>
        <w:t xml:space="preserve">Annex </w:t>
      </w:r>
      <w:r w:rsidR="00BD53C1">
        <w:rPr>
          <w:b/>
          <w:color w:val="374C80"/>
          <w:sz w:val="28"/>
        </w:rPr>
        <w:t>5</w:t>
      </w:r>
      <w:r w:rsidRPr="00AD0647">
        <w:rPr>
          <w:b/>
          <w:color w:val="374C80"/>
          <w:sz w:val="28"/>
        </w:rPr>
        <w:t xml:space="preserve"> – Communication Protocol</w:t>
      </w:r>
      <w:r w:rsidR="008C5AC8">
        <w:rPr>
          <w:b/>
          <w:color w:val="374C80"/>
          <w:sz w:val="28"/>
        </w:rPr>
        <w:tab/>
      </w:r>
      <w:r w:rsidR="008C5AC8">
        <w:rPr>
          <w:b/>
          <w:color w:val="374C80"/>
          <w:sz w:val="28"/>
        </w:rPr>
        <w:tab/>
      </w:r>
    </w:p>
    <w:p w14:paraId="10B81E43" w14:textId="038E6A85" w:rsidR="004C6641" w:rsidRPr="00AD0647" w:rsidRDefault="004C6641" w:rsidP="004C6641">
      <w:pPr>
        <w:keepNext/>
        <w:keepLines/>
        <w:spacing w:after="0" w:line="259" w:lineRule="auto"/>
        <w:ind w:left="403"/>
        <w:jc w:val="left"/>
        <w:outlineLvl w:val="0"/>
      </w:pPr>
    </w:p>
    <w:p w14:paraId="75BF241E" w14:textId="77777777" w:rsidR="004C6641" w:rsidRPr="00AD0647" w:rsidRDefault="004C6641" w:rsidP="004C6641">
      <w:pPr>
        <w:spacing w:after="115" w:line="259" w:lineRule="auto"/>
        <w:ind w:left="550" w:firstLine="0"/>
        <w:jc w:val="left"/>
      </w:pPr>
      <w:r w:rsidRPr="00AD0647">
        <w:t xml:space="preserve"> </w:t>
      </w:r>
    </w:p>
    <w:tbl>
      <w:tblPr>
        <w:tblStyle w:val="TableGrid4"/>
        <w:tblW w:w="16160" w:type="dxa"/>
        <w:tblInd w:w="-289" w:type="dxa"/>
        <w:tblLayout w:type="fixed"/>
        <w:tblLook w:val="04A0" w:firstRow="1" w:lastRow="0" w:firstColumn="1" w:lastColumn="0" w:noHBand="0" w:noVBand="1"/>
      </w:tblPr>
      <w:tblGrid>
        <w:gridCol w:w="426"/>
        <w:gridCol w:w="2268"/>
        <w:gridCol w:w="2977"/>
        <w:gridCol w:w="2551"/>
        <w:gridCol w:w="2410"/>
        <w:gridCol w:w="2693"/>
        <w:gridCol w:w="2835"/>
      </w:tblGrid>
      <w:tr w:rsidR="002E7CC9" w:rsidRPr="00AD0647" w14:paraId="74E6EB7E" w14:textId="77777777" w:rsidTr="00D0386B">
        <w:trPr>
          <w:tblHeader/>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83B50" w14:textId="77777777" w:rsidR="004C6641" w:rsidRPr="00AD0647" w:rsidRDefault="004C6641" w:rsidP="004C6641">
            <w:pPr>
              <w:spacing w:after="0" w:line="240" w:lineRule="auto"/>
              <w:ind w:left="360"/>
              <w:rPr>
                <w:rFonts w:eastAsiaTheme="minorEastAsia"/>
                <w:b/>
                <w:color w:val="auto"/>
                <w:szCs w:val="24"/>
                <w:lang w:eastAsia="en-GB"/>
              </w:rPr>
            </w:pPr>
          </w:p>
          <w:p w14:paraId="71B821DC" w14:textId="77777777" w:rsidR="004C6641" w:rsidRPr="00AD0647" w:rsidRDefault="004C6641" w:rsidP="004C6641">
            <w:pPr>
              <w:spacing w:after="0" w:line="240" w:lineRule="auto"/>
              <w:ind w:left="360"/>
              <w:rPr>
                <w:rFonts w:eastAsiaTheme="minorEastAsia"/>
                <w:b/>
                <w:color w:val="auto"/>
                <w:szCs w:val="24"/>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F7DECC" w14:textId="77777777" w:rsidR="004C6641" w:rsidRPr="00AD0647" w:rsidRDefault="004C6641" w:rsidP="004C6641">
            <w:pPr>
              <w:spacing w:after="0" w:line="240" w:lineRule="auto"/>
              <w:rPr>
                <w:b/>
                <w:sz w:val="22"/>
                <w:lang w:eastAsia="en-GB"/>
              </w:rPr>
            </w:pPr>
            <w:r w:rsidRPr="00AD0647">
              <w:rPr>
                <w:b/>
                <w:lang w:eastAsia="en-GB"/>
              </w:rPr>
              <w:t>Subject Area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2B04EA" w14:textId="77777777" w:rsidR="004C6641" w:rsidRPr="00AD0647" w:rsidRDefault="004C6641" w:rsidP="004C6641">
            <w:pPr>
              <w:spacing w:after="0" w:line="240" w:lineRule="auto"/>
              <w:rPr>
                <w:b/>
                <w:lang w:eastAsia="en-GB"/>
              </w:rPr>
            </w:pPr>
            <w:r w:rsidRPr="00AD0647">
              <w:rPr>
                <w:b/>
                <w:lang w:eastAsia="en-GB"/>
              </w:rPr>
              <w:t>Sub Area</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683F74" w14:textId="77777777" w:rsidR="004C6641" w:rsidRPr="00AD0647" w:rsidRDefault="004C6641" w:rsidP="004C6641">
            <w:pPr>
              <w:spacing w:after="0" w:line="240" w:lineRule="auto"/>
              <w:rPr>
                <w:b/>
                <w:lang w:eastAsia="en-GB"/>
              </w:rPr>
            </w:pPr>
            <w:r w:rsidRPr="00AD0647">
              <w:rPr>
                <w:b/>
                <w:lang w:eastAsia="en-GB"/>
              </w:rPr>
              <w:t xml:space="preserve">Translink </w:t>
            </w:r>
          </w:p>
          <w:p w14:paraId="6E5712B0" w14:textId="77777777" w:rsidR="004C6641" w:rsidRPr="00AD0647" w:rsidRDefault="004C6641" w:rsidP="004C6641">
            <w:pPr>
              <w:spacing w:after="0" w:line="240" w:lineRule="auto"/>
              <w:rPr>
                <w:b/>
                <w:lang w:eastAsia="en-GB"/>
              </w:rPr>
            </w:pPr>
            <w:r w:rsidRPr="00AD0647">
              <w:rPr>
                <w:b/>
                <w:lang w:eastAsia="en-GB"/>
              </w:rPr>
              <w:t>Prime Contact</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74EA11" w14:textId="77777777" w:rsidR="004C6641" w:rsidRPr="00AD0647" w:rsidRDefault="004C6641" w:rsidP="004C6641">
            <w:pPr>
              <w:spacing w:after="0" w:line="240" w:lineRule="auto"/>
              <w:rPr>
                <w:b/>
                <w:lang w:eastAsia="en-GB"/>
              </w:rPr>
            </w:pPr>
            <w:r w:rsidRPr="00AD0647">
              <w:rPr>
                <w:b/>
                <w:lang w:eastAsia="en-GB"/>
              </w:rPr>
              <w:t>Translink</w:t>
            </w:r>
          </w:p>
          <w:p w14:paraId="29445908" w14:textId="77777777" w:rsidR="004C6641" w:rsidRPr="00AD0647" w:rsidRDefault="004C6641" w:rsidP="004C6641">
            <w:pPr>
              <w:spacing w:after="0" w:line="240" w:lineRule="auto"/>
              <w:rPr>
                <w:b/>
                <w:lang w:eastAsia="en-GB"/>
              </w:rPr>
            </w:pPr>
            <w:r w:rsidRPr="00AD0647">
              <w:rPr>
                <w:b/>
                <w:lang w:eastAsia="en-GB"/>
              </w:rPr>
              <w:t>Sub Contact</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184CFE" w14:textId="77777777" w:rsidR="004C6641" w:rsidRPr="00AD0647" w:rsidRDefault="004C6641" w:rsidP="004C6641">
            <w:pPr>
              <w:spacing w:after="0" w:line="240" w:lineRule="auto"/>
              <w:rPr>
                <w:b/>
                <w:lang w:eastAsia="en-GB"/>
              </w:rPr>
            </w:pPr>
            <w:r w:rsidRPr="00AD0647">
              <w:rPr>
                <w:b/>
                <w:lang w:eastAsia="en-GB"/>
              </w:rPr>
              <w:t>DFI Prime</w:t>
            </w:r>
          </w:p>
          <w:p w14:paraId="454E71E2" w14:textId="77777777" w:rsidR="004C6641" w:rsidRPr="00AD0647" w:rsidRDefault="004C6641" w:rsidP="004C6641">
            <w:pPr>
              <w:spacing w:after="0" w:line="240" w:lineRule="auto"/>
              <w:rPr>
                <w:b/>
                <w:lang w:eastAsia="en-GB"/>
              </w:rPr>
            </w:pPr>
            <w:r w:rsidRPr="00AD0647">
              <w:rPr>
                <w:b/>
                <w:lang w:eastAsia="en-GB"/>
              </w:rPr>
              <w:t>Contact</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73BB1F" w14:textId="440E9F36" w:rsidR="004C6641" w:rsidRPr="00AD0647" w:rsidRDefault="004C6641" w:rsidP="002E7CC9">
            <w:pPr>
              <w:tabs>
                <w:tab w:val="right" w:pos="2619"/>
              </w:tabs>
              <w:spacing w:after="0" w:line="240" w:lineRule="auto"/>
              <w:rPr>
                <w:b/>
                <w:lang w:eastAsia="en-GB"/>
              </w:rPr>
            </w:pPr>
            <w:r w:rsidRPr="00AD0647">
              <w:rPr>
                <w:b/>
                <w:lang w:eastAsia="en-GB"/>
              </w:rPr>
              <w:t>DFI Sub</w:t>
            </w:r>
            <w:r w:rsidR="002E7CC9">
              <w:rPr>
                <w:b/>
                <w:lang w:eastAsia="en-GB"/>
              </w:rPr>
              <w:tab/>
            </w:r>
          </w:p>
          <w:p w14:paraId="0BDE942B" w14:textId="77777777" w:rsidR="004C6641" w:rsidRPr="00AD0647" w:rsidRDefault="004C6641" w:rsidP="004C6641">
            <w:pPr>
              <w:spacing w:after="0" w:line="240" w:lineRule="auto"/>
              <w:rPr>
                <w:b/>
                <w:lang w:eastAsia="en-GB"/>
              </w:rPr>
            </w:pPr>
            <w:r w:rsidRPr="00AD0647">
              <w:rPr>
                <w:b/>
                <w:lang w:eastAsia="en-GB"/>
              </w:rPr>
              <w:t>Contact</w:t>
            </w:r>
          </w:p>
        </w:tc>
      </w:tr>
      <w:tr w:rsidR="002E7CC9" w:rsidRPr="00AD0647" w14:paraId="537B7F7D"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E5319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1C6F1718" w14:textId="77777777" w:rsidR="00874996" w:rsidRDefault="004C6641" w:rsidP="004C6641">
            <w:pPr>
              <w:spacing w:after="0" w:line="240" w:lineRule="auto"/>
              <w:rPr>
                <w:b/>
                <w:szCs w:val="24"/>
                <w:lang w:eastAsia="en-GB"/>
              </w:rPr>
            </w:pPr>
            <w:r w:rsidRPr="00AD0647">
              <w:rPr>
                <w:b/>
                <w:szCs w:val="24"/>
                <w:lang w:eastAsia="en-GB"/>
              </w:rPr>
              <w:t>Capital Funding</w:t>
            </w:r>
            <w:r w:rsidR="00874996">
              <w:rPr>
                <w:b/>
                <w:szCs w:val="24"/>
                <w:lang w:eastAsia="en-GB"/>
              </w:rPr>
              <w:t>/</w:t>
            </w:r>
          </w:p>
          <w:p w14:paraId="48AD4327" w14:textId="5E4872F5" w:rsidR="004C6641" w:rsidRPr="00AD0647" w:rsidRDefault="00874996" w:rsidP="004C6641">
            <w:pPr>
              <w:spacing w:after="0" w:line="240" w:lineRule="auto"/>
              <w:rPr>
                <w:b/>
                <w:szCs w:val="24"/>
                <w:lang w:eastAsia="en-GB"/>
              </w:rPr>
            </w:pPr>
            <w:r>
              <w:rPr>
                <w:b/>
                <w:szCs w:val="24"/>
                <w:lang w:eastAsia="en-GB"/>
              </w:rPr>
              <w:t>Expenditure</w:t>
            </w:r>
          </w:p>
        </w:tc>
        <w:tc>
          <w:tcPr>
            <w:tcW w:w="2977" w:type="dxa"/>
            <w:tcBorders>
              <w:top w:val="single" w:sz="4" w:space="0" w:color="auto"/>
              <w:left w:val="single" w:sz="4" w:space="0" w:color="auto"/>
              <w:bottom w:val="single" w:sz="4" w:space="0" w:color="auto"/>
              <w:right w:val="single" w:sz="4" w:space="0" w:color="auto"/>
            </w:tcBorders>
            <w:hideMark/>
          </w:tcPr>
          <w:p w14:paraId="39F61752" w14:textId="7FC644C4" w:rsidR="004C6641" w:rsidRPr="00AD0647" w:rsidRDefault="00FD5956" w:rsidP="004C6641">
            <w:pPr>
              <w:spacing w:after="0" w:line="240" w:lineRule="auto"/>
              <w:rPr>
                <w:sz w:val="22"/>
                <w:lang w:eastAsia="en-GB"/>
              </w:rPr>
            </w:pPr>
            <w:r w:rsidRPr="00AD0647">
              <w:rPr>
                <w:lang w:eastAsia="en-GB"/>
              </w:rPr>
              <w:t>Corporate and Business Plan</w:t>
            </w:r>
          </w:p>
          <w:p w14:paraId="30E96AB3" w14:textId="77777777" w:rsidR="004C6641" w:rsidRPr="00AD0647" w:rsidRDefault="004C6641" w:rsidP="004C6641">
            <w:pPr>
              <w:spacing w:after="0" w:line="240" w:lineRule="auto"/>
              <w:rPr>
                <w:lang w:eastAsia="en-GB"/>
              </w:rPr>
            </w:pPr>
            <w:r w:rsidRPr="00AD0647">
              <w:rPr>
                <w:lang w:eastAsia="en-GB"/>
              </w:rPr>
              <w:t>Monitoring Rounds</w:t>
            </w:r>
          </w:p>
          <w:p w14:paraId="05AF1A91" w14:textId="77777777" w:rsidR="004C6641" w:rsidRDefault="004C6641" w:rsidP="004C6641">
            <w:pPr>
              <w:spacing w:after="0" w:line="240" w:lineRule="auto"/>
              <w:rPr>
                <w:lang w:eastAsia="en-GB"/>
              </w:rPr>
            </w:pPr>
            <w:r w:rsidRPr="00AD0647">
              <w:rPr>
                <w:lang w:eastAsia="en-GB"/>
              </w:rPr>
              <w:t>Economic Appraisals</w:t>
            </w:r>
          </w:p>
          <w:p w14:paraId="3ED327FB" w14:textId="6963FC4E" w:rsidR="00874996" w:rsidRPr="00AD0647" w:rsidRDefault="00874996" w:rsidP="004C6641">
            <w:pPr>
              <w:spacing w:after="0" w:line="240" w:lineRule="auto"/>
              <w:rPr>
                <w:lang w:eastAsia="en-GB"/>
              </w:rPr>
            </w:pPr>
            <w:r>
              <w:rPr>
                <w:lang w:eastAsia="en-GB"/>
              </w:rPr>
              <w:t>Interim reports</w:t>
            </w:r>
          </w:p>
          <w:p w14:paraId="299ACF5F" w14:textId="77777777" w:rsidR="004C6641" w:rsidRPr="00AD0647" w:rsidRDefault="004C6641" w:rsidP="004C6641">
            <w:pPr>
              <w:spacing w:after="0" w:line="240" w:lineRule="auto"/>
              <w:rPr>
                <w:lang w:eastAsia="en-GB"/>
              </w:rPr>
            </w:pPr>
            <w:r w:rsidRPr="00AD0647">
              <w:rPr>
                <w:lang w:eastAsia="en-GB"/>
              </w:rPr>
              <w:t>PPE’s</w:t>
            </w:r>
          </w:p>
        </w:tc>
        <w:tc>
          <w:tcPr>
            <w:tcW w:w="2551" w:type="dxa"/>
            <w:tcBorders>
              <w:top w:val="single" w:sz="4" w:space="0" w:color="auto"/>
              <w:left w:val="single" w:sz="4" w:space="0" w:color="auto"/>
              <w:bottom w:val="single" w:sz="4" w:space="0" w:color="auto"/>
              <w:right w:val="single" w:sz="4" w:space="0" w:color="auto"/>
            </w:tcBorders>
          </w:tcPr>
          <w:p w14:paraId="331226CF" w14:textId="210AE31E" w:rsidR="004C6641" w:rsidRPr="00AD0647" w:rsidRDefault="00047E4A" w:rsidP="004C6641">
            <w:pPr>
              <w:spacing w:after="0" w:line="240" w:lineRule="auto"/>
              <w:rPr>
                <w:lang w:eastAsia="en-GB"/>
              </w:rPr>
            </w:pPr>
            <w:r>
              <w:rPr>
                <w:lang w:eastAsia="en-GB"/>
              </w:rPr>
              <w:t>Ronan O’Doherty</w:t>
            </w:r>
          </w:p>
          <w:p w14:paraId="5A67AEFC" w14:textId="77777777" w:rsidR="004C6641" w:rsidRPr="00AD0647" w:rsidRDefault="004C6641" w:rsidP="004C6641">
            <w:pPr>
              <w:spacing w:after="0" w:line="240" w:lineRule="auto"/>
              <w:rPr>
                <w:lang w:eastAsia="en-GB"/>
              </w:rPr>
            </w:pPr>
          </w:p>
          <w:p w14:paraId="56B0E6F1"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5B988CE2" w14:textId="77777777" w:rsidR="004C6641" w:rsidRPr="00AD0647" w:rsidRDefault="004C6641" w:rsidP="004C6641">
            <w:pPr>
              <w:spacing w:after="0" w:line="240" w:lineRule="auto"/>
              <w:rPr>
                <w:lang w:eastAsia="en-GB"/>
              </w:rPr>
            </w:pPr>
            <w:r w:rsidRPr="00AD0647">
              <w:rPr>
                <w:lang w:eastAsia="en-GB"/>
              </w:rPr>
              <w:t>Gwen McKee</w:t>
            </w:r>
          </w:p>
          <w:p w14:paraId="06619212" w14:textId="77777777" w:rsidR="004C6641" w:rsidRPr="00AD0647" w:rsidRDefault="004C6641" w:rsidP="004C6641">
            <w:pPr>
              <w:spacing w:after="0" w:line="240" w:lineRule="auto"/>
              <w:rPr>
                <w:lang w:eastAsia="en-GB"/>
              </w:rPr>
            </w:pPr>
          </w:p>
          <w:p w14:paraId="682D7974" w14:textId="77777777" w:rsidR="004C6641" w:rsidRPr="00AD0647" w:rsidRDefault="004C6641" w:rsidP="004C6641">
            <w:pPr>
              <w:spacing w:after="0" w:line="240" w:lineRule="auto"/>
              <w:rPr>
                <w:lang w:eastAsia="en-GB"/>
              </w:rPr>
            </w:pPr>
            <w:r w:rsidRPr="00AD0647">
              <w:rPr>
                <w:lang w:eastAsia="en-GB"/>
              </w:rPr>
              <w:t>Peter Moore</w:t>
            </w:r>
          </w:p>
          <w:p w14:paraId="33994AD5"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7A4EBCD9" w14:textId="7B457FFF" w:rsidR="004C6641" w:rsidRDefault="00D25DC8" w:rsidP="00874996">
            <w:pPr>
              <w:spacing w:after="0"/>
              <w:rPr>
                <w:lang w:eastAsia="en-GB"/>
              </w:rPr>
            </w:pPr>
            <w:r>
              <w:rPr>
                <w:lang w:eastAsia="en-GB"/>
              </w:rPr>
              <w:t>Peter Rice</w:t>
            </w:r>
          </w:p>
          <w:p w14:paraId="016F053B" w14:textId="02866EA1" w:rsidR="001B61E8" w:rsidRPr="00AD0647" w:rsidRDefault="001B61E8" w:rsidP="004C6641">
            <w:pPr>
              <w:rPr>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272DB979" w14:textId="344C5AD0" w:rsidR="007F6231" w:rsidRDefault="00D25DC8" w:rsidP="004C6641">
            <w:pPr>
              <w:spacing w:after="0" w:line="240" w:lineRule="auto"/>
              <w:rPr>
                <w:lang w:eastAsia="en-GB"/>
              </w:rPr>
            </w:pPr>
            <w:r>
              <w:rPr>
                <w:lang w:eastAsia="en-GB"/>
              </w:rPr>
              <w:t>Stuart Gilmore</w:t>
            </w:r>
          </w:p>
          <w:p w14:paraId="2A698155" w14:textId="65DE9602" w:rsidR="00CA702C" w:rsidRDefault="00CA702C" w:rsidP="004C6641">
            <w:pPr>
              <w:spacing w:after="0" w:line="240" w:lineRule="auto"/>
              <w:rPr>
                <w:lang w:eastAsia="en-GB"/>
              </w:rPr>
            </w:pPr>
            <w:r w:rsidRPr="00CA702C">
              <w:rPr>
                <w:lang w:eastAsia="en-GB"/>
              </w:rPr>
              <w:t>Jennifer Hanna</w:t>
            </w:r>
          </w:p>
          <w:p w14:paraId="004CA038" w14:textId="77777777" w:rsidR="00B13E08" w:rsidRDefault="00B13E08" w:rsidP="004C6641">
            <w:pPr>
              <w:spacing w:after="0" w:line="240" w:lineRule="auto"/>
              <w:rPr>
                <w:highlight w:val="yellow"/>
                <w:lang w:eastAsia="en-GB"/>
              </w:rPr>
            </w:pPr>
          </w:p>
          <w:p w14:paraId="04ABF24F" w14:textId="65C99769" w:rsidR="004C6641" w:rsidRPr="00AD0647" w:rsidRDefault="004C6641" w:rsidP="004C6641">
            <w:pPr>
              <w:spacing w:after="0" w:line="240" w:lineRule="auto"/>
              <w:rPr>
                <w:lang w:eastAsia="en-GB"/>
              </w:rPr>
            </w:pPr>
          </w:p>
        </w:tc>
      </w:tr>
      <w:tr w:rsidR="002E7CC9" w:rsidRPr="00AD0647" w14:paraId="2FFEE413"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D6C07E"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0F7C51F8" w14:textId="77777777" w:rsidR="00874996" w:rsidRDefault="00874996" w:rsidP="004C6641">
            <w:pPr>
              <w:spacing w:after="0" w:line="240" w:lineRule="auto"/>
              <w:rPr>
                <w:b/>
                <w:szCs w:val="24"/>
                <w:lang w:eastAsia="en-GB"/>
              </w:rPr>
            </w:pPr>
            <w:r>
              <w:rPr>
                <w:b/>
                <w:szCs w:val="24"/>
                <w:lang w:eastAsia="en-GB"/>
              </w:rPr>
              <w:t xml:space="preserve">Capital </w:t>
            </w:r>
            <w:r w:rsidR="004C6641" w:rsidRPr="00AD0647">
              <w:rPr>
                <w:b/>
                <w:szCs w:val="24"/>
                <w:lang w:eastAsia="en-GB"/>
              </w:rPr>
              <w:t>Project Tracking</w:t>
            </w:r>
            <w:r>
              <w:rPr>
                <w:b/>
                <w:szCs w:val="24"/>
                <w:lang w:eastAsia="en-GB"/>
              </w:rPr>
              <w:t>/</w:t>
            </w:r>
          </w:p>
          <w:p w14:paraId="20A372B3" w14:textId="343B8FBD" w:rsidR="004C6641" w:rsidRPr="00AD0647" w:rsidRDefault="00874996" w:rsidP="004C6641">
            <w:pPr>
              <w:spacing w:after="0" w:line="240" w:lineRule="auto"/>
              <w:rPr>
                <w:b/>
                <w:szCs w:val="24"/>
                <w:lang w:eastAsia="en-GB"/>
              </w:rPr>
            </w:pPr>
            <w:r>
              <w:rPr>
                <w:b/>
                <w:szCs w:val="24"/>
                <w:lang w:eastAsia="en-GB"/>
              </w:rPr>
              <w:t>Programme</w:t>
            </w:r>
          </w:p>
        </w:tc>
        <w:tc>
          <w:tcPr>
            <w:tcW w:w="2977" w:type="dxa"/>
            <w:tcBorders>
              <w:top w:val="single" w:sz="4" w:space="0" w:color="auto"/>
              <w:left w:val="single" w:sz="4" w:space="0" w:color="auto"/>
              <w:bottom w:val="single" w:sz="4" w:space="0" w:color="auto"/>
              <w:right w:val="single" w:sz="4" w:space="0" w:color="auto"/>
            </w:tcBorders>
          </w:tcPr>
          <w:p w14:paraId="3973F719" w14:textId="77777777" w:rsidR="004C6641" w:rsidRPr="00AD0647" w:rsidRDefault="004C6641" w:rsidP="004C6641">
            <w:pPr>
              <w:spacing w:after="0" w:line="240" w:lineRule="auto"/>
              <w:rPr>
                <w:sz w:val="22"/>
                <w:lang w:eastAsia="en-GB"/>
              </w:rPr>
            </w:pPr>
            <w:r w:rsidRPr="00AD0647">
              <w:rPr>
                <w:lang w:eastAsia="en-GB"/>
              </w:rPr>
              <w:t>POC committee</w:t>
            </w:r>
          </w:p>
          <w:p w14:paraId="30DB4B28" w14:textId="77777777" w:rsidR="004C6641" w:rsidRPr="00AD0647" w:rsidRDefault="004C6641" w:rsidP="004C6641">
            <w:pPr>
              <w:spacing w:after="0" w:line="240" w:lineRule="auto"/>
              <w:rPr>
                <w:lang w:eastAsia="en-GB"/>
              </w:rPr>
            </w:pPr>
          </w:p>
        </w:tc>
        <w:tc>
          <w:tcPr>
            <w:tcW w:w="2551" w:type="dxa"/>
            <w:tcBorders>
              <w:top w:val="single" w:sz="4" w:space="0" w:color="auto"/>
              <w:left w:val="single" w:sz="4" w:space="0" w:color="auto"/>
              <w:bottom w:val="single" w:sz="4" w:space="0" w:color="auto"/>
              <w:right w:val="single" w:sz="4" w:space="0" w:color="auto"/>
            </w:tcBorders>
          </w:tcPr>
          <w:p w14:paraId="67DF0589" w14:textId="77777777" w:rsidR="004C6641" w:rsidRPr="00AD0647" w:rsidRDefault="004C6641" w:rsidP="004C6641">
            <w:pPr>
              <w:spacing w:after="0" w:line="240" w:lineRule="auto"/>
              <w:rPr>
                <w:lang w:eastAsia="en-GB"/>
              </w:rPr>
            </w:pPr>
            <w:r w:rsidRPr="00AD0647">
              <w:rPr>
                <w:lang w:eastAsia="en-GB"/>
              </w:rPr>
              <w:t>John Glass</w:t>
            </w:r>
          </w:p>
          <w:p w14:paraId="71E447F6"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5DA9977C" w14:textId="77777777" w:rsidR="004C6641" w:rsidRPr="00AD0647" w:rsidRDefault="004C6641" w:rsidP="004C6641">
            <w:pPr>
              <w:spacing w:after="0" w:line="240" w:lineRule="auto"/>
              <w:rPr>
                <w:lang w:eastAsia="en-GB"/>
              </w:rPr>
            </w:pPr>
            <w:r w:rsidRPr="00AD0647">
              <w:rPr>
                <w:lang w:eastAsia="en-GB"/>
              </w:rPr>
              <w:t>Brendan Harkin</w:t>
            </w:r>
          </w:p>
          <w:p w14:paraId="4E255846"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09B8424F" w14:textId="6B7A5BC7" w:rsidR="004C6641" w:rsidRPr="00AD0647" w:rsidRDefault="00D25DC8"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tcPr>
          <w:p w14:paraId="439B9CA4" w14:textId="498E9C5F" w:rsidR="007F6231" w:rsidRDefault="00D25DC8" w:rsidP="004C6641">
            <w:pPr>
              <w:spacing w:after="0" w:line="240" w:lineRule="auto"/>
              <w:rPr>
                <w:lang w:eastAsia="en-GB"/>
              </w:rPr>
            </w:pPr>
            <w:r>
              <w:rPr>
                <w:lang w:eastAsia="en-GB"/>
              </w:rPr>
              <w:t>Stuart Gilmore</w:t>
            </w:r>
          </w:p>
          <w:p w14:paraId="01F62BF8" w14:textId="18CE7643" w:rsidR="004C6641" w:rsidRDefault="004C6641" w:rsidP="004C6641">
            <w:pPr>
              <w:spacing w:after="0" w:line="240" w:lineRule="auto"/>
              <w:rPr>
                <w:lang w:eastAsia="en-GB"/>
              </w:rPr>
            </w:pPr>
            <w:r w:rsidRPr="00AD0647">
              <w:rPr>
                <w:lang w:eastAsia="en-GB"/>
              </w:rPr>
              <w:t>Billy McLarnon</w:t>
            </w:r>
          </w:p>
          <w:p w14:paraId="75DDC5BB" w14:textId="39D88264" w:rsidR="00874996" w:rsidRPr="00AD0647" w:rsidRDefault="00874996" w:rsidP="004C6641">
            <w:pPr>
              <w:spacing w:after="0" w:line="240" w:lineRule="auto"/>
              <w:rPr>
                <w:lang w:eastAsia="en-GB"/>
              </w:rPr>
            </w:pPr>
            <w:r>
              <w:rPr>
                <w:lang w:eastAsia="en-GB"/>
              </w:rPr>
              <w:t>Jennifer Hanna</w:t>
            </w:r>
          </w:p>
          <w:p w14:paraId="40203E32" w14:textId="77777777" w:rsidR="004C6641" w:rsidRPr="00AD0647" w:rsidRDefault="004C6641">
            <w:pPr>
              <w:spacing w:after="0" w:line="240" w:lineRule="auto"/>
              <w:rPr>
                <w:lang w:eastAsia="en-GB"/>
              </w:rPr>
            </w:pPr>
          </w:p>
        </w:tc>
      </w:tr>
      <w:tr w:rsidR="002E7CC9" w:rsidRPr="00AD0647" w14:paraId="59AD3C5A"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0738F"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3ADE19CE" w14:textId="77777777" w:rsidR="004C6641" w:rsidRPr="00AD0647" w:rsidRDefault="004C6641" w:rsidP="004C6641">
            <w:pPr>
              <w:spacing w:after="0" w:line="240" w:lineRule="auto"/>
              <w:rPr>
                <w:b/>
                <w:szCs w:val="24"/>
                <w:lang w:eastAsia="en-GB"/>
              </w:rPr>
            </w:pPr>
            <w:r w:rsidRPr="00AD0647">
              <w:rPr>
                <w:b/>
                <w:szCs w:val="24"/>
                <w:lang w:eastAsia="en-GB"/>
              </w:rPr>
              <w:t>Safety, Park &amp; Ride etc</w:t>
            </w:r>
          </w:p>
        </w:tc>
        <w:tc>
          <w:tcPr>
            <w:tcW w:w="2977" w:type="dxa"/>
            <w:tcBorders>
              <w:top w:val="single" w:sz="4" w:space="0" w:color="auto"/>
              <w:left w:val="single" w:sz="4" w:space="0" w:color="auto"/>
              <w:bottom w:val="single" w:sz="4" w:space="0" w:color="auto"/>
              <w:right w:val="single" w:sz="4" w:space="0" w:color="auto"/>
            </w:tcBorders>
            <w:hideMark/>
          </w:tcPr>
          <w:p w14:paraId="7590BA0A" w14:textId="77777777" w:rsidR="004C6641" w:rsidRPr="00AD0647" w:rsidRDefault="004C6641" w:rsidP="004C6641">
            <w:pPr>
              <w:spacing w:after="0" w:line="240" w:lineRule="auto"/>
              <w:rPr>
                <w:sz w:val="22"/>
                <w:lang w:eastAsia="en-GB"/>
              </w:rPr>
            </w:pPr>
            <w:r w:rsidRPr="00AD0647">
              <w:rPr>
                <w:lang w:eastAsia="en-GB"/>
              </w:rPr>
              <w:t>Safety committee</w:t>
            </w:r>
          </w:p>
          <w:p w14:paraId="4C3E1967" w14:textId="77777777" w:rsidR="004C6641" w:rsidRPr="00AD0647" w:rsidRDefault="004C6641" w:rsidP="004C6641">
            <w:pPr>
              <w:spacing w:after="0" w:line="240" w:lineRule="auto"/>
              <w:rPr>
                <w:lang w:eastAsia="en-GB"/>
              </w:rPr>
            </w:pPr>
            <w:r w:rsidRPr="00AD0647">
              <w:rPr>
                <w:lang w:eastAsia="en-GB"/>
              </w:rPr>
              <w:t xml:space="preserve">HSENI </w:t>
            </w:r>
          </w:p>
        </w:tc>
        <w:tc>
          <w:tcPr>
            <w:tcW w:w="2551" w:type="dxa"/>
            <w:tcBorders>
              <w:top w:val="single" w:sz="4" w:space="0" w:color="auto"/>
              <w:left w:val="single" w:sz="4" w:space="0" w:color="auto"/>
              <w:bottom w:val="single" w:sz="4" w:space="0" w:color="auto"/>
              <w:right w:val="single" w:sz="4" w:space="0" w:color="auto"/>
            </w:tcBorders>
          </w:tcPr>
          <w:p w14:paraId="0561635B" w14:textId="56E9115F" w:rsidR="004C6641" w:rsidRPr="00AD0647" w:rsidRDefault="00047E4A" w:rsidP="004C6641">
            <w:pPr>
              <w:spacing w:after="0" w:line="240" w:lineRule="auto"/>
              <w:rPr>
                <w:lang w:eastAsia="en-GB"/>
              </w:rPr>
            </w:pPr>
            <w:r>
              <w:rPr>
                <w:lang w:eastAsia="en-GB"/>
              </w:rPr>
              <w:t>Jacqui Kennedy</w:t>
            </w:r>
          </w:p>
          <w:p w14:paraId="042D52DC"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59D06942" w14:textId="77777777" w:rsidR="004C6641" w:rsidRPr="00AD0647" w:rsidRDefault="004C6641" w:rsidP="004C6641">
            <w:pPr>
              <w:spacing w:after="0" w:line="240" w:lineRule="auto"/>
              <w:rPr>
                <w:lang w:eastAsia="en-GB"/>
              </w:rPr>
            </w:pPr>
            <w:r w:rsidRPr="00AD0647">
              <w:rPr>
                <w:lang w:eastAsia="en-GB"/>
              </w:rPr>
              <w:t>John Thompson</w:t>
            </w:r>
          </w:p>
          <w:p w14:paraId="2B62F0AE" w14:textId="77777777" w:rsidR="004C6641" w:rsidRPr="00AD0647" w:rsidRDefault="004C6641" w:rsidP="004C6641">
            <w:pPr>
              <w:spacing w:after="0" w:line="240" w:lineRule="auto"/>
              <w:rPr>
                <w:lang w:eastAsia="en-GB"/>
              </w:rPr>
            </w:pPr>
          </w:p>
          <w:p w14:paraId="0DB805AD"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tcPr>
          <w:p w14:paraId="67BE75BE" w14:textId="536ADDC6" w:rsidR="004C6641" w:rsidRPr="00AD0647" w:rsidRDefault="00D25DC8" w:rsidP="004C6641">
            <w:pPr>
              <w:spacing w:after="0" w:line="240" w:lineRule="auto"/>
              <w:rPr>
                <w:lang w:eastAsia="en-GB"/>
              </w:rPr>
            </w:pPr>
            <w:r>
              <w:rPr>
                <w:lang w:eastAsia="en-GB"/>
              </w:rPr>
              <w:t>Peter Rice</w:t>
            </w:r>
          </w:p>
          <w:p w14:paraId="10B7E732" w14:textId="0AF99AA2" w:rsidR="004C6641" w:rsidRPr="00AD0647" w:rsidRDefault="00D25DC8" w:rsidP="004C6641">
            <w:pPr>
              <w:spacing w:after="0" w:line="240" w:lineRule="auto"/>
              <w:rPr>
                <w:lang w:eastAsia="en-GB"/>
              </w:rPr>
            </w:pPr>
            <w:r>
              <w:rPr>
                <w:lang w:eastAsia="en-GB"/>
              </w:rPr>
              <w:t xml:space="preserve">Brenda </w:t>
            </w:r>
            <w:r w:rsidR="00386DEE">
              <w:rPr>
                <w:lang w:eastAsia="en-GB"/>
              </w:rPr>
              <w:t>Burke</w:t>
            </w:r>
          </w:p>
          <w:p w14:paraId="7A2D3596" w14:textId="643EB94B" w:rsidR="004C6641" w:rsidRPr="00AD0647" w:rsidRDefault="005949E2" w:rsidP="004C6641">
            <w:pPr>
              <w:spacing w:after="0" w:line="240" w:lineRule="auto"/>
              <w:rPr>
                <w:lang w:eastAsia="en-GB"/>
              </w:rPr>
            </w:pPr>
            <w:r>
              <w:rPr>
                <w:lang w:eastAsia="en-GB"/>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558DB4F" w14:textId="18F5A6F4" w:rsidR="004C6641" w:rsidRDefault="00386DEE" w:rsidP="004C6641">
            <w:pPr>
              <w:spacing w:after="0" w:line="240" w:lineRule="auto"/>
              <w:rPr>
                <w:lang w:eastAsia="en-GB"/>
              </w:rPr>
            </w:pPr>
            <w:r>
              <w:rPr>
                <w:lang w:eastAsia="en-GB"/>
              </w:rPr>
              <w:t>Stuart Gilmore</w:t>
            </w:r>
          </w:p>
          <w:p w14:paraId="00FE6723" w14:textId="3FCEFE3F" w:rsidR="00093344" w:rsidRPr="00AD0647" w:rsidRDefault="00093344" w:rsidP="004C6641">
            <w:pPr>
              <w:spacing w:after="0" w:line="240" w:lineRule="auto"/>
              <w:rPr>
                <w:lang w:eastAsia="en-GB"/>
              </w:rPr>
            </w:pPr>
            <w:r>
              <w:rPr>
                <w:lang w:eastAsia="en-GB"/>
              </w:rPr>
              <w:t>Graeme Banks</w:t>
            </w:r>
          </w:p>
          <w:p w14:paraId="0CE21E33" w14:textId="2EED64BF" w:rsidR="004C6641" w:rsidRPr="00AD0647" w:rsidRDefault="004C6641" w:rsidP="004C6641">
            <w:pPr>
              <w:spacing w:after="0" w:line="240" w:lineRule="auto"/>
              <w:rPr>
                <w:lang w:eastAsia="en-GB"/>
              </w:rPr>
            </w:pPr>
          </w:p>
        </w:tc>
      </w:tr>
      <w:tr w:rsidR="002E7CC9" w:rsidRPr="00AD0647" w14:paraId="738D75AE"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140E1"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352DF10" w14:textId="77777777" w:rsidR="004C6641" w:rsidRPr="00AD0647" w:rsidRDefault="004C6641" w:rsidP="004C6641">
            <w:pPr>
              <w:spacing w:after="0" w:line="240" w:lineRule="auto"/>
              <w:rPr>
                <w:b/>
                <w:szCs w:val="24"/>
                <w:lang w:eastAsia="en-GB"/>
              </w:rPr>
            </w:pPr>
            <w:r w:rsidRPr="00AD0647">
              <w:rPr>
                <w:b/>
                <w:szCs w:val="24"/>
                <w:lang w:eastAsia="en-GB"/>
              </w:rPr>
              <w:t xml:space="preserve">HR/GRPC </w:t>
            </w:r>
          </w:p>
        </w:tc>
        <w:tc>
          <w:tcPr>
            <w:tcW w:w="2977" w:type="dxa"/>
            <w:tcBorders>
              <w:top w:val="single" w:sz="4" w:space="0" w:color="auto"/>
              <w:left w:val="single" w:sz="4" w:space="0" w:color="auto"/>
              <w:bottom w:val="single" w:sz="4" w:space="0" w:color="auto"/>
              <w:right w:val="single" w:sz="4" w:space="0" w:color="auto"/>
            </w:tcBorders>
            <w:hideMark/>
          </w:tcPr>
          <w:p w14:paraId="4D445529" w14:textId="77777777" w:rsidR="004C6641" w:rsidRPr="00AD0647" w:rsidRDefault="004C6641" w:rsidP="004C6641">
            <w:pPr>
              <w:spacing w:after="0" w:line="240" w:lineRule="auto"/>
              <w:rPr>
                <w:sz w:val="22"/>
                <w:lang w:eastAsia="en-GB"/>
              </w:rPr>
            </w:pPr>
            <w:r w:rsidRPr="00AD0647">
              <w:rPr>
                <w:lang w:eastAsia="en-GB"/>
              </w:rPr>
              <w:t>GRPC</w:t>
            </w:r>
          </w:p>
          <w:p w14:paraId="5183D28C" w14:textId="77777777" w:rsidR="004C6641" w:rsidRPr="00AD0647" w:rsidRDefault="004C6641" w:rsidP="004C6641">
            <w:pPr>
              <w:spacing w:after="0" w:line="240" w:lineRule="auto"/>
              <w:rPr>
                <w:lang w:eastAsia="en-GB"/>
              </w:rPr>
            </w:pPr>
            <w:r w:rsidRPr="00AD0647">
              <w:rPr>
                <w:lang w:eastAsia="en-GB"/>
              </w:rPr>
              <w:t>Unions</w:t>
            </w:r>
          </w:p>
          <w:p w14:paraId="493117BB" w14:textId="77777777" w:rsidR="004C6641" w:rsidRPr="00AD0647" w:rsidRDefault="004C6641" w:rsidP="004C6641">
            <w:pPr>
              <w:spacing w:after="0" w:line="240" w:lineRule="auto"/>
              <w:rPr>
                <w:lang w:eastAsia="en-GB"/>
              </w:rPr>
            </w:pPr>
            <w:r w:rsidRPr="00AD0647">
              <w:rPr>
                <w:lang w:eastAsia="en-GB"/>
              </w:rPr>
              <w:t>Pay</w:t>
            </w:r>
          </w:p>
          <w:p w14:paraId="7B6836B9" w14:textId="77777777" w:rsidR="004C6641" w:rsidRPr="00AD0647" w:rsidRDefault="004C6641" w:rsidP="004C6641">
            <w:pPr>
              <w:spacing w:after="0" w:line="240" w:lineRule="auto"/>
              <w:rPr>
                <w:lang w:eastAsia="en-GB"/>
              </w:rPr>
            </w:pPr>
            <w:r w:rsidRPr="00AD0647">
              <w:rPr>
                <w:lang w:eastAsia="en-GB"/>
              </w:rPr>
              <w:t>Job Evaluations</w:t>
            </w:r>
          </w:p>
        </w:tc>
        <w:tc>
          <w:tcPr>
            <w:tcW w:w="2551" w:type="dxa"/>
            <w:tcBorders>
              <w:top w:val="single" w:sz="4" w:space="0" w:color="auto"/>
              <w:left w:val="single" w:sz="4" w:space="0" w:color="auto"/>
              <w:bottom w:val="single" w:sz="4" w:space="0" w:color="auto"/>
              <w:right w:val="single" w:sz="4" w:space="0" w:color="auto"/>
            </w:tcBorders>
          </w:tcPr>
          <w:p w14:paraId="68085695" w14:textId="20D59E48" w:rsidR="004C6641" w:rsidRPr="00AD0647" w:rsidRDefault="00047E4A" w:rsidP="004C6641">
            <w:pPr>
              <w:spacing w:after="0" w:line="240" w:lineRule="auto"/>
              <w:rPr>
                <w:lang w:eastAsia="en-GB"/>
              </w:rPr>
            </w:pPr>
            <w:r>
              <w:rPr>
                <w:lang w:eastAsia="en-GB"/>
              </w:rPr>
              <w:t>Jacqui Kennedy</w:t>
            </w:r>
          </w:p>
          <w:p w14:paraId="22EE8A3E"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35E4866C" w14:textId="08B99AC2" w:rsidR="004C6641" w:rsidRPr="00AD0647" w:rsidRDefault="00B91CFD" w:rsidP="00047E4A">
            <w:pPr>
              <w:spacing w:after="0" w:line="240" w:lineRule="auto"/>
              <w:rPr>
                <w:lang w:eastAsia="en-GB"/>
              </w:rPr>
            </w:pPr>
            <w:r>
              <w:rPr>
                <w:lang w:eastAsia="en-GB"/>
              </w:rPr>
              <w:t xml:space="preserve">Kerry </w:t>
            </w:r>
            <w:r w:rsidR="00CF4619">
              <w:rPr>
                <w:lang w:eastAsia="en-GB"/>
              </w:rPr>
              <w:t>Reynolds</w:t>
            </w:r>
          </w:p>
        </w:tc>
        <w:tc>
          <w:tcPr>
            <w:tcW w:w="2693" w:type="dxa"/>
            <w:tcBorders>
              <w:top w:val="single" w:sz="4" w:space="0" w:color="auto"/>
              <w:left w:val="single" w:sz="4" w:space="0" w:color="auto"/>
              <w:bottom w:val="single" w:sz="4" w:space="0" w:color="auto"/>
              <w:right w:val="single" w:sz="4" w:space="0" w:color="auto"/>
            </w:tcBorders>
            <w:hideMark/>
          </w:tcPr>
          <w:p w14:paraId="1B05A95D" w14:textId="2312AC45"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36A4CC5B" w14:textId="4626ED2D" w:rsidR="007F6231" w:rsidRDefault="00386DEE" w:rsidP="004C6641">
            <w:pPr>
              <w:spacing w:after="0" w:line="240" w:lineRule="auto"/>
              <w:rPr>
                <w:lang w:eastAsia="en-GB"/>
              </w:rPr>
            </w:pPr>
            <w:r>
              <w:rPr>
                <w:lang w:eastAsia="en-GB"/>
              </w:rPr>
              <w:t>Stuart Gilmore</w:t>
            </w:r>
          </w:p>
          <w:p w14:paraId="4B6EBB75" w14:textId="71E21448" w:rsidR="00093344" w:rsidRDefault="00093344" w:rsidP="004C6641">
            <w:pPr>
              <w:spacing w:after="0" w:line="240" w:lineRule="auto"/>
              <w:rPr>
                <w:lang w:eastAsia="en-GB"/>
              </w:rPr>
            </w:pPr>
            <w:r>
              <w:rPr>
                <w:lang w:eastAsia="en-GB"/>
              </w:rPr>
              <w:t>Fiona Gillan</w:t>
            </w:r>
          </w:p>
          <w:p w14:paraId="416C51DD" w14:textId="7BC4595A" w:rsidR="004C6641" w:rsidRPr="00AD0647" w:rsidRDefault="004C6641" w:rsidP="004C6641">
            <w:pPr>
              <w:spacing w:after="0" w:line="240" w:lineRule="auto"/>
              <w:rPr>
                <w:lang w:eastAsia="en-GB"/>
              </w:rPr>
            </w:pPr>
            <w:r w:rsidRPr="00AD0647">
              <w:rPr>
                <w:lang w:eastAsia="en-GB"/>
              </w:rPr>
              <w:t>Lynne Gaw</w:t>
            </w:r>
          </w:p>
        </w:tc>
      </w:tr>
      <w:tr w:rsidR="002E7CC9" w:rsidRPr="00AD0647" w14:paraId="0D569CD1"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891B8"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392AFCE9" w14:textId="77777777" w:rsidR="004C6641" w:rsidRPr="00AD0647" w:rsidRDefault="004C6641" w:rsidP="004C6641">
            <w:pPr>
              <w:spacing w:after="0" w:line="240" w:lineRule="auto"/>
              <w:rPr>
                <w:b/>
                <w:szCs w:val="24"/>
                <w:lang w:eastAsia="en-GB"/>
              </w:rPr>
            </w:pPr>
            <w:r w:rsidRPr="00AD0647">
              <w:rPr>
                <w:b/>
                <w:szCs w:val="24"/>
                <w:lang w:eastAsia="en-GB"/>
              </w:rPr>
              <w:t>Governance</w:t>
            </w:r>
          </w:p>
        </w:tc>
        <w:tc>
          <w:tcPr>
            <w:tcW w:w="2977" w:type="dxa"/>
            <w:tcBorders>
              <w:top w:val="single" w:sz="4" w:space="0" w:color="auto"/>
              <w:left w:val="single" w:sz="4" w:space="0" w:color="auto"/>
              <w:bottom w:val="single" w:sz="4" w:space="0" w:color="auto"/>
              <w:right w:val="single" w:sz="4" w:space="0" w:color="auto"/>
            </w:tcBorders>
            <w:hideMark/>
          </w:tcPr>
          <w:p w14:paraId="35941443" w14:textId="77777777" w:rsidR="004C6641" w:rsidRPr="00AD0647" w:rsidRDefault="004C6641" w:rsidP="004C6641">
            <w:pPr>
              <w:spacing w:after="0" w:line="240" w:lineRule="auto"/>
              <w:rPr>
                <w:lang w:eastAsia="en-GB"/>
              </w:rPr>
            </w:pPr>
            <w:r w:rsidRPr="00AD0647">
              <w:rPr>
                <w:lang w:eastAsia="en-GB"/>
              </w:rPr>
              <w:t>Partnership Agreement</w:t>
            </w:r>
          </w:p>
        </w:tc>
        <w:tc>
          <w:tcPr>
            <w:tcW w:w="2551" w:type="dxa"/>
            <w:tcBorders>
              <w:top w:val="single" w:sz="4" w:space="0" w:color="auto"/>
              <w:left w:val="single" w:sz="4" w:space="0" w:color="auto"/>
              <w:bottom w:val="single" w:sz="4" w:space="0" w:color="auto"/>
              <w:right w:val="single" w:sz="4" w:space="0" w:color="auto"/>
            </w:tcBorders>
          </w:tcPr>
          <w:p w14:paraId="0CDA2629" w14:textId="77777777" w:rsidR="004C6641" w:rsidRPr="00AD0647" w:rsidRDefault="004C6641" w:rsidP="004C6641">
            <w:pPr>
              <w:spacing w:after="0" w:line="240" w:lineRule="auto"/>
              <w:rPr>
                <w:lang w:eastAsia="en-GB"/>
              </w:rPr>
            </w:pPr>
            <w:r w:rsidRPr="00AD0647">
              <w:rPr>
                <w:lang w:eastAsia="en-GB"/>
              </w:rPr>
              <w:t>Priscilla Rooney</w:t>
            </w:r>
          </w:p>
          <w:p w14:paraId="27F6A1E0" w14:textId="77777777" w:rsidR="004C6641" w:rsidRPr="00AD0647" w:rsidRDefault="004C6641" w:rsidP="004C6641">
            <w:pPr>
              <w:spacing w:after="0" w:line="240" w:lineRule="auto"/>
              <w:rPr>
                <w:lang w:eastAsia="en-GB"/>
              </w:rPr>
            </w:pPr>
          </w:p>
          <w:p w14:paraId="3BACE3F2"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72B17F05" w14:textId="3E3B3FDC" w:rsidR="004C6641" w:rsidRPr="00AD0647" w:rsidRDefault="00600C01" w:rsidP="00065852">
            <w:pPr>
              <w:spacing w:after="0" w:line="240" w:lineRule="auto"/>
              <w:rPr>
                <w:lang w:eastAsia="en-GB"/>
              </w:rPr>
            </w:pPr>
            <w:r>
              <w:rPr>
                <w:lang w:eastAsia="en-GB"/>
              </w:rPr>
              <w:t>Hannah Boyd</w:t>
            </w:r>
          </w:p>
        </w:tc>
        <w:tc>
          <w:tcPr>
            <w:tcW w:w="2693" w:type="dxa"/>
            <w:tcBorders>
              <w:top w:val="single" w:sz="4" w:space="0" w:color="auto"/>
              <w:left w:val="single" w:sz="4" w:space="0" w:color="auto"/>
              <w:bottom w:val="single" w:sz="4" w:space="0" w:color="auto"/>
              <w:right w:val="single" w:sz="4" w:space="0" w:color="auto"/>
            </w:tcBorders>
            <w:hideMark/>
          </w:tcPr>
          <w:p w14:paraId="1E62E74B" w14:textId="52FAFB2D"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0414B8FC" w14:textId="69285675" w:rsidR="007F6231" w:rsidRDefault="00386DEE" w:rsidP="004C6641">
            <w:pPr>
              <w:spacing w:after="0" w:line="240" w:lineRule="auto"/>
              <w:rPr>
                <w:lang w:eastAsia="en-GB"/>
              </w:rPr>
            </w:pPr>
            <w:r>
              <w:rPr>
                <w:lang w:eastAsia="en-GB"/>
              </w:rPr>
              <w:t>Stuart Gilmore</w:t>
            </w:r>
          </w:p>
          <w:p w14:paraId="78507719" w14:textId="141175C6" w:rsidR="00B13E08" w:rsidRDefault="00B13E08" w:rsidP="004C6641">
            <w:pPr>
              <w:spacing w:after="0" w:line="240" w:lineRule="auto"/>
              <w:rPr>
                <w:lang w:eastAsia="en-GB"/>
              </w:rPr>
            </w:pPr>
            <w:r>
              <w:rPr>
                <w:lang w:eastAsia="en-GB"/>
              </w:rPr>
              <w:t>Fiona Gillan</w:t>
            </w:r>
          </w:p>
          <w:p w14:paraId="44946E41" w14:textId="17D29116" w:rsidR="004C6641" w:rsidRPr="00AD0647" w:rsidRDefault="004C6641" w:rsidP="004C6641">
            <w:pPr>
              <w:spacing w:after="0" w:line="240" w:lineRule="auto"/>
              <w:rPr>
                <w:lang w:eastAsia="en-GB"/>
              </w:rPr>
            </w:pPr>
            <w:r w:rsidRPr="00AD0647">
              <w:rPr>
                <w:lang w:eastAsia="en-GB"/>
              </w:rPr>
              <w:t>Lynne Gaw</w:t>
            </w:r>
          </w:p>
        </w:tc>
      </w:tr>
      <w:tr w:rsidR="002E7CC9" w:rsidRPr="00AD0647" w14:paraId="60121591"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AB24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1270C8A" w14:textId="1B821AAC" w:rsidR="004C6641" w:rsidRPr="00AD0647" w:rsidRDefault="00B13E08" w:rsidP="004C6641">
            <w:pPr>
              <w:spacing w:after="0" w:line="240" w:lineRule="auto"/>
              <w:rPr>
                <w:b/>
                <w:szCs w:val="24"/>
                <w:lang w:eastAsia="en-GB"/>
              </w:rPr>
            </w:pPr>
            <w:r>
              <w:rPr>
                <w:b/>
                <w:szCs w:val="24"/>
                <w:lang w:eastAsia="en-GB"/>
              </w:rPr>
              <w:t xml:space="preserve">Assurance </w:t>
            </w:r>
            <w:r w:rsidR="004C6641" w:rsidRPr="00AD0647">
              <w:rPr>
                <w:b/>
                <w:szCs w:val="24"/>
                <w:lang w:eastAsia="en-GB"/>
              </w:rPr>
              <w:t>Meetings</w:t>
            </w:r>
          </w:p>
        </w:tc>
        <w:tc>
          <w:tcPr>
            <w:tcW w:w="2977" w:type="dxa"/>
            <w:tcBorders>
              <w:top w:val="single" w:sz="4" w:space="0" w:color="auto"/>
              <w:left w:val="single" w:sz="4" w:space="0" w:color="auto"/>
              <w:bottom w:val="single" w:sz="4" w:space="0" w:color="auto"/>
              <w:right w:val="single" w:sz="4" w:space="0" w:color="auto"/>
            </w:tcBorders>
            <w:hideMark/>
          </w:tcPr>
          <w:p w14:paraId="6218D86E" w14:textId="77777777" w:rsidR="004C6641" w:rsidRPr="00AD0647" w:rsidRDefault="004C6641" w:rsidP="004C6641">
            <w:pPr>
              <w:spacing w:after="0" w:line="240" w:lineRule="auto"/>
              <w:rPr>
                <w:sz w:val="22"/>
                <w:lang w:eastAsia="en-GB"/>
              </w:rPr>
            </w:pPr>
            <w:r w:rsidRPr="00AD0647">
              <w:rPr>
                <w:lang w:eastAsia="en-GB"/>
              </w:rPr>
              <w:t>Review of:</w:t>
            </w:r>
          </w:p>
          <w:p w14:paraId="6E33ED0B" w14:textId="77777777" w:rsidR="004C6641" w:rsidRPr="00AD0647" w:rsidRDefault="004C6641" w:rsidP="004C6641">
            <w:pPr>
              <w:spacing w:after="0" w:line="240" w:lineRule="auto"/>
              <w:jc w:val="left"/>
              <w:rPr>
                <w:lang w:eastAsia="en-GB"/>
              </w:rPr>
            </w:pPr>
            <w:r w:rsidRPr="00AD0647">
              <w:rPr>
                <w:lang w:eastAsia="en-GB"/>
              </w:rPr>
              <w:t xml:space="preserve"> •financial/operating performance of NITHC &amp; subsidiaries;</w:t>
            </w:r>
          </w:p>
          <w:p w14:paraId="5919AD37" w14:textId="77777777" w:rsidR="004C6641" w:rsidRPr="00AD0647" w:rsidRDefault="004C6641" w:rsidP="004C6641">
            <w:pPr>
              <w:spacing w:after="0" w:line="240" w:lineRule="auto"/>
              <w:jc w:val="left"/>
              <w:rPr>
                <w:lang w:eastAsia="en-GB"/>
              </w:rPr>
            </w:pPr>
            <w:r w:rsidRPr="00AD0647">
              <w:rPr>
                <w:lang w:eastAsia="en-GB"/>
              </w:rPr>
              <w:t>•projected financial /operating outturn position of NITHC and subsidiaries;</w:t>
            </w:r>
          </w:p>
          <w:p w14:paraId="4916F850" w14:textId="77777777" w:rsidR="004C6641" w:rsidRPr="00AD0647" w:rsidRDefault="004C6641" w:rsidP="004C6641">
            <w:pPr>
              <w:spacing w:after="0" w:line="240" w:lineRule="auto"/>
              <w:jc w:val="left"/>
              <w:rPr>
                <w:lang w:eastAsia="en-GB"/>
              </w:rPr>
            </w:pPr>
            <w:r w:rsidRPr="00AD0647">
              <w:rPr>
                <w:lang w:eastAsia="en-GB"/>
              </w:rPr>
              <w:t>•capital programme and discuss the status of Economic Appraisals and outline Business Cases;</w:t>
            </w:r>
          </w:p>
          <w:p w14:paraId="36261A80" w14:textId="77777777" w:rsidR="004C6641" w:rsidRPr="00AD0647" w:rsidRDefault="004C6641" w:rsidP="004C6641">
            <w:pPr>
              <w:spacing w:after="0" w:line="240" w:lineRule="auto"/>
              <w:jc w:val="left"/>
              <w:rPr>
                <w:lang w:eastAsia="en-GB"/>
              </w:rPr>
            </w:pPr>
            <w:r w:rsidRPr="00AD0647">
              <w:rPr>
                <w:lang w:eastAsia="en-GB"/>
              </w:rPr>
              <w:t>•consideration of relevant policy developments.</w:t>
            </w:r>
          </w:p>
          <w:p w14:paraId="1140ED08" w14:textId="77777777" w:rsidR="004C6641" w:rsidRPr="00AD0647" w:rsidRDefault="004C6641" w:rsidP="004C6641">
            <w:pPr>
              <w:spacing w:after="0" w:line="240" w:lineRule="auto"/>
              <w:jc w:val="left"/>
              <w:rPr>
                <w:lang w:eastAsia="en-GB"/>
              </w:rPr>
            </w:pPr>
          </w:p>
        </w:tc>
        <w:tc>
          <w:tcPr>
            <w:tcW w:w="2551" w:type="dxa"/>
            <w:tcBorders>
              <w:top w:val="single" w:sz="4" w:space="0" w:color="auto"/>
              <w:left w:val="single" w:sz="4" w:space="0" w:color="auto"/>
              <w:bottom w:val="single" w:sz="4" w:space="0" w:color="auto"/>
              <w:right w:val="single" w:sz="4" w:space="0" w:color="auto"/>
            </w:tcBorders>
          </w:tcPr>
          <w:p w14:paraId="02D208D4" w14:textId="3C534AD8" w:rsidR="004C6641" w:rsidRPr="00AD0647" w:rsidRDefault="00702AEB" w:rsidP="004C6641">
            <w:pPr>
              <w:spacing w:after="0" w:line="240" w:lineRule="auto"/>
              <w:rPr>
                <w:lang w:eastAsia="en-GB"/>
              </w:rPr>
            </w:pPr>
            <w:r>
              <w:rPr>
                <w:lang w:eastAsia="en-GB"/>
              </w:rPr>
              <w:t>Ronan O’Doherty</w:t>
            </w:r>
          </w:p>
          <w:p w14:paraId="4EA953FA" w14:textId="77777777" w:rsidR="004C6641" w:rsidRPr="00AD0647" w:rsidRDefault="004C6641" w:rsidP="004C6641">
            <w:pPr>
              <w:spacing w:after="0" w:line="240" w:lineRule="auto"/>
              <w:rPr>
                <w:lang w:eastAsia="en-GB"/>
              </w:rPr>
            </w:pPr>
          </w:p>
          <w:p w14:paraId="5107890B" w14:textId="77777777" w:rsidR="004C6641" w:rsidRPr="00AD0647" w:rsidRDefault="004C6641" w:rsidP="004C6641">
            <w:pPr>
              <w:spacing w:after="0" w:line="240" w:lineRule="auto"/>
              <w:rPr>
                <w:lang w:eastAsia="en-GB"/>
              </w:rPr>
            </w:pPr>
          </w:p>
          <w:p w14:paraId="29215911" w14:textId="77777777" w:rsidR="004C6641" w:rsidRPr="00AD0647" w:rsidRDefault="004C6641" w:rsidP="004C6641">
            <w:pPr>
              <w:spacing w:after="0" w:line="240" w:lineRule="auto"/>
              <w:rPr>
                <w:lang w:eastAsia="en-GB"/>
              </w:rPr>
            </w:pPr>
            <w:r w:rsidRPr="00AD0647">
              <w:rPr>
                <w:lang w:eastAsia="en-GB"/>
              </w:rPr>
              <w:t>Priscilla Rooney</w:t>
            </w:r>
          </w:p>
          <w:p w14:paraId="7F62B47E"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08B34561" w14:textId="61C08BD0" w:rsidR="00F6085C" w:rsidRPr="00AD0647" w:rsidRDefault="00CF4619" w:rsidP="00CF4619">
            <w:pPr>
              <w:spacing w:after="0" w:line="240" w:lineRule="auto"/>
              <w:rPr>
                <w:lang w:eastAsia="en-GB"/>
              </w:rPr>
            </w:pPr>
            <w:r>
              <w:rPr>
                <w:lang w:eastAsia="en-GB"/>
              </w:rPr>
              <w:t>Linda Neilan</w:t>
            </w:r>
          </w:p>
        </w:tc>
        <w:tc>
          <w:tcPr>
            <w:tcW w:w="2693" w:type="dxa"/>
            <w:tcBorders>
              <w:top w:val="single" w:sz="4" w:space="0" w:color="auto"/>
              <w:left w:val="single" w:sz="4" w:space="0" w:color="auto"/>
              <w:bottom w:val="single" w:sz="4" w:space="0" w:color="auto"/>
              <w:right w:val="single" w:sz="4" w:space="0" w:color="auto"/>
            </w:tcBorders>
            <w:hideMark/>
          </w:tcPr>
          <w:p w14:paraId="60795A9A" w14:textId="2F19AC95"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340E60B4" w14:textId="17FDE288" w:rsidR="007F6231" w:rsidRDefault="00386DEE" w:rsidP="004C6641">
            <w:pPr>
              <w:spacing w:after="0" w:line="240" w:lineRule="auto"/>
              <w:rPr>
                <w:lang w:eastAsia="en-GB"/>
              </w:rPr>
            </w:pPr>
            <w:r>
              <w:rPr>
                <w:lang w:eastAsia="en-GB"/>
              </w:rPr>
              <w:t>Stuart Gilmore</w:t>
            </w:r>
          </w:p>
          <w:p w14:paraId="5A517025" w14:textId="2CF9E367" w:rsidR="00B13E08" w:rsidRDefault="00B13E08" w:rsidP="004C6641">
            <w:pPr>
              <w:spacing w:after="0" w:line="240" w:lineRule="auto"/>
              <w:rPr>
                <w:lang w:eastAsia="en-GB"/>
              </w:rPr>
            </w:pPr>
            <w:r>
              <w:rPr>
                <w:lang w:eastAsia="en-GB"/>
              </w:rPr>
              <w:t>Fiona Gillan</w:t>
            </w:r>
          </w:p>
          <w:p w14:paraId="565D9B0D" w14:textId="0179ADD4" w:rsidR="004C6641" w:rsidRPr="00AD0647" w:rsidRDefault="004C6641" w:rsidP="004C6641">
            <w:pPr>
              <w:spacing w:after="0" w:line="240" w:lineRule="auto"/>
              <w:rPr>
                <w:lang w:eastAsia="en-GB"/>
              </w:rPr>
            </w:pPr>
            <w:r w:rsidRPr="00AD0647">
              <w:rPr>
                <w:lang w:eastAsia="en-GB"/>
              </w:rPr>
              <w:t>Lynne Gaw</w:t>
            </w:r>
          </w:p>
        </w:tc>
      </w:tr>
      <w:tr w:rsidR="002E7CC9" w:rsidRPr="00AD0647" w14:paraId="49F01A32"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23F55"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tcPr>
          <w:p w14:paraId="0CD469B0" w14:textId="77777777" w:rsidR="004C6641" w:rsidRPr="00AD0647" w:rsidRDefault="004C6641" w:rsidP="004C6641">
            <w:pPr>
              <w:spacing w:after="0" w:line="240" w:lineRule="auto"/>
              <w:rPr>
                <w:b/>
                <w:szCs w:val="24"/>
                <w:lang w:eastAsia="en-GB"/>
              </w:rPr>
            </w:pPr>
            <w:r w:rsidRPr="00AD0647">
              <w:rPr>
                <w:b/>
                <w:szCs w:val="24"/>
                <w:lang w:eastAsia="en-GB"/>
              </w:rPr>
              <w:t>Audit Matters</w:t>
            </w:r>
          </w:p>
          <w:p w14:paraId="4BE73531" w14:textId="77777777" w:rsidR="004C6641" w:rsidRPr="00AD0647" w:rsidRDefault="004C6641" w:rsidP="004C6641">
            <w:pPr>
              <w:spacing w:after="0" w:line="240" w:lineRule="auto"/>
              <w:rPr>
                <w:szCs w:val="24"/>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7FF071BD" w14:textId="77777777" w:rsidR="004C6641" w:rsidRPr="00AD0647" w:rsidRDefault="004C6641" w:rsidP="004C6641">
            <w:pPr>
              <w:spacing w:after="0" w:line="240" w:lineRule="auto"/>
              <w:rPr>
                <w:sz w:val="22"/>
                <w:lang w:eastAsia="en-GB"/>
              </w:rPr>
            </w:pPr>
            <w:r w:rsidRPr="00AD0647">
              <w:rPr>
                <w:lang w:eastAsia="en-GB"/>
              </w:rPr>
              <w:t>BARC</w:t>
            </w:r>
          </w:p>
          <w:p w14:paraId="464850CD" w14:textId="77777777" w:rsidR="004C6641" w:rsidRPr="00AD0647" w:rsidRDefault="004C6641" w:rsidP="004C6641">
            <w:pPr>
              <w:spacing w:after="0" w:line="240" w:lineRule="auto"/>
              <w:rPr>
                <w:lang w:eastAsia="en-GB"/>
              </w:rPr>
            </w:pPr>
            <w:r w:rsidRPr="00AD0647">
              <w:rPr>
                <w:lang w:eastAsia="en-GB"/>
              </w:rPr>
              <w:t>Internal Audit</w:t>
            </w:r>
          </w:p>
          <w:p w14:paraId="5F50AD1A" w14:textId="77777777" w:rsidR="004C6641" w:rsidRPr="00AD0647" w:rsidRDefault="004C6641" w:rsidP="004C6641">
            <w:pPr>
              <w:spacing w:after="0" w:line="240" w:lineRule="auto"/>
              <w:rPr>
                <w:lang w:eastAsia="en-GB"/>
              </w:rPr>
            </w:pPr>
            <w:r w:rsidRPr="00AD0647">
              <w:rPr>
                <w:lang w:eastAsia="en-GB"/>
              </w:rPr>
              <w:t>AO/assurance</w:t>
            </w:r>
          </w:p>
        </w:tc>
        <w:tc>
          <w:tcPr>
            <w:tcW w:w="2551" w:type="dxa"/>
            <w:tcBorders>
              <w:top w:val="single" w:sz="4" w:space="0" w:color="auto"/>
              <w:left w:val="single" w:sz="4" w:space="0" w:color="auto"/>
              <w:bottom w:val="single" w:sz="4" w:space="0" w:color="auto"/>
              <w:right w:val="single" w:sz="4" w:space="0" w:color="auto"/>
            </w:tcBorders>
          </w:tcPr>
          <w:p w14:paraId="350D961D" w14:textId="3A0F8EDD" w:rsidR="004C6641" w:rsidRPr="00AD0647" w:rsidRDefault="00702AEB" w:rsidP="004C6641">
            <w:pPr>
              <w:spacing w:after="0" w:line="240" w:lineRule="auto"/>
              <w:rPr>
                <w:lang w:eastAsia="en-GB"/>
              </w:rPr>
            </w:pPr>
            <w:r>
              <w:rPr>
                <w:lang w:eastAsia="en-GB"/>
              </w:rPr>
              <w:t>Ronan O’Doherty</w:t>
            </w:r>
          </w:p>
          <w:p w14:paraId="65449DF1"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146C045D" w14:textId="77777777" w:rsidR="004C6641" w:rsidRDefault="004C6641" w:rsidP="004C6641">
            <w:pPr>
              <w:spacing w:after="0" w:line="240" w:lineRule="auto"/>
              <w:rPr>
                <w:lang w:eastAsia="en-GB"/>
              </w:rPr>
            </w:pPr>
            <w:r w:rsidRPr="00AD0647">
              <w:rPr>
                <w:lang w:eastAsia="en-GB"/>
              </w:rPr>
              <w:t>Alistair Wilson</w:t>
            </w:r>
          </w:p>
          <w:p w14:paraId="09EF18CF" w14:textId="77777777" w:rsidR="00F6085C" w:rsidRPr="00AD0647" w:rsidRDefault="00F6085C" w:rsidP="004C6641">
            <w:pPr>
              <w:spacing w:after="0" w:line="240" w:lineRule="auto"/>
              <w:rPr>
                <w:lang w:eastAsia="en-GB"/>
              </w:rPr>
            </w:pPr>
          </w:p>
          <w:p w14:paraId="0EF02726"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E1A9B99" w14:textId="407917AF"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3BB22D26" w14:textId="67F0047B" w:rsidR="007F6231" w:rsidRDefault="00386DEE" w:rsidP="00E62147">
            <w:pPr>
              <w:spacing w:after="0" w:line="240" w:lineRule="auto"/>
              <w:rPr>
                <w:lang w:eastAsia="en-GB"/>
              </w:rPr>
            </w:pPr>
            <w:r>
              <w:rPr>
                <w:lang w:eastAsia="en-GB"/>
              </w:rPr>
              <w:t>Stuart Gilmore</w:t>
            </w:r>
          </w:p>
          <w:p w14:paraId="0078A463" w14:textId="3C46F92C" w:rsidR="00B13E08" w:rsidRDefault="00B13E08" w:rsidP="00E62147">
            <w:pPr>
              <w:spacing w:after="0" w:line="240" w:lineRule="auto"/>
              <w:rPr>
                <w:lang w:eastAsia="en-GB"/>
              </w:rPr>
            </w:pPr>
            <w:r>
              <w:rPr>
                <w:lang w:eastAsia="en-GB"/>
              </w:rPr>
              <w:t>Fiona Gillan</w:t>
            </w:r>
          </w:p>
          <w:p w14:paraId="3AC59BA0" w14:textId="04CCB115" w:rsidR="004C6641" w:rsidRPr="00AD0647" w:rsidRDefault="004C6641" w:rsidP="00E62147">
            <w:pPr>
              <w:spacing w:after="0" w:line="240" w:lineRule="auto"/>
              <w:rPr>
                <w:lang w:eastAsia="en-GB"/>
              </w:rPr>
            </w:pPr>
            <w:r w:rsidRPr="00AD0647">
              <w:rPr>
                <w:lang w:eastAsia="en-GB"/>
              </w:rPr>
              <w:t>Lynne Gaw</w:t>
            </w:r>
          </w:p>
        </w:tc>
      </w:tr>
      <w:tr w:rsidR="002E7CC9" w:rsidRPr="00AD0647" w14:paraId="79378799"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9DE89"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bookmarkStart w:id="33" w:name="_Hlk164848231"/>
          </w:p>
        </w:tc>
        <w:tc>
          <w:tcPr>
            <w:tcW w:w="2268" w:type="dxa"/>
            <w:tcBorders>
              <w:top w:val="single" w:sz="4" w:space="0" w:color="auto"/>
              <w:left w:val="single" w:sz="4" w:space="0" w:color="auto"/>
              <w:bottom w:val="single" w:sz="4" w:space="0" w:color="auto"/>
              <w:right w:val="single" w:sz="4" w:space="0" w:color="auto"/>
            </w:tcBorders>
            <w:hideMark/>
          </w:tcPr>
          <w:p w14:paraId="304AF69A" w14:textId="77777777" w:rsidR="004C6641" w:rsidRPr="00AD0647" w:rsidRDefault="004C6641" w:rsidP="004C6641">
            <w:pPr>
              <w:spacing w:after="0" w:line="240" w:lineRule="auto"/>
              <w:rPr>
                <w:b/>
                <w:szCs w:val="24"/>
                <w:lang w:eastAsia="en-GB"/>
              </w:rPr>
            </w:pPr>
            <w:r w:rsidRPr="00AD0647">
              <w:rPr>
                <w:b/>
                <w:szCs w:val="24"/>
                <w:lang w:eastAsia="en-GB"/>
              </w:rPr>
              <w:t>Urgent</w:t>
            </w:r>
          </w:p>
          <w:p w14:paraId="46E33AB3" w14:textId="77777777" w:rsidR="004C6641" w:rsidRPr="00AD0647" w:rsidRDefault="004C6641" w:rsidP="004C6641">
            <w:pPr>
              <w:spacing w:after="0" w:line="240" w:lineRule="auto"/>
              <w:rPr>
                <w:szCs w:val="24"/>
                <w:lang w:eastAsia="en-GB"/>
              </w:rPr>
            </w:pPr>
            <w:r w:rsidRPr="00AD0647">
              <w:rPr>
                <w:b/>
                <w:szCs w:val="24"/>
                <w:lang w:eastAsia="en-GB"/>
              </w:rPr>
              <w:t>Political Matters, AQs &amp; Private Office cases</w:t>
            </w:r>
          </w:p>
        </w:tc>
        <w:tc>
          <w:tcPr>
            <w:tcW w:w="2977" w:type="dxa"/>
            <w:tcBorders>
              <w:top w:val="single" w:sz="4" w:space="0" w:color="auto"/>
              <w:left w:val="single" w:sz="4" w:space="0" w:color="auto"/>
              <w:bottom w:val="single" w:sz="4" w:space="0" w:color="auto"/>
              <w:right w:val="single" w:sz="4" w:space="0" w:color="auto"/>
            </w:tcBorders>
            <w:hideMark/>
          </w:tcPr>
          <w:p w14:paraId="164FCD2E" w14:textId="77777777" w:rsidR="004C6641" w:rsidRPr="00AD0647" w:rsidRDefault="004C6641" w:rsidP="004C6641">
            <w:pPr>
              <w:spacing w:after="0" w:line="240" w:lineRule="auto"/>
              <w:rPr>
                <w:lang w:eastAsia="en-GB"/>
              </w:rPr>
            </w:pPr>
            <w:r w:rsidRPr="00AD0647">
              <w:rPr>
                <w:lang w:eastAsia="en-GB"/>
              </w:rPr>
              <w:t>Issues with political significance</w:t>
            </w:r>
          </w:p>
          <w:p w14:paraId="0E7F239F" w14:textId="77777777" w:rsidR="004C6641" w:rsidRPr="00AD0647" w:rsidRDefault="004C6641" w:rsidP="004C6641">
            <w:pPr>
              <w:spacing w:after="0" w:line="240" w:lineRule="auto"/>
              <w:ind w:left="317" w:firstLine="0"/>
              <w:rPr>
                <w:lang w:eastAsia="en-GB"/>
              </w:rPr>
            </w:pPr>
            <w:r w:rsidRPr="00AD0647">
              <w:rPr>
                <w:lang w:eastAsia="en-GB"/>
              </w:rPr>
              <w:t>MLA contacts</w:t>
            </w:r>
          </w:p>
          <w:p w14:paraId="3E86504C" w14:textId="7E8F7BFA" w:rsidR="004C6641" w:rsidRPr="00AD0647" w:rsidRDefault="005949E2" w:rsidP="00F92CEE">
            <w:pPr>
              <w:spacing w:after="0" w:line="240" w:lineRule="auto"/>
              <w:jc w:val="left"/>
              <w:rPr>
                <w:lang w:eastAsia="en-GB"/>
              </w:rPr>
            </w:pPr>
            <w:r>
              <w:rPr>
                <w:lang w:eastAsia="en-GB"/>
              </w:rPr>
              <w:t>DfI</w:t>
            </w:r>
            <w:r w:rsidR="00F92CEE">
              <w:rPr>
                <w:lang w:eastAsia="en-GB"/>
              </w:rPr>
              <w:t xml:space="preserve"> </w:t>
            </w:r>
            <w:r>
              <w:rPr>
                <w:lang w:eastAsia="en-GB"/>
              </w:rPr>
              <w:t>Committee</w:t>
            </w:r>
            <w:r w:rsidR="00B13E08">
              <w:rPr>
                <w:lang w:eastAsia="en-GB"/>
              </w:rPr>
              <w:t xml:space="preserve"> </w:t>
            </w:r>
            <w:r w:rsidR="004C6641" w:rsidRPr="00AD0647">
              <w:rPr>
                <w:lang w:eastAsia="en-GB"/>
              </w:rPr>
              <w:t>Enquiries</w:t>
            </w:r>
          </w:p>
        </w:tc>
        <w:tc>
          <w:tcPr>
            <w:tcW w:w="2551" w:type="dxa"/>
            <w:tcBorders>
              <w:top w:val="single" w:sz="4" w:space="0" w:color="auto"/>
              <w:left w:val="single" w:sz="4" w:space="0" w:color="auto"/>
              <w:bottom w:val="single" w:sz="4" w:space="0" w:color="auto"/>
              <w:right w:val="single" w:sz="4" w:space="0" w:color="auto"/>
            </w:tcBorders>
          </w:tcPr>
          <w:p w14:paraId="41C33CAA" w14:textId="73B3694E" w:rsidR="004C6641" w:rsidRDefault="00702AEB" w:rsidP="004C6641">
            <w:pPr>
              <w:spacing w:after="0" w:line="240" w:lineRule="auto"/>
              <w:rPr>
                <w:lang w:eastAsia="en-GB"/>
              </w:rPr>
            </w:pPr>
            <w:r>
              <w:rPr>
                <w:lang w:eastAsia="en-GB"/>
              </w:rPr>
              <w:t>Jacqui Kennedy</w:t>
            </w:r>
          </w:p>
          <w:p w14:paraId="23BEB183" w14:textId="224965A2" w:rsidR="00CF4619" w:rsidRPr="00AD0647" w:rsidRDefault="00CF4619" w:rsidP="004C6641">
            <w:pPr>
              <w:spacing w:after="0" w:line="240" w:lineRule="auto"/>
              <w:rPr>
                <w:lang w:eastAsia="en-GB"/>
              </w:rPr>
            </w:pPr>
            <w:r>
              <w:rPr>
                <w:lang w:eastAsia="en-GB"/>
              </w:rPr>
              <w:t>David Cowan</w:t>
            </w:r>
          </w:p>
          <w:p w14:paraId="79FB236A"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328A9BA9" w14:textId="7C923C8C" w:rsidR="004C6641" w:rsidRPr="00AD0647" w:rsidRDefault="004C6641" w:rsidP="004C6641">
            <w:pPr>
              <w:spacing w:after="0" w:line="240" w:lineRule="auto"/>
              <w:rPr>
                <w:lang w:eastAsia="en-GB"/>
              </w:rPr>
            </w:pPr>
          </w:p>
          <w:p w14:paraId="0A826981" w14:textId="74D0E250" w:rsidR="004C6641" w:rsidRPr="00AD0647" w:rsidRDefault="00CF4619" w:rsidP="004C6641">
            <w:pPr>
              <w:spacing w:after="0" w:line="240" w:lineRule="auto"/>
              <w:rPr>
                <w:lang w:eastAsia="en-GB"/>
              </w:rPr>
            </w:pPr>
            <w:r>
              <w:rPr>
                <w:lang w:eastAsia="en-GB"/>
              </w:rPr>
              <w:t>Priscilla Rooney</w:t>
            </w:r>
          </w:p>
        </w:tc>
        <w:tc>
          <w:tcPr>
            <w:tcW w:w="2693" w:type="dxa"/>
            <w:tcBorders>
              <w:top w:val="single" w:sz="4" w:space="0" w:color="auto"/>
              <w:left w:val="single" w:sz="4" w:space="0" w:color="auto"/>
              <w:bottom w:val="single" w:sz="4" w:space="0" w:color="auto"/>
              <w:right w:val="single" w:sz="4" w:space="0" w:color="auto"/>
            </w:tcBorders>
          </w:tcPr>
          <w:p w14:paraId="48163BCD" w14:textId="21B18E08" w:rsidR="004C6641" w:rsidRPr="00AD0647" w:rsidRDefault="00702AEB" w:rsidP="004C6641">
            <w:pPr>
              <w:spacing w:after="0" w:line="240" w:lineRule="auto"/>
              <w:rPr>
                <w:lang w:eastAsia="en-GB"/>
              </w:rPr>
            </w:pPr>
            <w:r>
              <w:rPr>
                <w:lang w:eastAsia="en-GB"/>
              </w:rPr>
              <w:t>Denis McMahon</w:t>
            </w:r>
          </w:p>
          <w:p w14:paraId="01458D70" w14:textId="77777777" w:rsidR="004C6641" w:rsidRPr="00AD0647" w:rsidRDefault="004C6641" w:rsidP="004C6641">
            <w:pPr>
              <w:spacing w:after="0" w:line="240" w:lineRule="auto"/>
              <w:rPr>
                <w:lang w:eastAsia="en-GB"/>
              </w:rPr>
            </w:pPr>
          </w:p>
          <w:p w14:paraId="10FC6E2D" w14:textId="77777777" w:rsidR="00386DEE" w:rsidRDefault="00702AEB" w:rsidP="004C6641">
            <w:pPr>
              <w:spacing w:after="0" w:line="240" w:lineRule="auto"/>
              <w:rPr>
                <w:lang w:eastAsia="en-GB"/>
              </w:rPr>
            </w:pPr>
            <w:r>
              <w:rPr>
                <w:lang w:eastAsia="en-GB"/>
              </w:rPr>
              <w:t>Judith Andrews</w:t>
            </w:r>
          </w:p>
          <w:p w14:paraId="2423283A" w14:textId="77777777" w:rsidR="00386DEE" w:rsidRDefault="00386DEE" w:rsidP="004C6641">
            <w:pPr>
              <w:spacing w:after="0" w:line="240" w:lineRule="auto"/>
              <w:rPr>
                <w:lang w:eastAsia="en-GB"/>
              </w:rPr>
            </w:pPr>
          </w:p>
          <w:p w14:paraId="644FB204" w14:textId="491F668C"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tcPr>
          <w:p w14:paraId="03BA20C4" w14:textId="0DC64989" w:rsidR="00333205" w:rsidRPr="00AD0647" w:rsidRDefault="00333205" w:rsidP="007B15E1">
            <w:pPr>
              <w:spacing w:after="0" w:line="240" w:lineRule="auto"/>
              <w:rPr>
                <w:lang w:eastAsia="en-GB"/>
              </w:rPr>
            </w:pPr>
            <w:r>
              <w:rPr>
                <w:lang w:eastAsia="en-GB"/>
              </w:rPr>
              <w:t>Stuart Gilmore</w:t>
            </w:r>
          </w:p>
          <w:p w14:paraId="5215391E" w14:textId="129139BB" w:rsidR="004C6641" w:rsidRPr="00AD0647" w:rsidRDefault="004C6641" w:rsidP="004C6641">
            <w:pPr>
              <w:spacing w:after="0" w:line="240" w:lineRule="auto"/>
              <w:rPr>
                <w:lang w:eastAsia="en-GB"/>
              </w:rPr>
            </w:pPr>
            <w:r w:rsidRPr="00AD0647">
              <w:rPr>
                <w:lang w:eastAsia="en-GB"/>
              </w:rPr>
              <w:t>Graeme Banks</w:t>
            </w:r>
          </w:p>
          <w:p w14:paraId="289279D8" w14:textId="189BA345" w:rsidR="004C6641" w:rsidRPr="00AD0647" w:rsidRDefault="004C6641" w:rsidP="004C6641">
            <w:pPr>
              <w:spacing w:after="0" w:line="240" w:lineRule="auto"/>
              <w:rPr>
                <w:lang w:eastAsia="en-GB"/>
              </w:rPr>
            </w:pPr>
            <w:r w:rsidRPr="00AD0647">
              <w:rPr>
                <w:lang w:eastAsia="en-GB"/>
              </w:rPr>
              <w:t>(Rail safety)</w:t>
            </w:r>
          </w:p>
          <w:p w14:paraId="16590A52" w14:textId="77777777" w:rsidR="004C6641" w:rsidRPr="00AD0647" w:rsidRDefault="004C6641" w:rsidP="004C6641">
            <w:pPr>
              <w:spacing w:after="0" w:line="240" w:lineRule="auto"/>
              <w:rPr>
                <w:lang w:eastAsia="en-GB"/>
              </w:rPr>
            </w:pPr>
          </w:p>
          <w:p w14:paraId="66CA47F6" w14:textId="413DF4D0" w:rsidR="004C6641" w:rsidRPr="00AD0647" w:rsidRDefault="004C6641" w:rsidP="00D0386B">
            <w:pPr>
              <w:spacing w:after="0" w:line="240" w:lineRule="auto"/>
              <w:jc w:val="left"/>
              <w:rPr>
                <w:lang w:eastAsia="en-GB"/>
              </w:rPr>
            </w:pPr>
            <w:r w:rsidRPr="00AD0647">
              <w:rPr>
                <w:lang w:eastAsia="en-GB"/>
              </w:rPr>
              <w:t>Aine Gaughran (Media)</w:t>
            </w:r>
          </w:p>
        </w:tc>
      </w:tr>
      <w:bookmarkEnd w:id="33"/>
      <w:tr w:rsidR="002E7CC9" w:rsidRPr="00AD0647" w14:paraId="2BBED40C"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59F39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2FE3B1C4" w14:textId="77777777" w:rsidR="004C6641" w:rsidRPr="00AD0647" w:rsidRDefault="004C6641" w:rsidP="004C6641">
            <w:pPr>
              <w:spacing w:after="0" w:line="240" w:lineRule="auto"/>
              <w:rPr>
                <w:b/>
                <w:szCs w:val="24"/>
                <w:lang w:eastAsia="en-GB"/>
              </w:rPr>
            </w:pPr>
            <w:r w:rsidRPr="00AD0647">
              <w:rPr>
                <w:b/>
                <w:szCs w:val="24"/>
                <w:lang w:eastAsia="en-GB"/>
              </w:rPr>
              <w:t>Revenue/ Expenditure</w:t>
            </w:r>
          </w:p>
        </w:tc>
        <w:tc>
          <w:tcPr>
            <w:tcW w:w="2977" w:type="dxa"/>
            <w:tcBorders>
              <w:top w:val="single" w:sz="4" w:space="0" w:color="auto"/>
              <w:left w:val="single" w:sz="4" w:space="0" w:color="auto"/>
              <w:bottom w:val="single" w:sz="4" w:space="0" w:color="auto"/>
              <w:right w:val="single" w:sz="4" w:space="0" w:color="auto"/>
            </w:tcBorders>
            <w:hideMark/>
          </w:tcPr>
          <w:p w14:paraId="4D277CFA" w14:textId="6C36D46D" w:rsidR="004C6641" w:rsidRPr="00AD0647" w:rsidRDefault="00FD5956" w:rsidP="004C6641">
            <w:pPr>
              <w:spacing w:after="0" w:line="240" w:lineRule="auto"/>
              <w:rPr>
                <w:sz w:val="22"/>
                <w:lang w:eastAsia="en-GB"/>
              </w:rPr>
            </w:pPr>
            <w:r w:rsidRPr="00AD0647">
              <w:rPr>
                <w:lang w:eastAsia="en-GB"/>
              </w:rPr>
              <w:t>Corporate and Business Plan</w:t>
            </w:r>
          </w:p>
          <w:p w14:paraId="7EF25550" w14:textId="77777777" w:rsidR="004C6641" w:rsidRPr="00AD0647" w:rsidRDefault="004C6641" w:rsidP="004C6641">
            <w:pPr>
              <w:spacing w:after="0" w:line="240" w:lineRule="auto"/>
              <w:rPr>
                <w:lang w:eastAsia="en-GB"/>
              </w:rPr>
            </w:pPr>
            <w:r w:rsidRPr="00AD0647">
              <w:rPr>
                <w:lang w:eastAsia="en-GB"/>
              </w:rPr>
              <w:t>Monitoring Rounds</w:t>
            </w:r>
          </w:p>
          <w:p w14:paraId="31BFDDBE" w14:textId="77777777" w:rsidR="004C6641" w:rsidRPr="00AD0647" w:rsidRDefault="004C6641" w:rsidP="004C6641">
            <w:pPr>
              <w:spacing w:after="0" w:line="240" w:lineRule="auto"/>
              <w:rPr>
                <w:lang w:eastAsia="en-GB"/>
              </w:rPr>
            </w:pPr>
            <w:r w:rsidRPr="00AD0647">
              <w:rPr>
                <w:lang w:eastAsia="en-GB"/>
              </w:rPr>
              <w:t>Monthly Returns</w:t>
            </w:r>
          </w:p>
          <w:p w14:paraId="28AA8948" w14:textId="77777777" w:rsidR="004C6641" w:rsidRPr="00AD0647" w:rsidRDefault="004C6641" w:rsidP="004C6641">
            <w:pPr>
              <w:spacing w:after="0" w:line="240" w:lineRule="auto"/>
              <w:rPr>
                <w:lang w:eastAsia="en-GB"/>
              </w:rPr>
            </w:pPr>
            <w:r w:rsidRPr="00AD0647">
              <w:rPr>
                <w:lang w:eastAsia="en-GB"/>
              </w:rPr>
              <w:t>Procurements</w:t>
            </w:r>
          </w:p>
          <w:p w14:paraId="31615F08" w14:textId="77777777" w:rsidR="004C6641" w:rsidRPr="00AD0647" w:rsidRDefault="004C6641" w:rsidP="004C6641">
            <w:pPr>
              <w:spacing w:after="0" w:line="240" w:lineRule="auto"/>
              <w:rPr>
                <w:lang w:eastAsia="en-GB"/>
              </w:rPr>
            </w:pPr>
            <w:r w:rsidRPr="00AD0647">
              <w:rPr>
                <w:lang w:eastAsia="en-GB"/>
              </w:rPr>
              <w:t>STAs</w:t>
            </w:r>
          </w:p>
          <w:p w14:paraId="7F878181" w14:textId="77777777" w:rsidR="004C6641" w:rsidRPr="00AD0647" w:rsidRDefault="004C6641" w:rsidP="004C6641">
            <w:pPr>
              <w:spacing w:after="0" w:line="240" w:lineRule="auto"/>
              <w:rPr>
                <w:lang w:eastAsia="en-GB"/>
              </w:rPr>
            </w:pPr>
            <w:r w:rsidRPr="00AD0647">
              <w:rPr>
                <w:lang w:eastAsia="en-GB"/>
              </w:rPr>
              <w:t>Use of consultants</w:t>
            </w:r>
          </w:p>
        </w:tc>
        <w:tc>
          <w:tcPr>
            <w:tcW w:w="2551" w:type="dxa"/>
            <w:tcBorders>
              <w:top w:val="single" w:sz="4" w:space="0" w:color="auto"/>
              <w:left w:val="single" w:sz="4" w:space="0" w:color="auto"/>
              <w:bottom w:val="single" w:sz="4" w:space="0" w:color="auto"/>
              <w:right w:val="single" w:sz="4" w:space="0" w:color="auto"/>
            </w:tcBorders>
          </w:tcPr>
          <w:p w14:paraId="0C803CA2" w14:textId="6CC75C69" w:rsidR="004C6641" w:rsidRPr="00AD0647" w:rsidRDefault="00702AEB" w:rsidP="004C6641">
            <w:pPr>
              <w:spacing w:after="0" w:line="240" w:lineRule="auto"/>
              <w:rPr>
                <w:lang w:eastAsia="en-GB"/>
              </w:rPr>
            </w:pPr>
            <w:r>
              <w:rPr>
                <w:lang w:eastAsia="en-GB"/>
              </w:rPr>
              <w:t>Ronan O’Doherty</w:t>
            </w:r>
          </w:p>
          <w:p w14:paraId="2EA2D59D"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1CD6AA86" w14:textId="50F2B210" w:rsidR="004C6641" w:rsidRPr="00AD0647" w:rsidRDefault="004C6641" w:rsidP="00090DD6">
            <w:pPr>
              <w:spacing w:after="0" w:line="240" w:lineRule="auto"/>
              <w:ind w:left="0" w:firstLine="0"/>
              <w:rPr>
                <w:lang w:eastAsia="en-GB"/>
              </w:rPr>
            </w:pPr>
            <w:r w:rsidRPr="00AD0647">
              <w:rPr>
                <w:lang w:eastAsia="en-GB"/>
              </w:rPr>
              <w:t>Linda Neilan</w:t>
            </w:r>
          </w:p>
          <w:p w14:paraId="7258A49A" w14:textId="77777777" w:rsidR="004C6641" w:rsidRPr="00AD0647" w:rsidRDefault="004C6641" w:rsidP="004C6641">
            <w:pPr>
              <w:spacing w:after="0" w:line="240" w:lineRule="auto"/>
              <w:rPr>
                <w:color w:val="0563C1" w:themeColor="hyperlink"/>
                <w:u w:val="single"/>
                <w:lang w:eastAsia="en-GB"/>
              </w:rPr>
            </w:pPr>
          </w:p>
          <w:p w14:paraId="4DAFA48D"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664891C2" w14:textId="6E3B6DC3"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057AE31E" w14:textId="4CF24E66" w:rsidR="007F6231" w:rsidRDefault="00386DEE" w:rsidP="004C6641">
            <w:pPr>
              <w:spacing w:after="0" w:line="240" w:lineRule="auto"/>
              <w:rPr>
                <w:lang w:eastAsia="en-GB"/>
              </w:rPr>
            </w:pPr>
            <w:r>
              <w:rPr>
                <w:lang w:eastAsia="en-GB"/>
              </w:rPr>
              <w:t>Stuart Gilmore</w:t>
            </w:r>
          </w:p>
          <w:p w14:paraId="5139E99B" w14:textId="77777777" w:rsidR="00323B7E" w:rsidRDefault="00323B7E" w:rsidP="004C6641">
            <w:pPr>
              <w:spacing w:after="0" w:line="240" w:lineRule="auto"/>
              <w:rPr>
                <w:lang w:eastAsia="en-GB"/>
              </w:rPr>
            </w:pPr>
            <w:r>
              <w:rPr>
                <w:lang w:eastAsia="en-GB"/>
              </w:rPr>
              <w:t>Fiona Gillan</w:t>
            </w:r>
          </w:p>
          <w:p w14:paraId="2647CE37" w14:textId="2DDEA3AD" w:rsidR="004C6641" w:rsidRPr="00AD0647" w:rsidRDefault="004C6641" w:rsidP="004C6641">
            <w:pPr>
              <w:spacing w:after="0" w:line="240" w:lineRule="auto"/>
              <w:rPr>
                <w:lang w:eastAsia="en-GB"/>
              </w:rPr>
            </w:pPr>
            <w:r w:rsidRPr="00AD0647">
              <w:rPr>
                <w:lang w:eastAsia="en-GB"/>
              </w:rPr>
              <w:t>Lynne Gaw</w:t>
            </w:r>
          </w:p>
        </w:tc>
      </w:tr>
      <w:tr w:rsidR="002E7CC9" w:rsidRPr="00AD0647" w14:paraId="147453CF"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98F73"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F61065D" w14:textId="77777777" w:rsidR="004C6641" w:rsidRPr="00AD0647" w:rsidRDefault="004C6641" w:rsidP="004C6641">
            <w:pPr>
              <w:spacing w:after="0" w:line="240" w:lineRule="auto"/>
              <w:rPr>
                <w:b/>
                <w:szCs w:val="24"/>
                <w:lang w:eastAsia="en-GB"/>
              </w:rPr>
            </w:pPr>
            <w:r w:rsidRPr="00AD0647">
              <w:rPr>
                <w:b/>
                <w:szCs w:val="24"/>
                <w:lang w:eastAsia="en-GB"/>
              </w:rPr>
              <w:t>IS/IT &amp; Systems</w:t>
            </w:r>
          </w:p>
        </w:tc>
        <w:tc>
          <w:tcPr>
            <w:tcW w:w="2977" w:type="dxa"/>
            <w:tcBorders>
              <w:top w:val="single" w:sz="4" w:space="0" w:color="auto"/>
              <w:left w:val="single" w:sz="4" w:space="0" w:color="auto"/>
              <w:bottom w:val="single" w:sz="4" w:space="0" w:color="auto"/>
              <w:right w:val="single" w:sz="4" w:space="0" w:color="auto"/>
            </w:tcBorders>
            <w:hideMark/>
          </w:tcPr>
          <w:p w14:paraId="483E2AF3" w14:textId="77777777" w:rsidR="004C6641" w:rsidRPr="00AD0647" w:rsidRDefault="004C6641" w:rsidP="004C6641">
            <w:pPr>
              <w:spacing w:after="0" w:line="240" w:lineRule="auto"/>
              <w:rPr>
                <w:sz w:val="22"/>
                <w:lang w:eastAsia="en-GB"/>
              </w:rPr>
            </w:pPr>
            <w:r w:rsidRPr="00AD0647">
              <w:rPr>
                <w:lang w:eastAsia="en-GB"/>
              </w:rPr>
              <w:t>IS/IT Strategy</w:t>
            </w:r>
          </w:p>
          <w:p w14:paraId="14028E36" w14:textId="77777777" w:rsidR="004C6641" w:rsidRPr="00AD0647" w:rsidRDefault="004C6641" w:rsidP="004C6641">
            <w:pPr>
              <w:spacing w:after="0" w:line="240" w:lineRule="auto"/>
              <w:rPr>
                <w:lang w:eastAsia="en-GB"/>
              </w:rPr>
            </w:pPr>
            <w:r w:rsidRPr="00AD0647">
              <w:rPr>
                <w:lang w:eastAsia="en-GB"/>
              </w:rPr>
              <w:t>Systems problems</w:t>
            </w:r>
          </w:p>
          <w:p w14:paraId="4116709A" w14:textId="77777777" w:rsidR="004C6641" w:rsidRPr="00AD0647" w:rsidRDefault="004C6641" w:rsidP="004C6641">
            <w:pPr>
              <w:spacing w:after="0" w:line="240" w:lineRule="auto"/>
              <w:rPr>
                <w:lang w:eastAsia="en-GB"/>
              </w:rPr>
            </w:pPr>
            <w:r w:rsidRPr="00AD0647">
              <w:rPr>
                <w:lang w:eastAsia="en-GB"/>
              </w:rPr>
              <w:t>Integrated Ticketing</w:t>
            </w:r>
          </w:p>
        </w:tc>
        <w:tc>
          <w:tcPr>
            <w:tcW w:w="2551" w:type="dxa"/>
            <w:tcBorders>
              <w:top w:val="single" w:sz="4" w:space="0" w:color="auto"/>
              <w:left w:val="single" w:sz="4" w:space="0" w:color="auto"/>
              <w:bottom w:val="single" w:sz="4" w:space="0" w:color="auto"/>
              <w:right w:val="single" w:sz="4" w:space="0" w:color="auto"/>
            </w:tcBorders>
          </w:tcPr>
          <w:p w14:paraId="14EAACA0" w14:textId="026375EB" w:rsidR="004C6641" w:rsidRPr="00AD0647" w:rsidRDefault="00B9575F" w:rsidP="004C6641">
            <w:pPr>
              <w:spacing w:after="0" w:line="240" w:lineRule="auto"/>
              <w:rPr>
                <w:lang w:eastAsia="en-GB"/>
              </w:rPr>
            </w:pPr>
            <w:r>
              <w:rPr>
                <w:lang w:eastAsia="en-GB"/>
              </w:rPr>
              <w:t>David Cowan</w:t>
            </w:r>
          </w:p>
          <w:p w14:paraId="09ED2017"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68F4BB0A" w14:textId="77777777" w:rsidR="004C6641" w:rsidRPr="00AD0647" w:rsidRDefault="004C6641" w:rsidP="004C6641">
            <w:pPr>
              <w:spacing w:after="0" w:line="240" w:lineRule="auto"/>
              <w:rPr>
                <w:lang w:eastAsia="en-GB"/>
              </w:rPr>
            </w:pPr>
            <w:r w:rsidRPr="00AD0647">
              <w:rPr>
                <w:lang w:eastAsia="en-GB"/>
              </w:rPr>
              <w:t>Paul McGrattan</w:t>
            </w:r>
          </w:p>
          <w:p w14:paraId="0FB860AD" w14:textId="77777777" w:rsidR="004C6641" w:rsidRPr="00AD0647" w:rsidRDefault="004C6641" w:rsidP="004C6641">
            <w:pPr>
              <w:spacing w:after="0" w:line="240" w:lineRule="auto"/>
              <w:rPr>
                <w:lang w:eastAsia="en-GB"/>
              </w:rPr>
            </w:pPr>
          </w:p>
          <w:p w14:paraId="2F6191DC" w14:textId="77777777" w:rsidR="004C6641" w:rsidRPr="00AD0647" w:rsidRDefault="004C6641" w:rsidP="004C6641">
            <w:pPr>
              <w:spacing w:after="0" w:line="240" w:lineRule="auto"/>
              <w:rPr>
                <w:lang w:eastAsia="en-GB"/>
              </w:rPr>
            </w:pPr>
          </w:p>
          <w:p w14:paraId="4D256390"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E695F75" w14:textId="6ED90A08"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1B7FE4AC" w14:textId="73670163" w:rsidR="004C6641" w:rsidRPr="00AD0647" w:rsidRDefault="00386DEE" w:rsidP="004C6641">
            <w:pPr>
              <w:spacing w:after="0" w:line="240" w:lineRule="auto"/>
              <w:rPr>
                <w:lang w:eastAsia="en-GB"/>
              </w:rPr>
            </w:pPr>
            <w:r>
              <w:rPr>
                <w:lang w:eastAsia="en-GB"/>
              </w:rPr>
              <w:t>Stuart Gilmore</w:t>
            </w:r>
          </w:p>
        </w:tc>
      </w:tr>
      <w:tr w:rsidR="002E7CC9" w:rsidRPr="00AD0647" w14:paraId="1E4B590B"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BFDDF3"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4B2A47E" w14:textId="77777777" w:rsidR="004C6641" w:rsidRPr="00AD0647" w:rsidRDefault="004C6641" w:rsidP="004C6641">
            <w:pPr>
              <w:spacing w:after="0" w:line="240" w:lineRule="auto"/>
              <w:rPr>
                <w:b/>
                <w:szCs w:val="24"/>
                <w:lang w:eastAsia="en-GB"/>
              </w:rPr>
            </w:pPr>
            <w:r w:rsidRPr="00AD0647">
              <w:rPr>
                <w:b/>
                <w:szCs w:val="24"/>
                <w:lang w:eastAsia="en-GB"/>
              </w:rPr>
              <w:t xml:space="preserve">Service Operations </w:t>
            </w:r>
          </w:p>
        </w:tc>
        <w:tc>
          <w:tcPr>
            <w:tcW w:w="2977" w:type="dxa"/>
            <w:tcBorders>
              <w:top w:val="single" w:sz="4" w:space="0" w:color="auto"/>
              <w:left w:val="single" w:sz="4" w:space="0" w:color="auto"/>
              <w:bottom w:val="single" w:sz="4" w:space="0" w:color="auto"/>
              <w:right w:val="single" w:sz="4" w:space="0" w:color="auto"/>
            </w:tcBorders>
            <w:hideMark/>
          </w:tcPr>
          <w:p w14:paraId="645D6138" w14:textId="77777777" w:rsidR="004C6641" w:rsidRPr="00AD0647" w:rsidRDefault="004C6641" w:rsidP="004C6641">
            <w:pPr>
              <w:spacing w:after="0" w:line="240" w:lineRule="auto"/>
              <w:rPr>
                <w:sz w:val="22"/>
                <w:lang w:eastAsia="en-GB"/>
              </w:rPr>
            </w:pPr>
            <w:r w:rsidRPr="00AD0647">
              <w:rPr>
                <w:lang w:eastAsia="en-GB"/>
              </w:rPr>
              <w:t>Bus/Rail Service Delivery</w:t>
            </w:r>
          </w:p>
          <w:p w14:paraId="6D678D50" w14:textId="77777777" w:rsidR="004C6641" w:rsidRPr="00AD0647" w:rsidRDefault="004C6641" w:rsidP="004C6641">
            <w:pPr>
              <w:spacing w:after="0" w:line="240" w:lineRule="auto"/>
              <w:rPr>
                <w:lang w:eastAsia="en-GB"/>
              </w:rPr>
            </w:pPr>
            <w:r w:rsidRPr="00AD0647">
              <w:rPr>
                <w:lang w:eastAsia="en-GB"/>
              </w:rPr>
              <w:t>Performance Issues</w:t>
            </w:r>
          </w:p>
          <w:p w14:paraId="38A52C73" w14:textId="77777777" w:rsidR="004C6641" w:rsidRPr="00AD0647" w:rsidRDefault="004C6641" w:rsidP="004C6641">
            <w:pPr>
              <w:spacing w:after="0" w:line="240" w:lineRule="auto"/>
              <w:rPr>
                <w:lang w:eastAsia="en-GB"/>
              </w:rPr>
            </w:pPr>
            <w:r w:rsidRPr="00AD0647">
              <w:rPr>
                <w:lang w:eastAsia="en-GB"/>
              </w:rPr>
              <w:t>Noteworthy incidents</w:t>
            </w:r>
          </w:p>
          <w:p w14:paraId="33A71151" w14:textId="77777777" w:rsidR="004C6641" w:rsidRPr="00AD0647" w:rsidRDefault="004C6641" w:rsidP="004C6641">
            <w:pPr>
              <w:spacing w:after="0" w:line="240" w:lineRule="auto"/>
              <w:rPr>
                <w:lang w:eastAsia="en-GB"/>
              </w:rPr>
            </w:pPr>
            <w:r w:rsidRPr="00AD0647">
              <w:rPr>
                <w:lang w:eastAsia="en-GB"/>
              </w:rPr>
              <w:t>Operational protocols</w:t>
            </w:r>
          </w:p>
          <w:p w14:paraId="2B502C97" w14:textId="77777777" w:rsidR="004C6641" w:rsidRPr="00AD0647" w:rsidRDefault="004C6641" w:rsidP="004C6641">
            <w:pPr>
              <w:spacing w:after="0" w:line="240" w:lineRule="auto"/>
              <w:rPr>
                <w:lang w:eastAsia="en-GB"/>
              </w:rPr>
            </w:pPr>
            <w:r w:rsidRPr="00AD0647">
              <w:rPr>
                <w:lang w:eastAsia="en-GB"/>
              </w:rPr>
              <w:t xml:space="preserve">Fleet Strategy </w:t>
            </w:r>
          </w:p>
        </w:tc>
        <w:tc>
          <w:tcPr>
            <w:tcW w:w="2551" w:type="dxa"/>
            <w:tcBorders>
              <w:top w:val="single" w:sz="4" w:space="0" w:color="auto"/>
              <w:left w:val="single" w:sz="4" w:space="0" w:color="auto"/>
              <w:bottom w:val="single" w:sz="4" w:space="0" w:color="auto"/>
              <w:right w:val="single" w:sz="4" w:space="0" w:color="auto"/>
            </w:tcBorders>
          </w:tcPr>
          <w:p w14:paraId="3DCB605E" w14:textId="77777777" w:rsidR="004C6641" w:rsidRPr="00AD0647" w:rsidRDefault="004C6641" w:rsidP="004C6641">
            <w:pPr>
              <w:spacing w:after="0" w:line="240" w:lineRule="auto"/>
              <w:rPr>
                <w:lang w:eastAsia="en-GB"/>
              </w:rPr>
            </w:pPr>
            <w:r w:rsidRPr="00AD0647">
              <w:rPr>
                <w:lang w:eastAsia="en-GB"/>
              </w:rPr>
              <w:t>Ian Campbell</w:t>
            </w:r>
          </w:p>
          <w:p w14:paraId="3E3CC2E0"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3C0CE537" w14:textId="356930D2" w:rsidR="004C6641" w:rsidRPr="00AD0647" w:rsidRDefault="004C6641" w:rsidP="006809E3">
            <w:pPr>
              <w:spacing w:after="0" w:line="240" w:lineRule="auto"/>
              <w:ind w:left="30"/>
              <w:jc w:val="left"/>
              <w:rPr>
                <w:lang w:eastAsia="en-GB"/>
              </w:rPr>
            </w:pPr>
            <w:r w:rsidRPr="00AD0647">
              <w:rPr>
                <w:lang w:eastAsia="en-GB"/>
              </w:rPr>
              <w:t>David Curry</w:t>
            </w:r>
            <w:r w:rsidR="00AB1F38">
              <w:rPr>
                <w:lang w:eastAsia="en-GB"/>
              </w:rPr>
              <w:t xml:space="preserve"> (Bus)</w:t>
            </w:r>
          </w:p>
          <w:p w14:paraId="55C240A7" w14:textId="23CD8DDE" w:rsidR="004C6641" w:rsidRPr="00AD0647" w:rsidRDefault="004C6641" w:rsidP="006809E3">
            <w:pPr>
              <w:spacing w:after="0" w:line="240" w:lineRule="auto"/>
              <w:ind w:left="30"/>
              <w:jc w:val="left"/>
              <w:rPr>
                <w:lang w:eastAsia="en-GB"/>
              </w:rPr>
            </w:pPr>
            <w:r w:rsidRPr="00AD0647">
              <w:rPr>
                <w:lang w:eastAsia="en-GB"/>
              </w:rPr>
              <w:t>Richard Knox</w:t>
            </w:r>
            <w:r w:rsidR="00B42E0E">
              <w:rPr>
                <w:lang w:eastAsia="en-GB"/>
              </w:rPr>
              <w:t xml:space="preserve"> (Rail)</w:t>
            </w:r>
          </w:p>
          <w:p w14:paraId="6563E5EC" w14:textId="73FB94F5" w:rsidR="006809E3" w:rsidRPr="00AD0647" w:rsidRDefault="004C6641" w:rsidP="006809E3">
            <w:pPr>
              <w:spacing w:after="0" w:line="240" w:lineRule="auto"/>
              <w:ind w:left="30"/>
              <w:jc w:val="left"/>
              <w:rPr>
                <w:lang w:eastAsia="en-GB"/>
              </w:rPr>
            </w:pPr>
            <w:r w:rsidRPr="00AD0647">
              <w:rPr>
                <w:lang w:eastAsia="en-GB"/>
              </w:rPr>
              <w:t>David Barnett</w:t>
            </w:r>
            <w:r w:rsidR="006809E3">
              <w:rPr>
                <w:lang w:eastAsia="en-GB"/>
              </w:rPr>
              <w:t xml:space="preserve"> </w:t>
            </w:r>
            <w:r w:rsidR="00B42E0E">
              <w:rPr>
                <w:lang w:eastAsia="en-GB"/>
              </w:rPr>
              <w:t>(Engineering)</w:t>
            </w:r>
          </w:p>
          <w:p w14:paraId="15D5ADAD" w14:textId="757D505F" w:rsidR="004C6641" w:rsidRPr="00AD0647" w:rsidRDefault="004C6641" w:rsidP="006809E3">
            <w:pPr>
              <w:spacing w:after="0" w:line="240" w:lineRule="auto"/>
              <w:ind w:left="30"/>
              <w:jc w:val="left"/>
              <w:rPr>
                <w:lang w:eastAsia="en-GB"/>
              </w:rPr>
            </w:pPr>
            <w:r w:rsidRPr="00AD0647">
              <w:rPr>
                <w:lang w:eastAsia="en-GB"/>
              </w:rPr>
              <w:t>John Glass</w:t>
            </w:r>
            <w:r w:rsidR="006809E3">
              <w:rPr>
                <w:lang w:eastAsia="en-GB"/>
              </w:rPr>
              <w:t xml:space="preserve"> (</w:t>
            </w:r>
            <w:r w:rsidR="006578CB">
              <w:rPr>
                <w:lang w:eastAsia="en-GB"/>
              </w:rPr>
              <w:t>Infrastructure</w:t>
            </w:r>
            <w:r w:rsidR="00B67FAA">
              <w:rPr>
                <w:lang w:eastAsia="en-GB"/>
              </w:rPr>
              <w:t>)</w:t>
            </w:r>
          </w:p>
          <w:p w14:paraId="30028CED" w14:textId="5FA96E0F" w:rsidR="004C6641" w:rsidRPr="00AD0647" w:rsidRDefault="004C6641" w:rsidP="006809E3">
            <w:pPr>
              <w:spacing w:after="0" w:line="240" w:lineRule="auto"/>
              <w:ind w:left="30"/>
              <w:jc w:val="left"/>
              <w:rPr>
                <w:lang w:eastAsia="en-GB"/>
              </w:rPr>
            </w:pPr>
            <w:r w:rsidRPr="00AD0647">
              <w:rPr>
                <w:lang w:eastAsia="en-GB"/>
              </w:rPr>
              <w:t>David Cowan</w:t>
            </w:r>
            <w:r w:rsidR="00B67FAA">
              <w:rPr>
                <w:lang w:eastAsia="en-GB"/>
              </w:rPr>
              <w:t xml:space="preserve"> (Commercial Operations)</w:t>
            </w:r>
          </w:p>
          <w:p w14:paraId="6CE51A9D"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C3AF3EB" w14:textId="13F5FBD7"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70FCEAFE" w14:textId="692595CD" w:rsidR="00093344" w:rsidRDefault="00323B7E" w:rsidP="004C6641">
            <w:pPr>
              <w:spacing w:after="0" w:line="240" w:lineRule="auto"/>
              <w:rPr>
                <w:lang w:eastAsia="en-GB"/>
              </w:rPr>
            </w:pPr>
            <w:r>
              <w:rPr>
                <w:lang w:eastAsia="en-GB"/>
              </w:rPr>
              <w:t>Stuart Gilmore</w:t>
            </w:r>
          </w:p>
          <w:p w14:paraId="69C9185C" w14:textId="5FB488DD" w:rsidR="00386DEE" w:rsidRDefault="000F3028" w:rsidP="004C6641">
            <w:pPr>
              <w:spacing w:after="0" w:line="240" w:lineRule="auto"/>
              <w:rPr>
                <w:lang w:eastAsia="en-GB"/>
              </w:rPr>
            </w:pPr>
            <w:r>
              <w:rPr>
                <w:lang w:eastAsia="en-GB"/>
              </w:rPr>
              <w:t>Leona Lees</w:t>
            </w:r>
          </w:p>
          <w:p w14:paraId="14686CFD" w14:textId="642DD75D" w:rsidR="00333205" w:rsidRDefault="00333205" w:rsidP="004C6641">
            <w:pPr>
              <w:spacing w:after="0" w:line="240" w:lineRule="auto"/>
              <w:rPr>
                <w:lang w:eastAsia="en-GB"/>
              </w:rPr>
            </w:pPr>
            <w:r>
              <w:rPr>
                <w:lang w:eastAsia="en-GB"/>
              </w:rPr>
              <w:t>Nancy Mead</w:t>
            </w:r>
          </w:p>
          <w:p w14:paraId="2A1FE888" w14:textId="3A84AA12" w:rsidR="004C6641" w:rsidRPr="00AD0647" w:rsidRDefault="004C6641" w:rsidP="004C6641">
            <w:pPr>
              <w:spacing w:after="0" w:line="240" w:lineRule="auto"/>
              <w:rPr>
                <w:lang w:eastAsia="en-GB"/>
              </w:rPr>
            </w:pPr>
            <w:r w:rsidRPr="00AD0647">
              <w:rPr>
                <w:lang w:eastAsia="en-GB"/>
              </w:rPr>
              <w:t>Billy McLarnon</w:t>
            </w:r>
          </w:p>
          <w:p w14:paraId="2528838C" w14:textId="77777777" w:rsidR="004C6641" w:rsidRPr="00AD0647" w:rsidRDefault="004C6641" w:rsidP="004C6641">
            <w:pPr>
              <w:spacing w:after="0" w:line="240" w:lineRule="auto"/>
              <w:rPr>
                <w:lang w:eastAsia="en-GB"/>
              </w:rPr>
            </w:pPr>
            <w:r w:rsidRPr="00AD0647">
              <w:rPr>
                <w:lang w:eastAsia="en-GB"/>
              </w:rPr>
              <w:t>Jennifer Hanna</w:t>
            </w:r>
          </w:p>
        </w:tc>
      </w:tr>
      <w:tr w:rsidR="002E7CC9" w:rsidRPr="00AD0647" w14:paraId="38EE140B"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A3C3E7"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649F44A4" w14:textId="77777777" w:rsidR="004C6641" w:rsidRPr="00AD0647" w:rsidRDefault="004C6641" w:rsidP="004C6641">
            <w:pPr>
              <w:spacing w:after="0" w:line="240" w:lineRule="auto"/>
              <w:rPr>
                <w:b/>
                <w:szCs w:val="24"/>
                <w:lang w:eastAsia="en-GB"/>
              </w:rPr>
            </w:pPr>
            <w:r w:rsidRPr="00AD0647">
              <w:rPr>
                <w:b/>
                <w:szCs w:val="24"/>
                <w:lang w:eastAsia="en-GB"/>
              </w:rPr>
              <w:t>Belfast Transport Hub</w:t>
            </w:r>
          </w:p>
        </w:tc>
        <w:tc>
          <w:tcPr>
            <w:tcW w:w="2977" w:type="dxa"/>
            <w:tcBorders>
              <w:top w:val="single" w:sz="4" w:space="0" w:color="auto"/>
              <w:left w:val="single" w:sz="4" w:space="0" w:color="auto"/>
              <w:bottom w:val="single" w:sz="4" w:space="0" w:color="auto"/>
              <w:right w:val="single" w:sz="4" w:space="0" w:color="auto"/>
            </w:tcBorders>
            <w:hideMark/>
          </w:tcPr>
          <w:p w14:paraId="4D192B9B" w14:textId="77777777" w:rsidR="004C6641" w:rsidRPr="00AD0647" w:rsidRDefault="004C6641" w:rsidP="004C6641">
            <w:pPr>
              <w:spacing w:after="0" w:line="240" w:lineRule="auto"/>
              <w:rPr>
                <w:sz w:val="22"/>
                <w:lang w:eastAsia="en-GB"/>
              </w:rPr>
            </w:pPr>
            <w:r w:rsidRPr="00AD0647">
              <w:rPr>
                <w:lang w:eastAsia="en-GB"/>
              </w:rPr>
              <w:t>Site issues</w:t>
            </w:r>
          </w:p>
          <w:p w14:paraId="59AAC5F4" w14:textId="77777777" w:rsidR="004C6641" w:rsidRPr="00AD0647" w:rsidRDefault="004C6641" w:rsidP="004C6641">
            <w:pPr>
              <w:spacing w:after="0" w:line="240" w:lineRule="auto"/>
              <w:rPr>
                <w:lang w:eastAsia="en-GB"/>
              </w:rPr>
            </w:pPr>
            <w:r w:rsidRPr="00AD0647">
              <w:rPr>
                <w:lang w:eastAsia="en-GB"/>
              </w:rPr>
              <w:t>Stakeholder issues</w:t>
            </w:r>
          </w:p>
        </w:tc>
        <w:tc>
          <w:tcPr>
            <w:tcW w:w="2551" w:type="dxa"/>
            <w:tcBorders>
              <w:top w:val="single" w:sz="4" w:space="0" w:color="auto"/>
              <w:left w:val="single" w:sz="4" w:space="0" w:color="auto"/>
              <w:bottom w:val="single" w:sz="4" w:space="0" w:color="auto"/>
              <w:right w:val="single" w:sz="4" w:space="0" w:color="auto"/>
            </w:tcBorders>
          </w:tcPr>
          <w:p w14:paraId="07790A05" w14:textId="3203CB0C" w:rsidR="004C6641" w:rsidRPr="00AD0647" w:rsidRDefault="004C6641" w:rsidP="004C6641">
            <w:pPr>
              <w:spacing w:after="0" w:line="240" w:lineRule="auto"/>
              <w:rPr>
                <w:lang w:eastAsia="en-GB"/>
              </w:rPr>
            </w:pPr>
            <w:r w:rsidRPr="00AD0647">
              <w:rPr>
                <w:lang w:eastAsia="en-GB"/>
              </w:rPr>
              <w:t>Phil</w:t>
            </w:r>
            <w:r w:rsidR="00AB1F38">
              <w:rPr>
                <w:lang w:eastAsia="en-GB"/>
              </w:rPr>
              <w:t>ip</w:t>
            </w:r>
            <w:r w:rsidRPr="00AD0647">
              <w:rPr>
                <w:lang w:eastAsia="en-GB"/>
              </w:rPr>
              <w:t xml:space="preserve"> Brown</w:t>
            </w:r>
          </w:p>
          <w:p w14:paraId="49821644" w14:textId="77777777" w:rsidR="004C6641" w:rsidRPr="00AD0647" w:rsidRDefault="004C6641" w:rsidP="004C6641">
            <w:pPr>
              <w:spacing w:after="0" w:line="240" w:lineRule="auto"/>
              <w:rPr>
                <w:lang w:eastAsia="en-GB"/>
              </w:rPr>
            </w:pPr>
          </w:p>
          <w:p w14:paraId="1E9D0E3D" w14:textId="77777777" w:rsidR="004C6641" w:rsidRPr="00AD0647" w:rsidRDefault="004C6641" w:rsidP="004C6641">
            <w:pPr>
              <w:spacing w:after="0" w:line="240" w:lineRule="auto"/>
              <w:rPr>
                <w:lang w:eastAsia="en-GB"/>
              </w:rPr>
            </w:pPr>
          </w:p>
          <w:p w14:paraId="0A380458" w14:textId="77777777" w:rsidR="004C6641" w:rsidRPr="00AD0647" w:rsidRDefault="004C6641" w:rsidP="004C6641">
            <w:pPr>
              <w:spacing w:after="0" w:line="240" w:lineRule="auto"/>
              <w:rPr>
                <w:lang w:eastAsia="en-GB"/>
              </w:rPr>
            </w:pPr>
          </w:p>
          <w:p w14:paraId="220B50B4"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1ED8CE94" w14:textId="465E48D5" w:rsidR="004C6641" w:rsidRPr="00AD0647" w:rsidRDefault="004C6641" w:rsidP="00B67FAA">
            <w:pPr>
              <w:spacing w:after="0" w:line="240" w:lineRule="auto"/>
              <w:rPr>
                <w:lang w:eastAsia="en-GB"/>
              </w:rPr>
            </w:pPr>
            <w:r w:rsidRPr="00AD0647">
              <w:rPr>
                <w:lang w:eastAsia="en-GB"/>
              </w:rPr>
              <w:t>John Glass</w:t>
            </w:r>
          </w:p>
          <w:p w14:paraId="36E9A47A" w14:textId="4EE10574" w:rsidR="004C6641" w:rsidRPr="00AD0647" w:rsidRDefault="004C6641" w:rsidP="00B67FAA">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3C57BCAE" w14:textId="386E6AB0" w:rsidR="004C6641" w:rsidRPr="00AD0647" w:rsidRDefault="00386DEE"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61AA85CA" w14:textId="58DA9AD1" w:rsidR="007F6231" w:rsidRDefault="00386DEE" w:rsidP="004C6641">
            <w:pPr>
              <w:spacing w:after="0" w:line="240" w:lineRule="auto"/>
              <w:rPr>
                <w:lang w:eastAsia="en-GB"/>
              </w:rPr>
            </w:pPr>
            <w:r>
              <w:rPr>
                <w:lang w:eastAsia="en-GB"/>
              </w:rPr>
              <w:t>Stuart Gilmore</w:t>
            </w:r>
          </w:p>
          <w:p w14:paraId="27B3D48E" w14:textId="746855A5" w:rsidR="004C6641" w:rsidRPr="00AD0647" w:rsidRDefault="004C6641" w:rsidP="004C6641">
            <w:pPr>
              <w:spacing w:after="0" w:line="240" w:lineRule="auto"/>
              <w:rPr>
                <w:lang w:eastAsia="en-GB"/>
              </w:rPr>
            </w:pPr>
            <w:r w:rsidRPr="00AD0647">
              <w:rPr>
                <w:lang w:eastAsia="en-GB"/>
              </w:rPr>
              <w:t>Billy McLarnon</w:t>
            </w:r>
          </w:p>
        </w:tc>
      </w:tr>
      <w:tr w:rsidR="002E7CC9" w:rsidRPr="00AD0647" w14:paraId="03635C88" w14:textId="77777777" w:rsidTr="00D0386B">
        <w:trPr>
          <w:cantSplit/>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83B646"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bookmarkStart w:id="34" w:name="_Hlk164848539"/>
          </w:p>
        </w:tc>
        <w:tc>
          <w:tcPr>
            <w:tcW w:w="2268" w:type="dxa"/>
            <w:tcBorders>
              <w:top w:val="single" w:sz="4" w:space="0" w:color="auto"/>
              <w:left w:val="single" w:sz="4" w:space="0" w:color="auto"/>
              <w:bottom w:val="single" w:sz="4" w:space="0" w:color="auto"/>
              <w:right w:val="single" w:sz="4" w:space="0" w:color="auto"/>
            </w:tcBorders>
            <w:hideMark/>
          </w:tcPr>
          <w:p w14:paraId="77F471D2" w14:textId="77777777" w:rsidR="004C6641" w:rsidRPr="00AD0647" w:rsidRDefault="004C6641" w:rsidP="004C6641">
            <w:pPr>
              <w:spacing w:after="0" w:line="240" w:lineRule="auto"/>
              <w:rPr>
                <w:b/>
                <w:szCs w:val="24"/>
                <w:lang w:eastAsia="en-GB"/>
              </w:rPr>
            </w:pPr>
            <w:r w:rsidRPr="00AD0647">
              <w:rPr>
                <w:b/>
                <w:szCs w:val="24"/>
                <w:lang w:eastAsia="en-GB"/>
              </w:rPr>
              <w:t xml:space="preserve">Regulators &amp; regulation </w:t>
            </w:r>
          </w:p>
        </w:tc>
        <w:tc>
          <w:tcPr>
            <w:tcW w:w="2977" w:type="dxa"/>
            <w:tcBorders>
              <w:top w:val="single" w:sz="4" w:space="0" w:color="auto"/>
              <w:left w:val="single" w:sz="4" w:space="0" w:color="auto"/>
              <w:bottom w:val="single" w:sz="4" w:space="0" w:color="auto"/>
              <w:right w:val="single" w:sz="4" w:space="0" w:color="auto"/>
            </w:tcBorders>
            <w:hideMark/>
          </w:tcPr>
          <w:p w14:paraId="77BF6FAF" w14:textId="77777777" w:rsidR="004C6641" w:rsidRPr="00AD0647" w:rsidRDefault="004C6641" w:rsidP="004C6641">
            <w:pPr>
              <w:spacing w:after="0" w:line="240" w:lineRule="auto"/>
              <w:rPr>
                <w:sz w:val="22"/>
                <w:lang w:eastAsia="en-GB"/>
              </w:rPr>
            </w:pPr>
            <w:r w:rsidRPr="00AD0647">
              <w:rPr>
                <w:lang w:eastAsia="en-GB"/>
              </w:rPr>
              <w:t>Regulations</w:t>
            </w:r>
          </w:p>
          <w:p w14:paraId="062C8A15" w14:textId="77777777" w:rsidR="004C6641" w:rsidRPr="00AD0647" w:rsidRDefault="004C6641" w:rsidP="004C6641">
            <w:pPr>
              <w:spacing w:after="0" w:line="240" w:lineRule="auto"/>
              <w:rPr>
                <w:lang w:eastAsia="en-GB"/>
              </w:rPr>
            </w:pPr>
            <w:r w:rsidRPr="00AD0647">
              <w:rPr>
                <w:lang w:eastAsia="en-GB"/>
              </w:rPr>
              <w:t>and Directives</w:t>
            </w:r>
          </w:p>
          <w:p w14:paraId="75BA04B1" w14:textId="77777777" w:rsidR="004C6641" w:rsidRPr="00AD0647" w:rsidRDefault="004C6641" w:rsidP="004C6641">
            <w:pPr>
              <w:spacing w:after="0" w:line="240" w:lineRule="auto"/>
              <w:rPr>
                <w:lang w:eastAsia="en-GB"/>
              </w:rPr>
            </w:pPr>
          </w:p>
          <w:p w14:paraId="7C52FBEC" w14:textId="77777777" w:rsidR="004C6641" w:rsidRPr="00AD0647" w:rsidRDefault="004C6641" w:rsidP="004C6641">
            <w:pPr>
              <w:spacing w:after="0" w:line="240" w:lineRule="auto"/>
              <w:rPr>
                <w:lang w:eastAsia="en-GB"/>
              </w:rPr>
            </w:pPr>
            <w:r w:rsidRPr="00AD0647">
              <w:rPr>
                <w:lang w:eastAsia="en-GB"/>
              </w:rPr>
              <w:t xml:space="preserve">DVANI  </w:t>
            </w:r>
          </w:p>
        </w:tc>
        <w:tc>
          <w:tcPr>
            <w:tcW w:w="2551" w:type="dxa"/>
            <w:tcBorders>
              <w:top w:val="single" w:sz="4" w:space="0" w:color="auto"/>
              <w:left w:val="single" w:sz="4" w:space="0" w:color="auto"/>
              <w:bottom w:val="single" w:sz="4" w:space="0" w:color="auto"/>
              <w:right w:val="single" w:sz="4" w:space="0" w:color="auto"/>
            </w:tcBorders>
          </w:tcPr>
          <w:p w14:paraId="1697963B" w14:textId="77777777" w:rsidR="004C6641" w:rsidRPr="00AD0647" w:rsidRDefault="004C6641" w:rsidP="004C6641">
            <w:pPr>
              <w:spacing w:after="0" w:line="240" w:lineRule="auto"/>
              <w:rPr>
                <w:lang w:eastAsia="en-GB"/>
              </w:rPr>
            </w:pPr>
            <w:r w:rsidRPr="00AD0647">
              <w:rPr>
                <w:lang w:eastAsia="en-GB"/>
              </w:rPr>
              <w:t>Ian Campbell</w:t>
            </w:r>
          </w:p>
          <w:p w14:paraId="506B14E6" w14:textId="77777777" w:rsidR="004C6641" w:rsidRPr="00AD0647" w:rsidRDefault="004C6641" w:rsidP="004C6641">
            <w:pPr>
              <w:spacing w:after="0" w:line="240" w:lineRule="auto"/>
              <w:rPr>
                <w:lang w:eastAsia="en-GB"/>
              </w:rPr>
            </w:pPr>
          </w:p>
          <w:p w14:paraId="370D8FA0" w14:textId="77777777" w:rsidR="004C6641" w:rsidRPr="00AD0647" w:rsidRDefault="004C6641" w:rsidP="004C6641">
            <w:pPr>
              <w:spacing w:after="0" w:line="240" w:lineRule="auto"/>
              <w:rPr>
                <w:lang w:eastAsia="en-GB"/>
              </w:rPr>
            </w:pPr>
            <w:r w:rsidRPr="00AD0647">
              <w:rPr>
                <w:lang w:eastAsia="en-GB"/>
              </w:rPr>
              <w:t xml:space="preserve"> </w:t>
            </w:r>
          </w:p>
          <w:p w14:paraId="1E4BBF53" w14:textId="77777777" w:rsidR="004C6641" w:rsidRPr="00AD0647" w:rsidRDefault="004C6641" w:rsidP="004C6641">
            <w:pPr>
              <w:spacing w:after="0" w:line="240" w:lineRule="auto"/>
              <w:rPr>
                <w:lang w:eastAsia="en-GB"/>
              </w:rPr>
            </w:pPr>
          </w:p>
          <w:p w14:paraId="5AF79098" w14:textId="77777777" w:rsidR="004C6641" w:rsidRPr="00AD0647" w:rsidRDefault="004C6641" w:rsidP="004C6641">
            <w:pPr>
              <w:spacing w:after="0" w:line="240" w:lineRule="auto"/>
              <w:rPr>
                <w:lang w:val="en-US" w:eastAsia="en-GB"/>
              </w:rPr>
            </w:pPr>
          </w:p>
        </w:tc>
        <w:tc>
          <w:tcPr>
            <w:tcW w:w="2410" w:type="dxa"/>
            <w:tcBorders>
              <w:top w:val="single" w:sz="4" w:space="0" w:color="auto"/>
              <w:left w:val="single" w:sz="4" w:space="0" w:color="auto"/>
              <w:bottom w:val="single" w:sz="4" w:space="0" w:color="auto"/>
              <w:right w:val="single" w:sz="4" w:space="0" w:color="auto"/>
            </w:tcBorders>
          </w:tcPr>
          <w:p w14:paraId="6672EEF5" w14:textId="77777777" w:rsidR="004C6641" w:rsidRPr="00AD0647" w:rsidRDefault="004C6641" w:rsidP="004C6641">
            <w:pPr>
              <w:spacing w:after="0" w:line="240" w:lineRule="auto"/>
              <w:rPr>
                <w:lang w:eastAsia="en-GB"/>
              </w:rPr>
            </w:pPr>
            <w:r w:rsidRPr="00AD0647">
              <w:rPr>
                <w:lang w:eastAsia="en-GB"/>
              </w:rPr>
              <w:t>John Glass</w:t>
            </w:r>
          </w:p>
          <w:p w14:paraId="624621BE" w14:textId="77777777" w:rsidR="004C6641" w:rsidRPr="00AD0647" w:rsidRDefault="004C6641" w:rsidP="004C6641">
            <w:pPr>
              <w:spacing w:after="0" w:line="240" w:lineRule="auto"/>
              <w:rPr>
                <w:lang w:eastAsia="en-GB"/>
              </w:rPr>
            </w:pPr>
            <w:r w:rsidRPr="00AD0647">
              <w:rPr>
                <w:lang w:eastAsia="en-GB"/>
              </w:rPr>
              <w:t>David Cowan</w:t>
            </w:r>
          </w:p>
          <w:p w14:paraId="37894FB7" w14:textId="77777777" w:rsidR="004C6641" w:rsidRPr="00AD0647" w:rsidRDefault="004C6641" w:rsidP="004C6641">
            <w:pPr>
              <w:spacing w:after="0" w:line="240" w:lineRule="auto"/>
              <w:rPr>
                <w:lang w:eastAsia="en-GB"/>
              </w:rPr>
            </w:pPr>
            <w:r w:rsidRPr="00AD0647">
              <w:rPr>
                <w:lang w:eastAsia="en-GB"/>
              </w:rPr>
              <w:t>David Curry</w:t>
            </w:r>
          </w:p>
          <w:p w14:paraId="29C3E338" w14:textId="77777777" w:rsidR="004C6641" w:rsidRPr="00AD0647" w:rsidRDefault="004C6641" w:rsidP="004C6641">
            <w:pPr>
              <w:spacing w:after="0" w:line="240" w:lineRule="auto"/>
              <w:rPr>
                <w:lang w:eastAsia="en-GB"/>
              </w:rPr>
            </w:pPr>
            <w:r w:rsidRPr="00AD0647">
              <w:rPr>
                <w:lang w:eastAsia="en-GB"/>
              </w:rPr>
              <w:t>Richard Knox</w:t>
            </w:r>
          </w:p>
          <w:p w14:paraId="5AF0969C" w14:textId="77777777" w:rsidR="004C6641" w:rsidRPr="00AD0647" w:rsidRDefault="004C6641" w:rsidP="004C6641">
            <w:pPr>
              <w:spacing w:after="0" w:line="240" w:lineRule="auto"/>
              <w:rPr>
                <w:lang w:eastAsia="en-GB"/>
              </w:rPr>
            </w:pPr>
            <w:r w:rsidRPr="00AD0647">
              <w:rPr>
                <w:lang w:eastAsia="en-GB"/>
              </w:rPr>
              <w:t>David Barnett</w:t>
            </w:r>
          </w:p>
          <w:p w14:paraId="5ACED282" w14:textId="7A336813"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728AAAC9" w14:textId="6B2409B1" w:rsidR="004C6641" w:rsidRPr="00AD0647" w:rsidRDefault="00386DEE" w:rsidP="004C6641">
            <w:pPr>
              <w:spacing w:after="0" w:line="240" w:lineRule="auto"/>
              <w:rPr>
                <w:lang w:eastAsia="en-GB"/>
              </w:rPr>
            </w:pPr>
            <w:r>
              <w:rPr>
                <w:lang w:eastAsia="en-GB"/>
              </w:rPr>
              <w:t>Brenda Burke</w:t>
            </w:r>
          </w:p>
        </w:tc>
        <w:tc>
          <w:tcPr>
            <w:tcW w:w="2835" w:type="dxa"/>
            <w:tcBorders>
              <w:top w:val="single" w:sz="4" w:space="0" w:color="auto"/>
              <w:left w:val="single" w:sz="4" w:space="0" w:color="auto"/>
              <w:bottom w:val="single" w:sz="4" w:space="0" w:color="auto"/>
              <w:right w:val="single" w:sz="4" w:space="0" w:color="auto"/>
            </w:tcBorders>
          </w:tcPr>
          <w:p w14:paraId="053993C4" w14:textId="77777777" w:rsidR="004C6641" w:rsidRPr="00AD0647" w:rsidRDefault="004C6641" w:rsidP="004C6641">
            <w:pPr>
              <w:spacing w:after="0" w:line="240" w:lineRule="auto"/>
              <w:rPr>
                <w:lang w:eastAsia="en-GB"/>
              </w:rPr>
            </w:pPr>
            <w:r w:rsidRPr="00AD0647">
              <w:rPr>
                <w:lang w:eastAsia="en-GB"/>
              </w:rPr>
              <w:t>Graeme Banks</w:t>
            </w:r>
          </w:p>
          <w:p w14:paraId="4987BDCC" w14:textId="02405D70" w:rsidR="004C6641" w:rsidRDefault="004C6641" w:rsidP="004C6641">
            <w:pPr>
              <w:spacing w:after="0" w:line="240" w:lineRule="auto"/>
              <w:rPr>
                <w:lang w:eastAsia="en-GB"/>
              </w:rPr>
            </w:pPr>
          </w:p>
          <w:p w14:paraId="0CE68AB1" w14:textId="309E6F42" w:rsidR="00333205" w:rsidRPr="00AD0647" w:rsidRDefault="00333205" w:rsidP="004C6641">
            <w:pPr>
              <w:spacing w:after="0" w:line="240" w:lineRule="auto"/>
              <w:rPr>
                <w:lang w:eastAsia="en-GB"/>
              </w:rPr>
            </w:pPr>
            <w:r>
              <w:rPr>
                <w:lang w:eastAsia="en-GB"/>
              </w:rPr>
              <w:t>Joanna Relf</w:t>
            </w:r>
          </w:p>
        </w:tc>
      </w:tr>
      <w:bookmarkEnd w:id="34"/>
      <w:tr w:rsidR="002E7CC9" w:rsidRPr="00AD0647" w14:paraId="5037B6C1"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E171A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04D2AA08" w14:textId="77777777" w:rsidR="004C6641" w:rsidRPr="00AD0647" w:rsidRDefault="004C6641" w:rsidP="004C6641">
            <w:pPr>
              <w:spacing w:after="0" w:line="240" w:lineRule="auto"/>
              <w:rPr>
                <w:b/>
                <w:szCs w:val="24"/>
                <w:lang w:eastAsia="en-GB"/>
              </w:rPr>
            </w:pPr>
            <w:r w:rsidRPr="00AD0647">
              <w:rPr>
                <w:b/>
                <w:szCs w:val="24"/>
                <w:lang w:eastAsia="en-GB"/>
              </w:rPr>
              <w:t>Programme for Government (PfG)</w:t>
            </w:r>
          </w:p>
        </w:tc>
        <w:tc>
          <w:tcPr>
            <w:tcW w:w="2977" w:type="dxa"/>
            <w:tcBorders>
              <w:top w:val="single" w:sz="4" w:space="0" w:color="auto"/>
              <w:left w:val="single" w:sz="4" w:space="0" w:color="auto"/>
              <w:bottom w:val="single" w:sz="4" w:space="0" w:color="auto"/>
              <w:right w:val="single" w:sz="4" w:space="0" w:color="auto"/>
            </w:tcBorders>
            <w:hideMark/>
          </w:tcPr>
          <w:p w14:paraId="20D1A084" w14:textId="77777777" w:rsidR="004C6641" w:rsidRPr="00AD0647" w:rsidRDefault="004C6641" w:rsidP="004C6641">
            <w:pPr>
              <w:spacing w:after="0" w:line="240" w:lineRule="auto"/>
              <w:rPr>
                <w:sz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2507B6DB" w14:textId="77777777" w:rsidR="004C6641" w:rsidRPr="00AD0647" w:rsidRDefault="004C6641" w:rsidP="004C6641">
            <w:pPr>
              <w:spacing w:after="0" w:line="240" w:lineRule="auto"/>
              <w:rPr>
                <w:lang w:eastAsia="en-GB"/>
              </w:rPr>
            </w:pPr>
            <w:r w:rsidRPr="00AD0647">
              <w:rPr>
                <w:lang w:eastAsia="en-GB"/>
              </w:rPr>
              <w:t>Chris Conway</w:t>
            </w:r>
          </w:p>
          <w:p w14:paraId="33FEAD4D"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4C4B3039" w14:textId="77777777" w:rsidR="004C6641" w:rsidRPr="00AD0647" w:rsidRDefault="004C6641" w:rsidP="004C6641">
            <w:pPr>
              <w:spacing w:after="0" w:line="240" w:lineRule="auto"/>
              <w:rPr>
                <w:lang w:eastAsia="en-GB"/>
              </w:rPr>
            </w:pPr>
            <w:r w:rsidRPr="00AD0647">
              <w:rPr>
                <w:lang w:eastAsia="en-GB"/>
              </w:rPr>
              <w:t xml:space="preserve">Translink SLT </w:t>
            </w:r>
          </w:p>
          <w:p w14:paraId="7B85DEF5" w14:textId="77777777" w:rsidR="004C6641" w:rsidRPr="00AD0647" w:rsidRDefault="004C6641" w:rsidP="004C6641">
            <w:pPr>
              <w:spacing w:after="0" w:line="240" w:lineRule="auto"/>
              <w:rPr>
                <w:lang w:eastAsia="en-GB"/>
              </w:rPr>
            </w:pPr>
          </w:p>
          <w:p w14:paraId="59C75E8E"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508349AC" w14:textId="40C380D2" w:rsidR="004C6641" w:rsidRPr="00AD0647" w:rsidRDefault="009C4B00" w:rsidP="004C6641">
            <w:pPr>
              <w:spacing w:after="0" w:line="240" w:lineRule="auto"/>
              <w:rPr>
                <w:lang w:eastAsia="en-GB"/>
              </w:rPr>
            </w:pPr>
            <w:r>
              <w:rPr>
                <w:lang w:eastAsia="en-GB"/>
              </w:rPr>
              <w:t xml:space="preserve"> </w:t>
            </w:r>
            <w:r w:rsidR="00852346">
              <w:rPr>
                <w:lang w:eastAsia="en-GB"/>
              </w:rPr>
              <w:t>Kiera Lloyd</w:t>
            </w:r>
          </w:p>
        </w:tc>
        <w:tc>
          <w:tcPr>
            <w:tcW w:w="2835" w:type="dxa"/>
            <w:tcBorders>
              <w:top w:val="single" w:sz="4" w:space="0" w:color="auto"/>
              <w:left w:val="single" w:sz="4" w:space="0" w:color="auto"/>
              <w:bottom w:val="single" w:sz="4" w:space="0" w:color="auto"/>
              <w:right w:val="single" w:sz="4" w:space="0" w:color="auto"/>
            </w:tcBorders>
            <w:hideMark/>
          </w:tcPr>
          <w:p w14:paraId="57AE2E63" w14:textId="77777777" w:rsidR="004C6641" w:rsidRPr="00AD0647" w:rsidRDefault="004C6641" w:rsidP="004C6641">
            <w:pPr>
              <w:spacing w:after="0" w:line="240" w:lineRule="auto"/>
              <w:rPr>
                <w:lang w:eastAsia="en-GB"/>
              </w:rPr>
            </w:pPr>
            <w:r w:rsidRPr="00AD0647">
              <w:rPr>
                <w:lang w:eastAsia="en-GB"/>
              </w:rPr>
              <w:t>Adele Watters</w:t>
            </w:r>
          </w:p>
          <w:p w14:paraId="5036832D" w14:textId="77777777" w:rsidR="004C6641" w:rsidRPr="00AD0647" w:rsidRDefault="004C6641" w:rsidP="004C6641">
            <w:pPr>
              <w:spacing w:after="0" w:line="240" w:lineRule="auto"/>
              <w:rPr>
                <w:lang w:eastAsia="en-GB"/>
              </w:rPr>
            </w:pPr>
          </w:p>
          <w:p w14:paraId="56532ED0" w14:textId="69635D30" w:rsidR="004C6641" w:rsidRPr="00AD0647" w:rsidRDefault="009C4B00" w:rsidP="004C6641">
            <w:pPr>
              <w:spacing w:after="0" w:line="240" w:lineRule="auto"/>
              <w:rPr>
                <w:lang w:eastAsia="en-GB"/>
              </w:rPr>
            </w:pPr>
            <w:r>
              <w:rPr>
                <w:lang w:eastAsia="en-GB"/>
              </w:rPr>
              <w:t>Lisa Boyle</w:t>
            </w:r>
          </w:p>
        </w:tc>
      </w:tr>
      <w:tr w:rsidR="002E7CC9" w:rsidRPr="00AD0647" w14:paraId="514C0C61"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AF81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16BD1687" w14:textId="77777777" w:rsidR="004C6641" w:rsidRPr="00AD0647" w:rsidRDefault="004C6641" w:rsidP="004C6641">
            <w:pPr>
              <w:spacing w:after="0" w:line="240" w:lineRule="auto"/>
              <w:rPr>
                <w:b/>
                <w:szCs w:val="24"/>
                <w:lang w:eastAsia="en-GB"/>
              </w:rPr>
            </w:pPr>
            <w:r w:rsidRPr="00AD0647">
              <w:rPr>
                <w:b/>
                <w:szCs w:val="24"/>
                <w:lang w:eastAsia="en-GB"/>
              </w:rPr>
              <w:t>Accessible Transport</w:t>
            </w:r>
          </w:p>
        </w:tc>
        <w:tc>
          <w:tcPr>
            <w:tcW w:w="2977" w:type="dxa"/>
            <w:tcBorders>
              <w:top w:val="single" w:sz="4" w:space="0" w:color="auto"/>
              <w:left w:val="single" w:sz="4" w:space="0" w:color="auto"/>
              <w:bottom w:val="single" w:sz="4" w:space="0" w:color="auto"/>
              <w:right w:val="single" w:sz="4" w:space="0" w:color="auto"/>
            </w:tcBorders>
            <w:hideMark/>
          </w:tcPr>
          <w:p w14:paraId="6F15F00A" w14:textId="77777777" w:rsidR="004C6641" w:rsidRPr="00AD0647" w:rsidRDefault="004C6641" w:rsidP="004C6641">
            <w:pPr>
              <w:spacing w:after="0" w:line="240" w:lineRule="auto"/>
              <w:rPr>
                <w:color w:val="000000" w:themeColor="text1"/>
                <w:sz w:val="22"/>
                <w:lang w:eastAsia="en-GB"/>
              </w:rPr>
            </w:pPr>
            <w:r w:rsidRPr="00AD0647">
              <w:rPr>
                <w:color w:val="000000" w:themeColor="text1"/>
                <w:lang w:eastAsia="en-GB"/>
              </w:rPr>
              <w:t xml:space="preserve">The Accessible Transport Strategy </w:t>
            </w:r>
          </w:p>
        </w:tc>
        <w:tc>
          <w:tcPr>
            <w:tcW w:w="2551" w:type="dxa"/>
            <w:tcBorders>
              <w:top w:val="single" w:sz="4" w:space="0" w:color="auto"/>
              <w:left w:val="single" w:sz="4" w:space="0" w:color="auto"/>
              <w:bottom w:val="single" w:sz="4" w:space="0" w:color="auto"/>
              <w:right w:val="single" w:sz="4" w:space="0" w:color="auto"/>
            </w:tcBorders>
          </w:tcPr>
          <w:p w14:paraId="37A695E9" w14:textId="77777777" w:rsidR="004C6641" w:rsidRPr="00AD0647" w:rsidRDefault="004C6641" w:rsidP="004C6641">
            <w:pPr>
              <w:spacing w:after="0" w:line="240" w:lineRule="auto"/>
              <w:rPr>
                <w:color w:val="auto"/>
                <w:lang w:eastAsia="en-GB"/>
              </w:rPr>
            </w:pPr>
            <w:r w:rsidRPr="00AD0647">
              <w:rPr>
                <w:lang w:eastAsia="en-GB"/>
              </w:rPr>
              <w:t>David Cowan</w:t>
            </w:r>
          </w:p>
          <w:p w14:paraId="0CD1E33D"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6B075B99" w14:textId="5D4A3B05" w:rsidR="004C6641" w:rsidRPr="00AD0647" w:rsidRDefault="00D0386B" w:rsidP="004C6641">
            <w:pPr>
              <w:spacing w:after="0" w:line="240" w:lineRule="auto"/>
              <w:rPr>
                <w:lang w:eastAsia="en-GB"/>
              </w:rPr>
            </w:pPr>
            <w:r>
              <w:rPr>
                <w:lang w:eastAsia="en-GB"/>
              </w:rPr>
              <w:t>Rosanna Jack</w:t>
            </w:r>
          </w:p>
          <w:p w14:paraId="1451DE84"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3D23104" w14:textId="212CAAEC" w:rsidR="004C6641" w:rsidRPr="00AD0647" w:rsidRDefault="00D03309"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tcPr>
          <w:p w14:paraId="173BA02F" w14:textId="7C20BD4B" w:rsidR="007F6231" w:rsidRDefault="000F3028" w:rsidP="004C6641">
            <w:pPr>
              <w:spacing w:after="0" w:line="240" w:lineRule="auto"/>
              <w:rPr>
                <w:lang w:eastAsia="en-GB"/>
              </w:rPr>
            </w:pPr>
            <w:r>
              <w:rPr>
                <w:lang w:eastAsia="en-GB"/>
              </w:rPr>
              <w:t>Leona Lees</w:t>
            </w:r>
          </w:p>
          <w:p w14:paraId="1710FCED" w14:textId="183A7F8A" w:rsidR="004C6641" w:rsidRPr="00AD0647" w:rsidRDefault="004C6641" w:rsidP="004C6641">
            <w:pPr>
              <w:spacing w:after="0" w:line="240" w:lineRule="auto"/>
              <w:rPr>
                <w:lang w:eastAsia="en-GB"/>
              </w:rPr>
            </w:pPr>
            <w:r w:rsidRPr="00AD0647">
              <w:rPr>
                <w:lang w:eastAsia="en-GB"/>
              </w:rPr>
              <w:t>Sean Coulter</w:t>
            </w:r>
          </w:p>
          <w:p w14:paraId="01C3D842" w14:textId="77777777" w:rsidR="004C6641" w:rsidRPr="00AD0647" w:rsidRDefault="004C6641" w:rsidP="004C6641">
            <w:pPr>
              <w:spacing w:after="0" w:line="240" w:lineRule="auto"/>
              <w:rPr>
                <w:lang w:eastAsia="en-GB"/>
              </w:rPr>
            </w:pPr>
          </w:p>
        </w:tc>
      </w:tr>
      <w:tr w:rsidR="002E7CC9" w:rsidRPr="00AD0647" w14:paraId="1F76B93D"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83CC1D"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43A746F" w14:textId="77777777" w:rsidR="004C6641" w:rsidRPr="00AD0647" w:rsidRDefault="004C6641" w:rsidP="004C6641">
            <w:pPr>
              <w:spacing w:after="0" w:line="240" w:lineRule="auto"/>
              <w:rPr>
                <w:b/>
                <w:sz w:val="22"/>
                <w:lang w:eastAsia="en-GB"/>
              </w:rPr>
            </w:pPr>
            <w:r w:rsidRPr="00AD0647">
              <w:rPr>
                <w:b/>
                <w:lang w:eastAsia="en-GB"/>
              </w:rPr>
              <w:t>Future Network Requirements</w:t>
            </w:r>
          </w:p>
        </w:tc>
        <w:tc>
          <w:tcPr>
            <w:tcW w:w="2977" w:type="dxa"/>
            <w:tcBorders>
              <w:top w:val="single" w:sz="4" w:space="0" w:color="auto"/>
              <w:left w:val="single" w:sz="4" w:space="0" w:color="auto"/>
              <w:bottom w:val="single" w:sz="4" w:space="0" w:color="auto"/>
              <w:right w:val="single" w:sz="4" w:space="0" w:color="auto"/>
            </w:tcBorders>
            <w:hideMark/>
          </w:tcPr>
          <w:p w14:paraId="0191C8EE" w14:textId="77777777" w:rsidR="004C6641" w:rsidRPr="00AD0647" w:rsidRDefault="004C6641" w:rsidP="004C6641">
            <w:pPr>
              <w:spacing w:after="0" w:line="240" w:lineRule="auto"/>
              <w:rPr>
                <w:color w:val="000000" w:themeColor="text1"/>
                <w:lang w:eastAsia="en-GB"/>
              </w:rPr>
            </w:pPr>
            <w:r w:rsidRPr="00AD0647">
              <w:rPr>
                <w:color w:val="000000" w:themeColor="text1"/>
                <w:lang w:eastAsia="en-GB"/>
              </w:rPr>
              <w:t>Production of Public Transport Network Study</w:t>
            </w:r>
          </w:p>
        </w:tc>
        <w:tc>
          <w:tcPr>
            <w:tcW w:w="2551" w:type="dxa"/>
            <w:tcBorders>
              <w:top w:val="single" w:sz="4" w:space="0" w:color="auto"/>
              <w:left w:val="single" w:sz="4" w:space="0" w:color="auto"/>
              <w:bottom w:val="single" w:sz="4" w:space="0" w:color="auto"/>
              <w:right w:val="single" w:sz="4" w:space="0" w:color="auto"/>
            </w:tcBorders>
          </w:tcPr>
          <w:p w14:paraId="50D5F6A7" w14:textId="77777777" w:rsidR="004C6641" w:rsidRPr="00AD0647" w:rsidRDefault="004C6641" w:rsidP="004C6641">
            <w:pPr>
              <w:spacing w:after="0" w:line="240" w:lineRule="auto"/>
              <w:rPr>
                <w:color w:val="auto"/>
                <w:lang w:eastAsia="en-GB"/>
              </w:rPr>
            </w:pPr>
            <w:r w:rsidRPr="00AD0647">
              <w:rPr>
                <w:lang w:eastAsia="en-GB"/>
              </w:rPr>
              <w:t>David Cowan</w:t>
            </w:r>
          </w:p>
          <w:p w14:paraId="3B64343E"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0E351015" w14:textId="77777777" w:rsidR="004C6641" w:rsidRPr="00AD0647" w:rsidRDefault="004C6641" w:rsidP="004C6641">
            <w:pPr>
              <w:spacing w:after="0" w:line="240" w:lineRule="auto"/>
              <w:rPr>
                <w:lang w:eastAsia="en-GB"/>
              </w:rPr>
            </w:pPr>
            <w:r w:rsidRPr="00AD0647">
              <w:rPr>
                <w:lang w:eastAsia="en-GB"/>
              </w:rPr>
              <w:t>Robin Totten</w:t>
            </w:r>
          </w:p>
          <w:p w14:paraId="24B6BC23" w14:textId="77777777" w:rsidR="004C6641" w:rsidRPr="00AD0647" w:rsidRDefault="004C6641" w:rsidP="004C6641">
            <w:pPr>
              <w:spacing w:after="0" w:line="240" w:lineRule="auto"/>
              <w:rPr>
                <w:lang w:eastAsia="en-GB"/>
              </w:rPr>
            </w:pPr>
          </w:p>
          <w:p w14:paraId="115C61A3"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201A524E" w14:textId="0739E261" w:rsidR="004C6641" w:rsidRPr="00AD0647" w:rsidRDefault="00123E30" w:rsidP="004C6641">
            <w:pPr>
              <w:spacing w:after="0" w:line="240" w:lineRule="auto"/>
              <w:rPr>
                <w:lang w:eastAsia="en-GB"/>
              </w:rPr>
            </w:pPr>
            <w:r>
              <w:rPr>
                <w:lang w:eastAsia="en-GB"/>
              </w:rPr>
              <w:t>Sian Kerr</w:t>
            </w:r>
          </w:p>
        </w:tc>
        <w:tc>
          <w:tcPr>
            <w:tcW w:w="2835" w:type="dxa"/>
            <w:tcBorders>
              <w:top w:val="single" w:sz="4" w:space="0" w:color="auto"/>
              <w:left w:val="single" w:sz="4" w:space="0" w:color="auto"/>
              <w:bottom w:val="single" w:sz="4" w:space="0" w:color="auto"/>
              <w:right w:val="single" w:sz="4" w:space="0" w:color="auto"/>
            </w:tcBorders>
            <w:hideMark/>
          </w:tcPr>
          <w:p w14:paraId="63F3EA77" w14:textId="53488A4B" w:rsidR="004C6641" w:rsidRPr="00AD0647" w:rsidRDefault="00123E30" w:rsidP="004C6641">
            <w:pPr>
              <w:spacing w:after="0" w:line="240" w:lineRule="auto"/>
              <w:rPr>
                <w:lang w:eastAsia="en-GB"/>
              </w:rPr>
            </w:pPr>
            <w:r>
              <w:rPr>
                <w:lang w:eastAsia="en-GB"/>
              </w:rPr>
              <w:t>James Redmond</w:t>
            </w:r>
          </w:p>
        </w:tc>
      </w:tr>
      <w:tr w:rsidR="002E7CC9" w:rsidRPr="00AD0647" w14:paraId="0E3C30BA" w14:textId="77777777" w:rsidTr="00D0386B">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AD231E" w14:textId="77777777" w:rsidR="004C6641" w:rsidRPr="00AD0647" w:rsidRDefault="004C6641" w:rsidP="004C6641">
            <w:pPr>
              <w:numPr>
                <w:ilvl w:val="0"/>
                <w:numId w:val="23"/>
              </w:numPr>
              <w:spacing w:after="0" w:line="240" w:lineRule="auto"/>
              <w:ind w:left="176" w:hanging="142"/>
              <w:contextualSpacing/>
              <w:jc w:val="left"/>
              <w:rPr>
                <w:b/>
                <w:szCs w:val="24"/>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1528F418" w14:textId="77777777" w:rsidR="004C6641" w:rsidRPr="00AD0647" w:rsidRDefault="004C6641" w:rsidP="004C6641">
            <w:pPr>
              <w:spacing w:after="0" w:line="240" w:lineRule="auto"/>
              <w:jc w:val="left"/>
              <w:rPr>
                <w:b/>
                <w:szCs w:val="24"/>
                <w:lang w:eastAsia="en-GB"/>
              </w:rPr>
            </w:pPr>
            <w:r w:rsidRPr="00AD0647">
              <w:rPr>
                <w:b/>
                <w:szCs w:val="24"/>
                <w:lang w:eastAsia="en-GB"/>
              </w:rPr>
              <w:t>Commercial Bus Service Permits</w:t>
            </w:r>
          </w:p>
        </w:tc>
        <w:tc>
          <w:tcPr>
            <w:tcW w:w="2977" w:type="dxa"/>
            <w:tcBorders>
              <w:top w:val="single" w:sz="4" w:space="0" w:color="auto"/>
              <w:left w:val="single" w:sz="4" w:space="0" w:color="auto"/>
              <w:bottom w:val="single" w:sz="4" w:space="0" w:color="auto"/>
              <w:right w:val="single" w:sz="4" w:space="0" w:color="auto"/>
            </w:tcBorders>
            <w:hideMark/>
          </w:tcPr>
          <w:p w14:paraId="5F28E70D" w14:textId="77777777" w:rsidR="004C6641" w:rsidRPr="00AD0647" w:rsidRDefault="004C6641" w:rsidP="004C6641">
            <w:pPr>
              <w:spacing w:after="0" w:line="240" w:lineRule="auto"/>
              <w:rPr>
                <w:color w:val="000000" w:themeColor="text1"/>
                <w:sz w:val="22"/>
                <w:lang w:eastAsia="en-GB"/>
              </w:rPr>
            </w:pPr>
            <w:r w:rsidRPr="00AD0647">
              <w:rPr>
                <w:color w:val="000000" w:themeColor="text1"/>
                <w:lang w:eastAsia="en-GB"/>
              </w:rPr>
              <w:t>Feedback from Translink on permit applications</w:t>
            </w:r>
          </w:p>
        </w:tc>
        <w:tc>
          <w:tcPr>
            <w:tcW w:w="2551" w:type="dxa"/>
            <w:tcBorders>
              <w:top w:val="single" w:sz="4" w:space="0" w:color="auto"/>
              <w:left w:val="single" w:sz="4" w:space="0" w:color="auto"/>
              <w:bottom w:val="single" w:sz="4" w:space="0" w:color="auto"/>
              <w:right w:val="single" w:sz="4" w:space="0" w:color="auto"/>
            </w:tcBorders>
          </w:tcPr>
          <w:p w14:paraId="3F34CF9D" w14:textId="77777777" w:rsidR="004C6641" w:rsidRPr="00AD0647" w:rsidRDefault="004C6641" w:rsidP="004C6641">
            <w:pPr>
              <w:spacing w:after="0" w:line="240" w:lineRule="auto"/>
              <w:rPr>
                <w:color w:val="auto"/>
                <w:lang w:eastAsia="en-GB"/>
              </w:rPr>
            </w:pPr>
            <w:r w:rsidRPr="00AD0647">
              <w:rPr>
                <w:lang w:eastAsia="en-GB"/>
              </w:rPr>
              <w:t>David Cowan</w:t>
            </w:r>
          </w:p>
          <w:p w14:paraId="680D9778" w14:textId="77777777" w:rsidR="004C6641" w:rsidRPr="00AD0647" w:rsidRDefault="004C6641" w:rsidP="004C6641">
            <w:pPr>
              <w:spacing w:after="0" w:line="240" w:lineRule="auto"/>
              <w:rPr>
                <w:lang w:eastAsia="en-GB"/>
              </w:rPr>
            </w:pPr>
          </w:p>
        </w:tc>
        <w:tc>
          <w:tcPr>
            <w:tcW w:w="2410" w:type="dxa"/>
            <w:tcBorders>
              <w:top w:val="single" w:sz="4" w:space="0" w:color="auto"/>
              <w:left w:val="single" w:sz="4" w:space="0" w:color="auto"/>
              <w:bottom w:val="single" w:sz="4" w:space="0" w:color="auto"/>
              <w:right w:val="single" w:sz="4" w:space="0" w:color="auto"/>
            </w:tcBorders>
          </w:tcPr>
          <w:p w14:paraId="6C78C3D6" w14:textId="77777777" w:rsidR="004C6641" w:rsidRPr="00AD0647" w:rsidRDefault="004C6641" w:rsidP="004C6641">
            <w:pPr>
              <w:spacing w:after="0" w:line="240" w:lineRule="auto"/>
              <w:rPr>
                <w:lang w:eastAsia="en-GB"/>
              </w:rPr>
            </w:pPr>
            <w:r w:rsidRPr="00AD0647">
              <w:rPr>
                <w:lang w:eastAsia="en-GB"/>
              </w:rPr>
              <w:t>Robin Totten</w:t>
            </w:r>
          </w:p>
          <w:p w14:paraId="6FFDE280" w14:textId="77777777" w:rsidR="004C6641" w:rsidRPr="00AD0647" w:rsidRDefault="004C6641" w:rsidP="004C6641">
            <w:pPr>
              <w:spacing w:after="0" w:line="240" w:lineRule="auto"/>
              <w:rPr>
                <w:lang w:eastAsia="en-GB"/>
              </w:rPr>
            </w:pPr>
          </w:p>
        </w:tc>
        <w:tc>
          <w:tcPr>
            <w:tcW w:w="2693" w:type="dxa"/>
            <w:tcBorders>
              <w:top w:val="single" w:sz="4" w:space="0" w:color="auto"/>
              <w:left w:val="single" w:sz="4" w:space="0" w:color="auto"/>
              <w:bottom w:val="single" w:sz="4" w:space="0" w:color="auto"/>
              <w:right w:val="single" w:sz="4" w:space="0" w:color="auto"/>
            </w:tcBorders>
            <w:hideMark/>
          </w:tcPr>
          <w:p w14:paraId="79E728C8" w14:textId="116234F9" w:rsidR="004C6641" w:rsidRPr="00AD0647" w:rsidRDefault="00D03309" w:rsidP="004C6641">
            <w:pPr>
              <w:spacing w:after="0" w:line="240" w:lineRule="auto"/>
              <w:rPr>
                <w:lang w:eastAsia="en-GB"/>
              </w:rPr>
            </w:pPr>
            <w:r>
              <w:rPr>
                <w:lang w:eastAsia="en-GB"/>
              </w:rPr>
              <w:t>Peter Rice</w:t>
            </w:r>
          </w:p>
        </w:tc>
        <w:tc>
          <w:tcPr>
            <w:tcW w:w="2835" w:type="dxa"/>
            <w:tcBorders>
              <w:top w:val="single" w:sz="4" w:space="0" w:color="auto"/>
              <w:left w:val="single" w:sz="4" w:space="0" w:color="auto"/>
              <w:bottom w:val="single" w:sz="4" w:space="0" w:color="auto"/>
              <w:right w:val="single" w:sz="4" w:space="0" w:color="auto"/>
            </w:tcBorders>
            <w:hideMark/>
          </w:tcPr>
          <w:p w14:paraId="34146A3B" w14:textId="41167411" w:rsidR="004C6641" w:rsidRPr="00AD0647" w:rsidRDefault="000F3028" w:rsidP="004C6641">
            <w:pPr>
              <w:spacing w:after="0" w:line="240" w:lineRule="auto"/>
              <w:rPr>
                <w:lang w:eastAsia="en-GB"/>
              </w:rPr>
            </w:pPr>
            <w:r>
              <w:rPr>
                <w:lang w:eastAsia="en-GB"/>
              </w:rPr>
              <w:t>Leona Lees</w:t>
            </w:r>
          </w:p>
        </w:tc>
      </w:tr>
    </w:tbl>
    <w:p w14:paraId="775D3D88" w14:textId="77777777" w:rsidR="00A81D73" w:rsidRPr="00AD0647" w:rsidRDefault="00A81D73" w:rsidP="00433256"/>
    <w:p w14:paraId="236D3D10" w14:textId="77777777" w:rsidR="00A81D73" w:rsidRPr="00AD0647" w:rsidRDefault="00A81D73" w:rsidP="00433256"/>
    <w:p w14:paraId="293A09FC" w14:textId="77777777" w:rsidR="00A81D73" w:rsidRPr="00AD0647" w:rsidRDefault="00A81D73" w:rsidP="00A81D73">
      <w:pPr>
        <w:rPr>
          <w:b/>
          <w:sz w:val="22"/>
        </w:rPr>
      </w:pPr>
      <w:r w:rsidRPr="00AD0647">
        <w:t>DfI staff - e-mail @infrastructure-ni.gov.uk</w:t>
      </w:r>
    </w:p>
    <w:p w14:paraId="329DD234" w14:textId="0FBE6DE3" w:rsidR="00A81D73" w:rsidRDefault="00A81D73" w:rsidP="00A81D73">
      <w:r w:rsidRPr="00AD0647">
        <w:rPr>
          <w:rStyle w:val="Hyperlink"/>
        </w:rPr>
        <w:t>Translink staff – e-mail</w:t>
      </w:r>
      <w:r w:rsidR="009E6882">
        <w:rPr>
          <w:rStyle w:val="Hyperlink"/>
        </w:rPr>
        <w:t xml:space="preserve"> </w:t>
      </w:r>
      <w:hyperlink r:id="rId37" w:history="1">
        <w:r w:rsidRPr="00AD0647">
          <w:rPr>
            <w:rStyle w:val="Hyperlink"/>
          </w:rPr>
          <w:t>@translink.co.uk</w:t>
        </w:r>
      </w:hyperlink>
    </w:p>
    <w:p w14:paraId="61BB8EA6" w14:textId="77777777" w:rsidR="00A81D73" w:rsidRDefault="00A81D73" w:rsidP="006E4067"/>
    <w:sectPr w:rsidR="00A81D73" w:rsidSect="00F23AC6">
      <w:headerReference w:type="first" r:id="rId38"/>
      <w:pgSz w:w="16838" w:h="11906" w:orient="landscape"/>
      <w:pgMar w:top="1032" w:right="988" w:bottom="1371" w:left="71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74AC" w14:textId="77777777" w:rsidR="00B70138" w:rsidRDefault="00B70138">
      <w:pPr>
        <w:spacing w:after="0" w:line="240" w:lineRule="auto"/>
      </w:pPr>
      <w:r>
        <w:separator/>
      </w:r>
    </w:p>
  </w:endnote>
  <w:endnote w:type="continuationSeparator" w:id="0">
    <w:p w14:paraId="0957781A" w14:textId="77777777" w:rsidR="00B70138" w:rsidRDefault="00B70138">
      <w:pPr>
        <w:spacing w:after="0" w:line="240" w:lineRule="auto"/>
      </w:pPr>
      <w:r>
        <w:continuationSeparator/>
      </w:r>
    </w:p>
  </w:endnote>
  <w:endnote w:type="continuationNotice" w:id="1">
    <w:p w14:paraId="5B231BD7" w14:textId="77777777" w:rsidR="00B70138" w:rsidRDefault="00B7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Shell Dlg 2">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2CB2" w14:textId="0538F4F0" w:rsidR="00D3104D" w:rsidRDefault="00D3104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53DAA">
      <w:rPr>
        <w:caps/>
        <w:noProof/>
        <w:color w:val="5B9BD5" w:themeColor="accent1"/>
      </w:rPr>
      <w:t>5</w:t>
    </w:r>
    <w:r>
      <w:rPr>
        <w:caps/>
        <w:noProof/>
        <w:color w:val="5B9BD5" w:themeColor="accent1"/>
      </w:rPr>
      <w:fldChar w:fldCharType="end"/>
    </w:r>
  </w:p>
  <w:p w14:paraId="48288B06" w14:textId="77777777" w:rsidR="00D3104D" w:rsidRDefault="00D3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585D" w14:textId="77777777" w:rsidR="00B70138" w:rsidRDefault="00B70138">
      <w:pPr>
        <w:spacing w:after="0" w:line="260" w:lineRule="auto"/>
        <w:ind w:left="550" w:hanging="142"/>
        <w:jc w:val="left"/>
      </w:pPr>
      <w:r>
        <w:separator/>
      </w:r>
    </w:p>
  </w:footnote>
  <w:footnote w:type="continuationSeparator" w:id="0">
    <w:p w14:paraId="0B6BBFA2" w14:textId="77777777" w:rsidR="00B70138" w:rsidRDefault="00B70138">
      <w:pPr>
        <w:spacing w:after="0" w:line="260" w:lineRule="auto"/>
        <w:ind w:left="550" w:hanging="142"/>
        <w:jc w:val="left"/>
      </w:pPr>
      <w:r>
        <w:continuationSeparator/>
      </w:r>
    </w:p>
  </w:footnote>
  <w:footnote w:type="continuationNotice" w:id="1">
    <w:p w14:paraId="76F2EBB2" w14:textId="77777777" w:rsidR="00B70138" w:rsidRDefault="00B70138">
      <w:pPr>
        <w:spacing w:after="0" w:line="240" w:lineRule="auto"/>
      </w:pPr>
    </w:p>
  </w:footnote>
  <w:footnote w:id="2">
    <w:p w14:paraId="0651B0B6" w14:textId="190EB4DF" w:rsidR="00D3104D" w:rsidRDefault="007C724A" w:rsidP="00DA18BE">
      <w:pPr>
        <w:pStyle w:val="footnotedescription"/>
      </w:pPr>
      <w:r w:rsidRPr="007C724A">
        <w:rPr>
          <w:vertAlign w:val="superscript"/>
        </w:rPr>
        <w:t>1</w:t>
      </w:r>
      <w:hyperlink r:id="rId1" w:history="1">
        <w:r w:rsidRPr="007C724A">
          <w:rPr>
            <w:rStyle w:val="Hyperlink"/>
          </w:rPr>
          <w:t>https://www.finance-ni.gov.uk/sites/default/files/publications/dfp/daodof0319.pdf</w:t>
        </w:r>
      </w:hyperlink>
    </w:p>
    <w:p w14:paraId="63B451BE" w14:textId="77777777" w:rsidR="007C724A" w:rsidRPr="007C724A" w:rsidRDefault="007C724A" w:rsidP="007C724A"/>
  </w:footnote>
  <w:footnote w:id="3">
    <w:p w14:paraId="06F4FC07" w14:textId="77777777" w:rsidR="00D3104D" w:rsidRDefault="00D3104D" w:rsidP="00E53D43">
      <w:pPr>
        <w:pStyle w:val="footnotedescription"/>
      </w:pPr>
      <w:r>
        <w:rPr>
          <w:rStyle w:val="footnotemark"/>
        </w:rPr>
        <w:footnoteRef/>
      </w:r>
      <w:r>
        <w:t xml:space="preserve"> Guidance issued by DoF on proportionate autonomy for arm’s length bodies  </w:t>
      </w:r>
    </w:p>
    <w:p w14:paraId="7F755E13" w14:textId="0B96F5DC" w:rsidR="00D3104D" w:rsidRDefault="00D3104D" w:rsidP="00E53D43">
      <w:pPr>
        <w:pStyle w:val="footnotedescription"/>
      </w:pPr>
      <w:hyperlink r:id="rId2" w:history="1">
        <w:r w:rsidRPr="00E825B4">
          <w:rPr>
            <w:rStyle w:val="Hyperlink"/>
          </w:rPr>
          <w:t>https://www.finance-ni.gov.uk/sites/default/files/publications/dfp/daodof0619att.pdf</w:t>
        </w:r>
      </w:hyperlink>
      <w:r>
        <w:t xml:space="preserve"> </w:t>
      </w:r>
    </w:p>
    <w:p w14:paraId="54A6EE52" w14:textId="77777777" w:rsidR="00D3104D" w:rsidRDefault="00D3104D" w:rsidP="00CC72CF">
      <w:pPr>
        <w:pStyle w:val="footnotedescription"/>
        <w:ind w:left="408" w:firstLine="0"/>
      </w:pPr>
    </w:p>
  </w:footnote>
  <w:footnote w:id="4">
    <w:p w14:paraId="23119D87" w14:textId="72D25F17" w:rsidR="00D3104D" w:rsidRDefault="00D3104D">
      <w:pPr>
        <w:pStyle w:val="FootnoteText"/>
      </w:pPr>
      <w:r>
        <w:rPr>
          <w:rStyle w:val="FootnoteReference"/>
        </w:rPr>
        <w:footnoteRef/>
      </w:r>
      <w:r>
        <w:t xml:space="preserve"> </w:t>
      </w:r>
      <w:hyperlink r:id="rId3" w:history="1">
        <w:r w:rsidRPr="00C74E62">
          <w:rPr>
            <w:rStyle w:val="Hyperlink"/>
          </w:rPr>
          <w:t>Public Bodies Handbook – Part 1. Classification Of Public Bodies: Guidance for Departments (publishing.service.gov.uk)</w:t>
        </w:r>
      </w:hyperlink>
    </w:p>
  </w:footnote>
  <w:footnote w:id="5">
    <w:p w14:paraId="75D5006F" w14:textId="74621BD3" w:rsidR="00D3104D" w:rsidRDefault="00D3104D" w:rsidP="00B956F9">
      <w:pPr>
        <w:pStyle w:val="footnotedescription"/>
      </w:pPr>
      <w:r>
        <w:rPr>
          <w:rStyle w:val="footnotemark"/>
        </w:rPr>
        <w:footnoteRef/>
      </w:r>
      <w:r>
        <w:t xml:space="preserve">   </w:t>
      </w:r>
      <w:hyperlink r:id="rId4" w:history="1">
        <w:r w:rsidRPr="008231F3">
          <w:rPr>
            <w:rStyle w:val="Hyperlink"/>
          </w:rPr>
          <w:t>https://www.legislation.gov.uk/apni/1967/37/section/47</w:t>
        </w:r>
      </w:hyperlink>
      <w:r>
        <w:t xml:space="preserve"> </w:t>
      </w:r>
    </w:p>
  </w:footnote>
  <w:footnote w:id="6">
    <w:p w14:paraId="077E8B9A" w14:textId="77777777" w:rsidR="00D3104D" w:rsidRDefault="00D3104D" w:rsidP="004B6005">
      <w:pPr>
        <w:pStyle w:val="footnotedescription"/>
      </w:pPr>
      <w:r>
        <w:rPr>
          <w:rStyle w:val="footnotemark"/>
        </w:rPr>
        <w:footnoteRef/>
      </w:r>
      <w:r>
        <w:t xml:space="preserve">   </w:t>
      </w:r>
      <w:hyperlink r:id="rId5" w:history="1">
        <w:r w:rsidRPr="008231F3">
          <w:rPr>
            <w:rStyle w:val="Hyperlink"/>
          </w:rPr>
          <w:t>https://www.legislation.gov.uk/apni/1967/37/section/48</w:t>
        </w:r>
      </w:hyperlink>
      <w:r>
        <w:t xml:space="preserve"> </w:t>
      </w:r>
    </w:p>
  </w:footnote>
  <w:footnote w:id="7">
    <w:p w14:paraId="1CBE4E5E" w14:textId="77777777" w:rsidR="00D3104D" w:rsidRDefault="00D3104D" w:rsidP="00CA7654">
      <w:pPr>
        <w:pStyle w:val="footnotedescription"/>
      </w:pPr>
      <w:r>
        <w:rPr>
          <w:rStyle w:val="footnotemark"/>
        </w:rPr>
        <w:footnoteRef/>
      </w:r>
      <w:r>
        <w:t xml:space="preserve">   </w:t>
      </w:r>
      <w:hyperlink r:id="rId6" w:history="1">
        <w:r w:rsidRPr="005912B2">
          <w:rPr>
            <w:rStyle w:val="Hyperlink"/>
          </w:rPr>
          <w:t>https://www.legislation.gov.uk/nisro/1972/175/pdfs/nisro_19720175_en.pdf</w:t>
        </w:r>
      </w:hyperlink>
      <w:r>
        <w:t xml:space="preserve">  </w:t>
      </w:r>
    </w:p>
  </w:footnote>
  <w:footnote w:id="8">
    <w:p w14:paraId="30F36C15" w14:textId="19B80A8F" w:rsidR="00D3104D" w:rsidRDefault="00D3104D" w:rsidP="00AA27C0">
      <w:pPr>
        <w:pStyle w:val="footnotedescription"/>
      </w:pPr>
      <w:hyperlink r:id="rId7" w:history="1">
        <w:r w:rsidRPr="00341765">
          <w:rPr>
            <w:rStyle w:val="Hyperlink"/>
            <w:vertAlign w:val="superscript"/>
          </w:rPr>
          <w:footnoteRef/>
        </w:r>
        <w:r w:rsidRPr="00341765">
          <w:rPr>
            <w:rStyle w:val="Hyperlink"/>
          </w:rPr>
          <w:t xml:space="preserve"> https://www.finance-ni.gov.uk/sites/default/files/publications/dfp/daodfp0613att.pdf</w:t>
        </w:r>
      </w:hyperlink>
      <w:r>
        <w:t xml:space="preserve"> </w:t>
      </w:r>
    </w:p>
  </w:footnote>
  <w:footnote w:id="9">
    <w:p w14:paraId="05863135" w14:textId="5DE859A9" w:rsidR="00D3104D" w:rsidRPr="00BA7AE0" w:rsidRDefault="00510578" w:rsidP="001470F5">
      <w:pPr>
        <w:pStyle w:val="footnotedescription"/>
        <w:rPr>
          <w:rStyle w:val="Hyperlink"/>
        </w:rPr>
      </w:pPr>
      <w:r w:rsidRPr="00510578">
        <w:rPr>
          <w:rStyle w:val="footnotemark"/>
        </w:rPr>
        <w:t>8</w:t>
      </w:r>
      <w:r>
        <w:rPr>
          <w:sz w:val="24"/>
        </w:rPr>
        <w:t xml:space="preserve"> </w:t>
      </w:r>
      <w:hyperlink r:id="rId8" w:anchor="toc-0" w:history="1">
        <w:r w:rsidR="001A1140" w:rsidRPr="00797361">
          <w:rPr>
            <w:rStyle w:val="Hyperlink"/>
          </w:rPr>
          <w:t>Managing Public Money NI (MPMNI) | Department of Finance (finance-ni.gov.uk)</w:t>
        </w:r>
      </w:hyperlink>
    </w:p>
  </w:footnote>
  <w:footnote w:id="10">
    <w:p w14:paraId="081A6DFD" w14:textId="45465659" w:rsidR="00D3104D" w:rsidRDefault="00D3104D" w:rsidP="00C5434C">
      <w:pPr>
        <w:pStyle w:val="footnotedescription"/>
      </w:pPr>
      <w:r>
        <w:t xml:space="preserve"> </w:t>
      </w:r>
    </w:p>
    <w:p w14:paraId="432F4F7B" w14:textId="096F86A6" w:rsidR="00510578" w:rsidRPr="00797361" w:rsidRDefault="00797361" w:rsidP="00510578">
      <w:pPr>
        <w:rPr>
          <w:rStyle w:val="Hyperlink"/>
          <w:sz w:val="20"/>
        </w:rPr>
      </w:pPr>
      <w:r>
        <w:rPr>
          <w:rStyle w:val="footnotemark"/>
        </w:rPr>
        <w:t xml:space="preserve">  </w:t>
      </w:r>
      <w:r w:rsidR="00510578" w:rsidRPr="00510578">
        <w:rPr>
          <w:rStyle w:val="footnotemark"/>
        </w:rPr>
        <w:t>9</w:t>
      </w:r>
      <w:r w:rsidR="00510578">
        <w:t xml:space="preserve"> </w:t>
      </w:r>
      <w:hyperlink r:id="rId9" w:history="1">
        <w:r w:rsidR="00510578" w:rsidRPr="00797361">
          <w:rPr>
            <w:rStyle w:val="Hyperlink"/>
            <w:sz w:val="20"/>
          </w:rPr>
          <w:t>https://www.legislation.gov.uk/apni/1967/37/section/47</w:t>
        </w:r>
      </w:hyperlink>
    </w:p>
  </w:footnote>
  <w:footnote w:id="11">
    <w:p w14:paraId="6F305755" w14:textId="77777777" w:rsidR="001A1140" w:rsidRPr="00797361" w:rsidRDefault="001A1140" w:rsidP="001A1140">
      <w:pPr>
        <w:pStyle w:val="footnotedescription"/>
        <w:rPr>
          <w:rStyle w:val="Hyperlink"/>
        </w:rPr>
      </w:pPr>
      <w:r>
        <w:rPr>
          <w:rStyle w:val="footnotemark"/>
        </w:rPr>
        <w:footnoteRef/>
      </w:r>
      <w:r>
        <w:t xml:space="preserve">   </w:t>
      </w:r>
      <w:hyperlink r:id="rId10" w:history="1">
        <w:r w:rsidRPr="00797361">
          <w:rPr>
            <w:rStyle w:val="Hyperlink"/>
          </w:rPr>
          <w:t>Code of Practice for Ministerial Public Appointments in Northern Ireland | The Commissioner for Public Appointments for Northern Ireland (publicappointmentsni.org)</w:t>
        </w:r>
      </w:hyperlink>
    </w:p>
  </w:footnote>
  <w:footnote w:id="12">
    <w:p w14:paraId="3053392B" w14:textId="6CFB4105" w:rsidR="00D3104D" w:rsidRDefault="00D3104D" w:rsidP="00DC7167">
      <w:pPr>
        <w:pStyle w:val="footnotedescription"/>
      </w:pPr>
      <w:r>
        <w:rPr>
          <w:rStyle w:val="footnotemark"/>
        </w:rPr>
        <w:footnoteRef/>
      </w:r>
      <w:r>
        <w:t xml:space="preserve">  </w:t>
      </w:r>
      <w:hyperlink r:id="rId11" w:history="1">
        <w:r w:rsidRPr="008231F3">
          <w:rPr>
            <w:rStyle w:val="Hyperlink"/>
          </w:rPr>
          <w:t>https://www.legislation.gov.uk/apni/1967/37/schedule/1</w:t>
        </w:r>
      </w:hyperlink>
      <w:r>
        <w:t xml:space="preserve"> </w:t>
      </w:r>
    </w:p>
  </w:footnote>
  <w:footnote w:id="13">
    <w:p w14:paraId="03C4E231" w14:textId="77777777" w:rsidR="00D3104D" w:rsidRDefault="00D3104D" w:rsidP="0071329D">
      <w:pPr>
        <w:pStyle w:val="footnotedescription"/>
      </w:pPr>
      <w:r>
        <w:rPr>
          <w:rStyle w:val="footnotemark"/>
        </w:rPr>
        <w:footnoteRef/>
      </w:r>
      <w:r>
        <w:t xml:space="preserve">    </w:t>
      </w:r>
      <w:hyperlink r:id="rId12" w:history="1">
        <w:r w:rsidRPr="008231F3">
          <w:rPr>
            <w:rStyle w:val="Hyperlink"/>
          </w:rPr>
          <w:t>https://www.gov.uk/government/publications/the-7-principles-of-public-life/the-7-principles-of-public-life--2</w:t>
        </w:r>
      </w:hyperlink>
      <w:r>
        <w:t xml:space="preserve"> </w:t>
      </w:r>
    </w:p>
  </w:footnote>
  <w:footnote w:id="14">
    <w:p w14:paraId="332634CA" w14:textId="68FA7F87" w:rsidR="00D3104D" w:rsidRDefault="00D3104D" w:rsidP="0055637D">
      <w:pPr>
        <w:pStyle w:val="footnotedescription"/>
      </w:pPr>
      <w:r>
        <w:rPr>
          <w:rStyle w:val="footnotemark"/>
        </w:rPr>
        <w:footnoteRef/>
      </w:r>
      <w:r>
        <w:t xml:space="preserve">  </w:t>
      </w:r>
      <w:hyperlink r:id="rId13" w:history="1">
        <w:r w:rsidRPr="008231F3">
          <w:rPr>
            <w:rStyle w:val="Hyperlink"/>
          </w:rPr>
          <w:t>https://www.finance-ni.gov.uk/sites/default/files/publications/dfp/daodof0318att.pdf</w:t>
        </w:r>
      </w:hyperlink>
      <w:r>
        <w:t xml:space="preserve"> </w:t>
      </w:r>
    </w:p>
  </w:footnote>
  <w:footnote w:id="15">
    <w:p w14:paraId="4761B882" w14:textId="651F82E6" w:rsidR="00D3104D" w:rsidRDefault="00D3104D">
      <w:pPr>
        <w:pStyle w:val="FootnoteText"/>
      </w:pPr>
      <w:r>
        <w:rPr>
          <w:rStyle w:val="FootnoteReference"/>
        </w:rPr>
        <w:footnoteRef/>
      </w:r>
      <w:r>
        <w:t xml:space="preserve"> </w:t>
      </w:r>
      <w:hyperlink r:id="rId14" w:history="1">
        <w:r w:rsidRPr="00EB34C4">
          <w:rPr>
            <w:rStyle w:val="Hyperlink"/>
          </w:rPr>
          <w:t>Better Business Cases NI | Department of Finance (</w:t>
        </w:r>
        <w:r w:rsidRPr="00EB34C4">
          <w:rPr>
            <w:rStyle w:val="Hyperlink"/>
            <w:szCs w:val="22"/>
          </w:rPr>
          <w:t>finance</w:t>
        </w:r>
        <w:r w:rsidRPr="00EB34C4">
          <w:rPr>
            <w:rStyle w:val="Hyperlink"/>
          </w:rPr>
          <w:t>-ni.gov.uk)</w:t>
        </w:r>
      </w:hyperlink>
    </w:p>
  </w:footnote>
  <w:footnote w:id="16">
    <w:p w14:paraId="0635DBFE" w14:textId="1FD12C4A" w:rsidR="00D3104D" w:rsidRDefault="00D3104D" w:rsidP="00C673A9">
      <w:pPr>
        <w:pStyle w:val="footnotedescription"/>
      </w:pPr>
      <w:r>
        <w:rPr>
          <w:rStyle w:val="footnotemark"/>
        </w:rPr>
        <w:footnoteRef/>
      </w:r>
      <w:r>
        <w:t xml:space="preserve"> </w:t>
      </w:r>
      <w:hyperlink r:id="rId15" w:history="1">
        <w:r w:rsidR="0091383C" w:rsidRPr="0091383C">
          <w:rPr>
            <w:color w:val="0000FF"/>
            <w:sz w:val="24"/>
            <w:u w:val="single"/>
          </w:rPr>
          <w:t>Programme for Government | The Executive Office (executiveoffice-ni.gov.uk)</w:t>
        </w:r>
      </w:hyperlink>
    </w:p>
  </w:footnote>
  <w:footnote w:id="17">
    <w:p w14:paraId="5B4547F5" w14:textId="2700E915" w:rsidR="00D3104D" w:rsidRPr="0072683E" w:rsidRDefault="00D3104D" w:rsidP="004D5024">
      <w:pPr>
        <w:pStyle w:val="footnotedescription"/>
      </w:pPr>
      <w:r w:rsidRPr="0072683E">
        <w:rPr>
          <w:rStyle w:val="footnotemark"/>
        </w:rPr>
        <w:footnoteRef/>
      </w:r>
      <w:r w:rsidRPr="0072683E">
        <w:t xml:space="preserve"> </w:t>
      </w:r>
      <w:hyperlink r:id="rId16" w:history="1">
        <w:r w:rsidRPr="0072683E">
          <w:rPr>
            <w:rFonts w:eastAsiaTheme="minorHAnsi"/>
            <w:color w:val="0000FF"/>
            <w:szCs w:val="20"/>
            <w:u w:val="single"/>
            <w:lang w:eastAsia="en-US"/>
          </w:rPr>
          <w:t>DAO (DoF) 05/17 (19 Dec 2017) - Appointment/Designation of Accounting Officers (finance-ni.gov.uk)</w:t>
        </w:r>
      </w:hyperlink>
      <w:r w:rsidRPr="0072683E">
        <w:rPr>
          <w:rFonts w:eastAsiaTheme="minorHAnsi"/>
          <w:color w:val="0000FF"/>
          <w:sz w:val="22"/>
          <w:u w:val="single"/>
          <w:lang w:eastAsia="en-US"/>
        </w:rPr>
        <w:t xml:space="preserve"> </w:t>
      </w:r>
    </w:p>
  </w:footnote>
  <w:footnote w:id="18">
    <w:p w14:paraId="06B1139E" w14:textId="70F4028D" w:rsidR="00D3104D" w:rsidRDefault="00D3104D">
      <w:pPr>
        <w:pStyle w:val="FootnoteText"/>
      </w:pPr>
      <w:r>
        <w:rPr>
          <w:rStyle w:val="FootnoteReference"/>
        </w:rPr>
        <w:footnoteRef/>
      </w:r>
      <w:r>
        <w:t xml:space="preserve"> </w:t>
      </w:r>
      <w:hyperlink r:id="rId17" w:history="1">
        <w:r w:rsidRPr="00D93D5B">
          <w:rPr>
            <w:rFonts w:eastAsiaTheme="minorHAnsi"/>
            <w:color w:val="0000FF"/>
            <w:u w:val="single"/>
            <w:lang w:eastAsia="en-US"/>
          </w:rPr>
          <w:t>273004_NIAO Good Practice Guide - Board Effectiveness (June 2022).pdf (niauditoffice.gov.uk)</w:t>
        </w:r>
      </w:hyperlink>
    </w:p>
  </w:footnote>
  <w:footnote w:id="19">
    <w:p w14:paraId="436A5006" w14:textId="2F5BD92D" w:rsidR="00D3104D" w:rsidRDefault="00D3104D">
      <w:pPr>
        <w:pStyle w:val="FootnoteText"/>
      </w:pPr>
      <w:r>
        <w:rPr>
          <w:rStyle w:val="FootnoteReference"/>
        </w:rPr>
        <w:footnoteRef/>
      </w:r>
      <w:r>
        <w:t xml:space="preserve"> </w:t>
      </w:r>
      <w:hyperlink r:id="rId18" w:history="1">
        <w:r w:rsidRPr="00D93D5B">
          <w:rPr>
            <w:rFonts w:eastAsiaTheme="minorHAnsi"/>
            <w:color w:val="0000FF"/>
            <w:u w:val="single"/>
            <w:lang w:eastAsia="en-US"/>
          </w:rPr>
          <w:t>Public sector internal audit standards PSIAS | CIPFA</w:t>
        </w:r>
      </w:hyperlink>
    </w:p>
  </w:footnote>
  <w:footnote w:id="20">
    <w:p w14:paraId="56D8429C" w14:textId="031335E9" w:rsidR="00047E4A" w:rsidRDefault="00D3104D">
      <w:pPr>
        <w:pStyle w:val="FootnoteText"/>
      </w:pPr>
      <w:r>
        <w:rPr>
          <w:rStyle w:val="FootnoteReference"/>
        </w:rPr>
        <w:footnoteRef/>
      </w:r>
      <w:r>
        <w:t xml:space="preserve"> </w:t>
      </w:r>
      <w:hyperlink r:id="rId19" w:history="1">
        <w:r w:rsidR="00047E4A" w:rsidRPr="0030007B">
          <w:rPr>
            <w:rStyle w:val="Hyperlink"/>
          </w:rPr>
          <w:t>https://www.ifrs.org/</w:t>
        </w:r>
      </w:hyperlink>
      <w:r w:rsidR="004E0F5B">
        <w:t xml:space="preserve"> </w:t>
      </w:r>
    </w:p>
    <w:p w14:paraId="176E45E2" w14:textId="61BE2682" w:rsidR="00D3104D" w:rsidRDefault="00047E4A">
      <w:pPr>
        <w:pStyle w:val="FootnoteText"/>
      </w:pPr>
      <w:r>
        <w:t xml:space="preserve"> </w:t>
      </w:r>
    </w:p>
  </w:footnote>
  <w:footnote w:id="21">
    <w:p w14:paraId="2080BC27" w14:textId="7CBFBA01" w:rsidR="00D3104D" w:rsidRDefault="00D3104D" w:rsidP="00FA515F">
      <w:pPr>
        <w:pStyle w:val="footnotedescription"/>
      </w:pPr>
      <w:r>
        <w:rPr>
          <w:rStyle w:val="footnotemark"/>
        </w:rPr>
        <w:footnoteRef/>
      </w:r>
      <w:r>
        <w:t xml:space="preserve">  </w:t>
      </w:r>
      <w:hyperlink r:id="rId20" w:history="1">
        <w:r w:rsidRPr="008231F3">
          <w:rPr>
            <w:rStyle w:val="Hyperlink"/>
          </w:rPr>
          <w:t>https://www.legislation.gov.uk/nisi/2003/418/contents/made</w:t>
        </w:r>
      </w:hyperlink>
      <w:r>
        <w:t xml:space="preserve"> </w:t>
      </w:r>
    </w:p>
  </w:footnote>
  <w:footnote w:id="22">
    <w:p w14:paraId="2287C7A6" w14:textId="4178AB4B" w:rsidR="00D3104D" w:rsidRPr="00405AFF" w:rsidRDefault="00D3104D" w:rsidP="00017CDA">
      <w:pPr>
        <w:pStyle w:val="FootnoteText"/>
        <w:rPr>
          <w:color w:val="4472C4" w:themeColor="accent5"/>
          <w:sz w:val="18"/>
          <w:szCs w:val="18"/>
        </w:rPr>
      </w:pPr>
      <w:r w:rsidRPr="007839A0">
        <w:rPr>
          <w:rStyle w:val="FootnoteReference"/>
          <w:sz w:val="18"/>
          <w:szCs w:val="18"/>
        </w:rPr>
        <w:footnoteRef/>
      </w:r>
      <w:r w:rsidRPr="007839A0">
        <w:rPr>
          <w:sz w:val="18"/>
          <w:szCs w:val="18"/>
        </w:rPr>
        <w:t xml:space="preserve"> </w:t>
      </w:r>
      <w:r w:rsidRPr="00405AFF">
        <w:rPr>
          <w:sz w:val="18"/>
          <w:szCs w:val="18"/>
        </w:rPr>
        <w:t xml:space="preserve">As outlined in DAO (DoF) </w:t>
      </w:r>
      <w:r w:rsidR="00D7271B" w:rsidRPr="00405AFF">
        <w:rPr>
          <w:sz w:val="18"/>
          <w:szCs w:val="18"/>
        </w:rPr>
        <w:t>05/25</w:t>
      </w:r>
      <w:r w:rsidRPr="00405AFF">
        <w:rPr>
          <w:sz w:val="18"/>
          <w:szCs w:val="18"/>
        </w:rPr>
        <w:t xml:space="preserve"> and the accompanying annexes. </w:t>
      </w:r>
      <w:hyperlink r:id="rId21" w:history="1">
        <w:r w:rsidR="00405AFF" w:rsidRPr="00405AFF">
          <w:rPr>
            <w:color w:val="4472C4" w:themeColor="accent5"/>
            <w:sz w:val="18"/>
            <w:szCs w:val="18"/>
            <w:u w:val="single"/>
          </w:rPr>
          <w:t>DAO (DoF) 05/25 - Departmental Delegations/requirements for DoF Approval</w:t>
        </w:r>
      </w:hyperlink>
      <w:r w:rsidR="00405AFF" w:rsidRPr="00405AFF">
        <w:rPr>
          <w:color w:val="4472C4" w:themeColor="accent5"/>
          <w:sz w:val="18"/>
          <w:szCs w:val="18"/>
          <w:u w:val="single"/>
        </w:rPr>
        <w:t>)</w:t>
      </w:r>
    </w:p>
  </w:footnote>
  <w:footnote w:id="23">
    <w:p w14:paraId="4E02EB38" w14:textId="63DDDDD0" w:rsidR="00D3104D" w:rsidRPr="00186DE4" w:rsidRDefault="00D3104D" w:rsidP="00017CDA">
      <w:pPr>
        <w:pStyle w:val="FootnoteText"/>
        <w:rPr>
          <w:sz w:val="18"/>
          <w:szCs w:val="18"/>
        </w:rPr>
      </w:pPr>
      <w:r w:rsidRPr="00186DE4">
        <w:rPr>
          <w:rStyle w:val="FootnoteReference"/>
          <w:sz w:val="18"/>
          <w:szCs w:val="18"/>
        </w:rPr>
        <w:footnoteRef/>
      </w:r>
      <w:r w:rsidRPr="00186DE4">
        <w:rPr>
          <w:sz w:val="18"/>
          <w:szCs w:val="18"/>
        </w:rPr>
        <w:t xml:space="preserve"> Translink is a Centre of Procurement Expertise (CoPE) and carries out its role in that regard in compliance with Northern Ireland Public Procurement Policy (NIPPP) and associated Procurement Guidance Notes issued by the NICS Procurement Board as well as the Utilities Contracts Legislation 2016</w:t>
      </w:r>
      <w:r w:rsidR="00B8568D">
        <w:rPr>
          <w:sz w:val="18"/>
          <w:szCs w:val="18"/>
        </w:rPr>
        <w:t xml:space="preserve"> / Procurement Act 2023</w:t>
      </w:r>
      <w:r w:rsidR="004942C7" w:rsidRPr="00186DE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F069" w14:textId="77777777" w:rsidR="008C5AC8" w:rsidRDefault="008C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38A68564"/>
    <w:lvl w:ilvl="0">
      <w:start w:val="1"/>
      <w:numFmt w:val="decimal"/>
      <w:pStyle w:val="MFNumLev1"/>
      <w:lvlText w:val="%1."/>
      <w:lvlJc w:val="left"/>
      <w:pPr>
        <w:tabs>
          <w:tab w:val="num" w:pos="720"/>
        </w:tabs>
        <w:ind w:left="720" w:hanging="720"/>
      </w:pPr>
      <w:rPr>
        <w:rFonts w:ascii="Book Antiqua" w:hAnsi="Book Antiqua"/>
        <w:b w:val="0"/>
        <w:i w:val="0"/>
      </w:rPr>
    </w:lvl>
    <w:lvl w:ilvl="1">
      <w:start w:val="1"/>
      <w:numFmt w:val="decimal"/>
      <w:pStyle w:val="MFNumLev2"/>
      <w:lvlText w:val="%1.%2"/>
      <w:lvlJc w:val="left"/>
      <w:pPr>
        <w:tabs>
          <w:tab w:val="num" w:pos="3981"/>
        </w:tabs>
        <w:ind w:left="3981" w:hanging="720"/>
      </w:pPr>
    </w:lvl>
    <w:lvl w:ilvl="2">
      <w:start w:val="1"/>
      <w:numFmt w:val="lowerLetter"/>
      <w:pStyle w:val="MFNumLev3"/>
      <w:lvlText w:val="(%3)"/>
      <w:lvlJc w:val="left"/>
      <w:pPr>
        <w:tabs>
          <w:tab w:val="num" w:pos="1430"/>
        </w:tabs>
        <w:ind w:left="1430" w:hanging="720"/>
      </w:pPr>
      <w:rPr>
        <w:rFonts w:ascii="Arial" w:hAnsi="Arial" w:cs="Arial" w:hint="default"/>
        <w:b w:val="0"/>
        <w:strike w:val="0"/>
      </w:rPr>
    </w:lvl>
    <w:lvl w:ilvl="3">
      <w:start w:val="1"/>
      <w:numFmt w:val="lowerRoman"/>
      <w:pStyle w:val="MFNumLev4"/>
      <w:lvlText w:val="(%4)"/>
      <w:lvlJc w:val="left"/>
      <w:pPr>
        <w:tabs>
          <w:tab w:val="num" w:pos="2160"/>
        </w:tabs>
        <w:ind w:left="2160" w:hanging="720"/>
      </w:pPr>
      <w:rPr>
        <w:rFonts w:ascii="Arial" w:hAnsi="Arial" w:cs="Arial" w:hint="default"/>
        <w:b w:val="0"/>
        <w:strike w:val="0"/>
      </w:rPr>
    </w:lvl>
    <w:lvl w:ilvl="4">
      <w:start w:val="1"/>
      <w:numFmt w:val="upperLetter"/>
      <w:pStyle w:val="MFNumLev5"/>
      <w:lvlText w:val="(%5)"/>
      <w:lvlJc w:val="left"/>
      <w:pPr>
        <w:tabs>
          <w:tab w:val="num" w:pos="2880"/>
        </w:tabs>
        <w:ind w:left="2880" w:hanging="720"/>
      </w:pPr>
    </w:lvl>
    <w:lvl w:ilvl="5">
      <w:start w:val="1"/>
      <w:numFmt w:val="decimal"/>
      <w:pStyle w:val="MFNumLev6"/>
      <w:lvlText w:val="(%6)"/>
      <w:lvlJc w:val="left"/>
      <w:pPr>
        <w:tabs>
          <w:tab w:val="num" w:pos="3600"/>
        </w:tabs>
        <w:ind w:left="3600" w:hanging="72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03C378C"/>
    <w:multiLevelType w:val="multilevel"/>
    <w:tmpl w:val="6D14171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9D97A7D"/>
    <w:multiLevelType w:val="hybridMultilevel"/>
    <w:tmpl w:val="A5CE509A"/>
    <w:lvl w:ilvl="0" w:tplc="765C34E0">
      <w:start w:val="1"/>
      <w:numFmt w:val="bullet"/>
      <w:lvlText w:val="•"/>
      <w:lvlJc w:val="left"/>
      <w:pPr>
        <w:ind w:left="1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88390">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86C492">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ABC0C">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225D1E">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405DCA">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2B03C">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054A2">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46D596">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4013B"/>
    <w:multiLevelType w:val="hybridMultilevel"/>
    <w:tmpl w:val="B16CFF3C"/>
    <w:lvl w:ilvl="0" w:tplc="29E80166">
      <w:start w:val="1"/>
      <w:numFmt w:val="bullet"/>
      <w:lvlText w:val="•"/>
      <w:lvlJc w:val="left"/>
      <w:pPr>
        <w:ind w:left="1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43040">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BE80EA">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983C2A">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1C9DA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C5550">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ECC5A6">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CC84A">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426872">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B2C5C"/>
    <w:multiLevelType w:val="hybridMultilevel"/>
    <w:tmpl w:val="EFBC98F8"/>
    <w:lvl w:ilvl="0" w:tplc="77186486">
      <w:start w:val="1"/>
      <w:numFmt w:val="bullet"/>
      <w:lvlText w:val="­"/>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12AAC"/>
    <w:multiLevelType w:val="hybridMultilevel"/>
    <w:tmpl w:val="A8CE7608"/>
    <w:lvl w:ilvl="0" w:tplc="6FCC4C7C">
      <w:start w:val="1"/>
      <w:numFmt w:val="bullet"/>
      <w:lvlText w:val=""/>
      <w:lvlJc w:val="left"/>
      <w:pPr>
        <w:tabs>
          <w:tab w:val="num" w:pos="1060"/>
        </w:tabs>
        <w:ind w:left="5551" w:hanging="4831"/>
      </w:pPr>
      <w:rPr>
        <w:rFonts w:ascii="Symbol" w:hAnsi="Symbol" w:hint="default"/>
        <w:color w:val="000000"/>
      </w:rPr>
    </w:lvl>
    <w:lvl w:ilvl="1" w:tplc="45B6BF4E">
      <w:numFmt w:val="bullet"/>
      <w:lvlText w:val="-"/>
      <w:lvlJc w:val="left"/>
      <w:pPr>
        <w:tabs>
          <w:tab w:val="num" w:pos="2160"/>
        </w:tabs>
        <w:ind w:left="2160" w:hanging="360"/>
      </w:pPr>
      <w:rPr>
        <w:rFonts w:ascii="Arial" w:eastAsia="Times New Roman" w:hAnsi="Arial"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094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1A666E"/>
    <w:multiLevelType w:val="hybridMultilevel"/>
    <w:tmpl w:val="B28889E0"/>
    <w:lvl w:ilvl="0" w:tplc="D6ECDB6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AC6C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449194">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636C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4E92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A358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A1B4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56677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BC811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955AA"/>
    <w:multiLevelType w:val="hybridMultilevel"/>
    <w:tmpl w:val="5BD6B60A"/>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9" w15:restartNumberingAfterBreak="0">
    <w:nsid w:val="25752E96"/>
    <w:multiLevelType w:val="hybridMultilevel"/>
    <w:tmpl w:val="09DA4102"/>
    <w:lvl w:ilvl="0" w:tplc="C30C31DC">
      <w:start w:val="4"/>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C79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230C2F"/>
    <w:multiLevelType w:val="hybridMultilevel"/>
    <w:tmpl w:val="286ABAC6"/>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2" w15:restartNumberingAfterBreak="0">
    <w:nsid w:val="29C80C68"/>
    <w:multiLevelType w:val="hybridMultilevel"/>
    <w:tmpl w:val="2ADA5A7A"/>
    <w:lvl w:ilvl="0" w:tplc="69869ACE">
      <w:start w:val="1"/>
      <w:numFmt w:val="decimal"/>
      <w:lvlText w:val="%1."/>
      <w:lvlJc w:val="left"/>
      <w:pPr>
        <w:ind w:left="1440" w:hanging="360"/>
      </w:pPr>
    </w:lvl>
    <w:lvl w:ilvl="1" w:tplc="5FC0B818">
      <w:start w:val="1"/>
      <w:numFmt w:val="decimal"/>
      <w:lvlText w:val="%2."/>
      <w:lvlJc w:val="left"/>
      <w:pPr>
        <w:ind w:left="1440" w:hanging="360"/>
      </w:pPr>
    </w:lvl>
    <w:lvl w:ilvl="2" w:tplc="087AAD40">
      <w:start w:val="1"/>
      <w:numFmt w:val="decimal"/>
      <w:lvlText w:val="%3."/>
      <w:lvlJc w:val="left"/>
      <w:pPr>
        <w:ind w:left="1440" w:hanging="360"/>
      </w:pPr>
    </w:lvl>
    <w:lvl w:ilvl="3" w:tplc="F90CEAD6">
      <w:start w:val="1"/>
      <w:numFmt w:val="decimal"/>
      <w:lvlText w:val="%4."/>
      <w:lvlJc w:val="left"/>
      <w:pPr>
        <w:ind w:left="1440" w:hanging="360"/>
      </w:pPr>
    </w:lvl>
    <w:lvl w:ilvl="4" w:tplc="9EC227B2">
      <w:start w:val="1"/>
      <w:numFmt w:val="decimal"/>
      <w:lvlText w:val="%5."/>
      <w:lvlJc w:val="left"/>
      <w:pPr>
        <w:ind w:left="1440" w:hanging="360"/>
      </w:pPr>
    </w:lvl>
    <w:lvl w:ilvl="5" w:tplc="379CBD34">
      <w:start w:val="1"/>
      <w:numFmt w:val="decimal"/>
      <w:lvlText w:val="%6."/>
      <w:lvlJc w:val="left"/>
      <w:pPr>
        <w:ind w:left="1440" w:hanging="360"/>
      </w:pPr>
    </w:lvl>
    <w:lvl w:ilvl="6" w:tplc="E9A85E42">
      <w:start w:val="1"/>
      <w:numFmt w:val="decimal"/>
      <w:lvlText w:val="%7."/>
      <w:lvlJc w:val="left"/>
      <w:pPr>
        <w:ind w:left="1440" w:hanging="360"/>
      </w:pPr>
    </w:lvl>
    <w:lvl w:ilvl="7" w:tplc="863C3B14">
      <w:start w:val="1"/>
      <w:numFmt w:val="decimal"/>
      <w:lvlText w:val="%8."/>
      <w:lvlJc w:val="left"/>
      <w:pPr>
        <w:ind w:left="1440" w:hanging="360"/>
      </w:pPr>
    </w:lvl>
    <w:lvl w:ilvl="8" w:tplc="FE04ADCC">
      <w:start w:val="1"/>
      <w:numFmt w:val="decimal"/>
      <w:lvlText w:val="%9."/>
      <w:lvlJc w:val="left"/>
      <w:pPr>
        <w:ind w:left="1440" w:hanging="360"/>
      </w:pPr>
    </w:lvl>
  </w:abstractNum>
  <w:abstractNum w:abstractNumId="13" w15:restartNumberingAfterBreak="0">
    <w:nsid w:val="29DE6C1C"/>
    <w:multiLevelType w:val="multilevel"/>
    <w:tmpl w:val="737267FA"/>
    <w:lvl w:ilvl="0">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AB7580D"/>
    <w:multiLevelType w:val="multilevel"/>
    <w:tmpl w:val="4B6AAC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765" w:hanging="4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892C40"/>
    <w:multiLevelType w:val="multilevel"/>
    <w:tmpl w:val="97260B1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130C69"/>
    <w:multiLevelType w:val="hybridMultilevel"/>
    <w:tmpl w:val="63205B6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7" w15:restartNumberingAfterBreak="0">
    <w:nsid w:val="4110451F"/>
    <w:multiLevelType w:val="hybridMultilevel"/>
    <w:tmpl w:val="305E08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74C31"/>
    <w:multiLevelType w:val="hybridMultilevel"/>
    <w:tmpl w:val="63AC4186"/>
    <w:lvl w:ilvl="0" w:tplc="456A4E38">
      <w:start w:val="1"/>
      <w:numFmt w:val="bullet"/>
      <w:lvlText w:val="•"/>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4DE28">
      <w:start w:val="1"/>
      <w:numFmt w:val="bullet"/>
      <w:lvlText w:val="o"/>
      <w:lvlJc w:val="left"/>
      <w:pPr>
        <w:ind w:left="1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A07C96">
      <w:start w:val="1"/>
      <w:numFmt w:val="bullet"/>
      <w:lvlText w:val="▪"/>
      <w:lvlJc w:val="left"/>
      <w:pPr>
        <w:ind w:left="2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EAACAA">
      <w:start w:val="1"/>
      <w:numFmt w:val="bullet"/>
      <w:lvlText w:val="•"/>
      <w:lvlJc w:val="left"/>
      <w:pPr>
        <w:ind w:left="3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90028A">
      <w:start w:val="1"/>
      <w:numFmt w:val="bullet"/>
      <w:lvlText w:val="o"/>
      <w:lvlJc w:val="left"/>
      <w:pPr>
        <w:ind w:left="3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E4624A">
      <w:start w:val="1"/>
      <w:numFmt w:val="bullet"/>
      <w:lvlText w:val="▪"/>
      <w:lvlJc w:val="left"/>
      <w:pPr>
        <w:ind w:left="4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48E9C">
      <w:start w:val="1"/>
      <w:numFmt w:val="bullet"/>
      <w:lvlText w:val="•"/>
      <w:lvlJc w:val="left"/>
      <w:pPr>
        <w:ind w:left="5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02A94">
      <w:start w:val="1"/>
      <w:numFmt w:val="bullet"/>
      <w:lvlText w:val="o"/>
      <w:lvlJc w:val="left"/>
      <w:pPr>
        <w:ind w:left="6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942302">
      <w:start w:val="1"/>
      <w:numFmt w:val="bullet"/>
      <w:lvlText w:val="▪"/>
      <w:lvlJc w:val="left"/>
      <w:pPr>
        <w:ind w:left="6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820204"/>
    <w:multiLevelType w:val="hybridMultilevel"/>
    <w:tmpl w:val="209C5612"/>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20" w15:restartNumberingAfterBreak="0">
    <w:nsid w:val="440F235B"/>
    <w:multiLevelType w:val="multilevel"/>
    <w:tmpl w:val="4BE88FBE"/>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1D2D63"/>
    <w:multiLevelType w:val="multilevel"/>
    <w:tmpl w:val="E43C9106"/>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061E64"/>
    <w:multiLevelType w:val="hybridMultilevel"/>
    <w:tmpl w:val="7DA46D18"/>
    <w:lvl w:ilvl="0" w:tplc="4F085C04">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23" w15:restartNumberingAfterBreak="0">
    <w:nsid w:val="46FA268C"/>
    <w:multiLevelType w:val="hybridMultilevel"/>
    <w:tmpl w:val="21D2E7E6"/>
    <w:lvl w:ilvl="0" w:tplc="CFB63874">
      <w:start w:val="1"/>
      <w:numFmt w:val="decimal"/>
      <w:lvlText w:val="%1."/>
      <w:lvlJc w:val="left"/>
      <w:pPr>
        <w:ind w:left="698" w:hanging="360"/>
      </w:pPr>
      <w:rPr>
        <w:rFonts w:ascii="Arial" w:eastAsia="Arial" w:hAnsi="Arial" w:cs="Arial" w:hint="default"/>
        <w:color w:val="000000"/>
        <w:sz w:val="24"/>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24" w15:restartNumberingAfterBreak="0">
    <w:nsid w:val="49515BDB"/>
    <w:multiLevelType w:val="hybridMultilevel"/>
    <w:tmpl w:val="702A6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73BB6"/>
    <w:multiLevelType w:val="multilevel"/>
    <w:tmpl w:val="B0DA09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A9685B"/>
    <w:multiLevelType w:val="hybridMultilevel"/>
    <w:tmpl w:val="38D4664A"/>
    <w:lvl w:ilvl="0" w:tplc="39C2375C">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27" w15:restartNumberingAfterBreak="0">
    <w:nsid w:val="4EC35A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337ACC"/>
    <w:multiLevelType w:val="hybridMultilevel"/>
    <w:tmpl w:val="91EC9016"/>
    <w:lvl w:ilvl="0" w:tplc="1CEE5420">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8A7E7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A63BD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E6D4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4B95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03F3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3E3F1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8F36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3ABAB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6304E8"/>
    <w:multiLevelType w:val="multilevel"/>
    <w:tmpl w:val="191C91D0"/>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C876CE4"/>
    <w:multiLevelType w:val="hybridMultilevel"/>
    <w:tmpl w:val="56EAD0DC"/>
    <w:lvl w:ilvl="0" w:tplc="0809000F">
      <w:start w:val="1"/>
      <w:numFmt w:val="decimal"/>
      <w:lvlText w:val="%1."/>
      <w:lvlJc w:val="left"/>
      <w:pPr>
        <w:ind w:left="60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D3D2C"/>
    <w:multiLevelType w:val="hybridMultilevel"/>
    <w:tmpl w:val="DCF8C358"/>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32" w15:restartNumberingAfterBreak="0">
    <w:nsid w:val="688E58FB"/>
    <w:multiLevelType w:val="hybridMultilevel"/>
    <w:tmpl w:val="BDFE6FE8"/>
    <w:lvl w:ilvl="0" w:tplc="B386BA82">
      <w:start w:val="1"/>
      <w:numFmt w:val="bullet"/>
      <w:lvlText w:val="•"/>
      <w:lvlJc w:val="left"/>
      <w:pPr>
        <w:ind w:left="1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6C7B4">
      <w:start w:val="1"/>
      <w:numFmt w:val="bullet"/>
      <w:lvlText w:val="o"/>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56EB84">
      <w:start w:val="1"/>
      <w:numFmt w:val="bullet"/>
      <w:lvlText w:val="▪"/>
      <w:lvlJc w:val="left"/>
      <w:pPr>
        <w:ind w:left="2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EA1054">
      <w:start w:val="1"/>
      <w:numFmt w:val="bullet"/>
      <w:lvlText w:val="•"/>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0ABDC">
      <w:start w:val="1"/>
      <w:numFmt w:val="bullet"/>
      <w:lvlText w:val="o"/>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B0EDEE">
      <w:start w:val="1"/>
      <w:numFmt w:val="bullet"/>
      <w:lvlText w:val="▪"/>
      <w:lvlJc w:val="left"/>
      <w:pPr>
        <w:ind w:left="4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25F0">
      <w:start w:val="1"/>
      <w:numFmt w:val="bullet"/>
      <w:lvlText w:val="•"/>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EEFB8">
      <w:start w:val="1"/>
      <w:numFmt w:val="bullet"/>
      <w:lvlText w:val="o"/>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08A4C">
      <w:start w:val="1"/>
      <w:numFmt w:val="bullet"/>
      <w:lvlText w:val="▪"/>
      <w:lvlJc w:val="left"/>
      <w:pPr>
        <w:ind w:left="6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49432A"/>
    <w:multiLevelType w:val="hybridMultilevel"/>
    <w:tmpl w:val="E68E77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CAD7B8F"/>
    <w:multiLevelType w:val="multilevel"/>
    <w:tmpl w:val="2B281FA6"/>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DC0547"/>
    <w:multiLevelType w:val="hybridMultilevel"/>
    <w:tmpl w:val="3902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61DF7"/>
    <w:multiLevelType w:val="hybridMultilevel"/>
    <w:tmpl w:val="94201896"/>
    <w:lvl w:ilvl="0" w:tplc="AEB4C5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67988">
      <w:start w:val="1"/>
      <w:numFmt w:val="bullet"/>
      <w:lvlRestart w:val="0"/>
      <w:lvlText w:val="•"/>
      <w:lvlJc w:val="left"/>
      <w:pPr>
        <w:ind w:left="1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642A24">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B65270">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69562">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C369C">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B2EAD8">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82EA0">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EB28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D06015"/>
    <w:multiLevelType w:val="hybridMultilevel"/>
    <w:tmpl w:val="8FD8FBF8"/>
    <w:lvl w:ilvl="0" w:tplc="E710DFAA">
      <w:start w:val="1"/>
      <w:numFmt w:val="bullet"/>
      <w:lvlText w:val="•"/>
      <w:lvlJc w:val="left"/>
      <w:pPr>
        <w:ind w:left="1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6EF26">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029396">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90BB1C">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05DE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A17D4">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0A89C">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F6C304">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D8E826">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3E72951"/>
    <w:multiLevelType w:val="hybridMultilevel"/>
    <w:tmpl w:val="27380F3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39" w15:restartNumberingAfterBreak="0">
    <w:nsid w:val="75494232"/>
    <w:multiLevelType w:val="hybridMultilevel"/>
    <w:tmpl w:val="1FD22DA2"/>
    <w:lvl w:ilvl="0" w:tplc="216216CE">
      <w:start w:val="9"/>
      <w:numFmt w:val="decimal"/>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40" w15:restartNumberingAfterBreak="0">
    <w:nsid w:val="7AB30207"/>
    <w:multiLevelType w:val="hybridMultilevel"/>
    <w:tmpl w:val="F35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729C"/>
    <w:multiLevelType w:val="multilevel"/>
    <w:tmpl w:val="28DE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A2F7F"/>
    <w:multiLevelType w:val="hybridMultilevel"/>
    <w:tmpl w:val="D51AF720"/>
    <w:lvl w:ilvl="0" w:tplc="04090001">
      <w:start w:val="1"/>
      <w:numFmt w:val="bullet"/>
      <w:lvlText w:val=""/>
      <w:lvlJc w:val="left"/>
      <w:pPr>
        <w:tabs>
          <w:tab w:val="num" w:pos="1515"/>
        </w:tabs>
        <w:ind w:left="151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tabs>
          <w:tab w:val="num" w:pos="2955"/>
        </w:tabs>
        <w:ind w:left="2955"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9885275">
    <w:abstractNumId w:val="36"/>
  </w:num>
  <w:num w:numId="2" w16cid:durableId="377362801">
    <w:abstractNumId w:val="37"/>
  </w:num>
  <w:num w:numId="3" w16cid:durableId="390083741">
    <w:abstractNumId w:val="21"/>
  </w:num>
  <w:num w:numId="4" w16cid:durableId="1085541685">
    <w:abstractNumId w:val="3"/>
  </w:num>
  <w:num w:numId="5" w16cid:durableId="1628663202">
    <w:abstractNumId w:val="15"/>
  </w:num>
  <w:num w:numId="6" w16cid:durableId="862673038">
    <w:abstractNumId w:val="32"/>
  </w:num>
  <w:num w:numId="7" w16cid:durableId="759562249">
    <w:abstractNumId w:val="2"/>
  </w:num>
  <w:num w:numId="8" w16cid:durableId="1218593429">
    <w:abstractNumId w:val="28"/>
  </w:num>
  <w:num w:numId="9" w16cid:durableId="1700354224">
    <w:abstractNumId w:val="7"/>
  </w:num>
  <w:num w:numId="10" w16cid:durableId="1341159387">
    <w:abstractNumId w:val="18"/>
  </w:num>
  <w:num w:numId="11" w16cid:durableId="2054957222">
    <w:abstractNumId w:val="11"/>
  </w:num>
  <w:num w:numId="12" w16cid:durableId="35472274">
    <w:abstractNumId w:val="4"/>
  </w:num>
  <w:num w:numId="13" w16cid:durableId="1468670489">
    <w:abstractNumId w:val="16"/>
  </w:num>
  <w:num w:numId="14" w16cid:durableId="2085494691">
    <w:abstractNumId w:val="20"/>
  </w:num>
  <w:num w:numId="15" w16cid:durableId="324865677">
    <w:abstractNumId w:val="1"/>
  </w:num>
  <w:num w:numId="16" w16cid:durableId="507521778">
    <w:abstractNumId w:val="14"/>
  </w:num>
  <w:num w:numId="17" w16cid:durableId="825364220">
    <w:abstractNumId w:val="9"/>
  </w:num>
  <w:num w:numId="18" w16cid:durableId="945621184">
    <w:abstractNumId w:val="40"/>
  </w:num>
  <w:num w:numId="19" w16cid:durableId="406151254">
    <w:abstractNumId w:val="13"/>
  </w:num>
  <w:num w:numId="20" w16cid:durableId="1172449557">
    <w:abstractNumId w:val="8"/>
  </w:num>
  <w:num w:numId="21" w16cid:durableId="182475880">
    <w:abstractNumId w:val="38"/>
  </w:num>
  <w:num w:numId="22" w16cid:durableId="486359391">
    <w:abstractNumId w:val="30"/>
  </w:num>
  <w:num w:numId="23" w16cid:durableId="19120811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539767">
    <w:abstractNumId w:val="29"/>
  </w:num>
  <w:num w:numId="25" w16cid:durableId="1753353826">
    <w:abstractNumId w:val="25"/>
  </w:num>
  <w:num w:numId="26" w16cid:durableId="1321469241">
    <w:abstractNumId w:val="4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4778973">
    <w:abstractNumId w:val="5"/>
  </w:num>
  <w:num w:numId="28" w16cid:durableId="1116951919">
    <w:abstractNumId w:val="0"/>
  </w:num>
  <w:num w:numId="29" w16cid:durableId="412701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9229621">
    <w:abstractNumId w:val="26"/>
  </w:num>
  <w:num w:numId="31" w16cid:durableId="719132115">
    <w:abstractNumId w:val="33"/>
  </w:num>
  <w:num w:numId="32" w16cid:durableId="2056928422">
    <w:abstractNumId w:val="24"/>
  </w:num>
  <w:num w:numId="33" w16cid:durableId="1256473553">
    <w:abstractNumId w:val="39"/>
  </w:num>
  <w:num w:numId="34" w16cid:durableId="1157961235">
    <w:abstractNumId w:val="19"/>
  </w:num>
  <w:num w:numId="35" w16cid:durableId="1371489805">
    <w:abstractNumId w:val="31"/>
  </w:num>
  <w:num w:numId="36" w16cid:durableId="1746606680">
    <w:abstractNumId w:val="22"/>
  </w:num>
  <w:num w:numId="37" w16cid:durableId="791438852">
    <w:abstractNumId w:val="23"/>
  </w:num>
  <w:num w:numId="38" w16cid:durableId="740568098">
    <w:abstractNumId w:val="35"/>
  </w:num>
  <w:num w:numId="39" w16cid:durableId="494345317">
    <w:abstractNumId w:val="12"/>
  </w:num>
  <w:num w:numId="40" w16cid:durableId="1448504816">
    <w:abstractNumId w:val="41"/>
  </w:num>
  <w:num w:numId="41" w16cid:durableId="1058825653">
    <w:abstractNumId w:val="17"/>
  </w:num>
  <w:num w:numId="42" w16cid:durableId="229971049">
    <w:abstractNumId w:val="34"/>
  </w:num>
  <w:num w:numId="43" w16cid:durableId="1426030194">
    <w:abstractNumId w:val="6"/>
  </w:num>
  <w:num w:numId="44" w16cid:durableId="1751077553">
    <w:abstractNumId w:val="27"/>
  </w:num>
  <w:num w:numId="45" w16cid:durableId="174557066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21"/>
    <w:rsid w:val="0000063F"/>
    <w:rsid w:val="00000A12"/>
    <w:rsid w:val="00000F75"/>
    <w:rsid w:val="00001320"/>
    <w:rsid w:val="000017C3"/>
    <w:rsid w:val="00001BC3"/>
    <w:rsid w:val="00001E5B"/>
    <w:rsid w:val="000024E4"/>
    <w:rsid w:val="00002A90"/>
    <w:rsid w:val="00002C9C"/>
    <w:rsid w:val="00002DE1"/>
    <w:rsid w:val="00003182"/>
    <w:rsid w:val="00003478"/>
    <w:rsid w:val="00003CE5"/>
    <w:rsid w:val="00004013"/>
    <w:rsid w:val="000060F6"/>
    <w:rsid w:val="00010C7C"/>
    <w:rsid w:val="00011508"/>
    <w:rsid w:val="00011BFF"/>
    <w:rsid w:val="00012289"/>
    <w:rsid w:val="0001298D"/>
    <w:rsid w:val="0001335E"/>
    <w:rsid w:val="00013A98"/>
    <w:rsid w:val="00013FDA"/>
    <w:rsid w:val="0001407E"/>
    <w:rsid w:val="0001492C"/>
    <w:rsid w:val="00014A05"/>
    <w:rsid w:val="00015721"/>
    <w:rsid w:val="00015B4B"/>
    <w:rsid w:val="00017CDA"/>
    <w:rsid w:val="00020026"/>
    <w:rsid w:val="0002014C"/>
    <w:rsid w:val="00020E83"/>
    <w:rsid w:val="000212D8"/>
    <w:rsid w:val="00022060"/>
    <w:rsid w:val="00022170"/>
    <w:rsid w:val="0002594F"/>
    <w:rsid w:val="00025AE9"/>
    <w:rsid w:val="000266B6"/>
    <w:rsid w:val="0002726C"/>
    <w:rsid w:val="00027EE3"/>
    <w:rsid w:val="00030177"/>
    <w:rsid w:val="000308ED"/>
    <w:rsid w:val="000310B8"/>
    <w:rsid w:val="00031638"/>
    <w:rsid w:val="00032F94"/>
    <w:rsid w:val="000338A8"/>
    <w:rsid w:val="00033B59"/>
    <w:rsid w:val="00035758"/>
    <w:rsid w:val="000369B4"/>
    <w:rsid w:val="00036A99"/>
    <w:rsid w:val="00036C03"/>
    <w:rsid w:val="00037F3F"/>
    <w:rsid w:val="00041101"/>
    <w:rsid w:val="000416B7"/>
    <w:rsid w:val="00041926"/>
    <w:rsid w:val="00042A35"/>
    <w:rsid w:val="000430CE"/>
    <w:rsid w:val="00043282"/>
    <w:rsid w:val="00043D99"/>
    <w:rsid w:val="00044A5F"/>
    <w:rsid w:val="0004563A"/>
    <w:rsid w:val="00045798"/>
    <w:rsid w:val="00046CB1"/>
    <w:rsid w:val="00047358"/>
    <w:rsid w:val="00047B90"/>
    <w:rsid w:val="00047DBF"/>
    <w:rsid w:val="00047E4A"/>
    <w:rsid w:val="0005111A"/>
    <w:rsid w:val="000516D3"/>
    <w:rsid w:val="000517E0"/>
    <w:rsid w:val="00051C70"/>
    <w:rsid w:val="00052289"/>
    <w:rsid w:val="000540AF"/>
    <w:rsid w:val="0005431C"/>
    <w:rsid w:val="000554B2"/>
    <w:rsid w:val="000568AE"/>
    <w:rsid w:val="0005714A"/>
    <w:rsid w:val="000600A5"/>
    <w:rsid w:val="00060934"/>
    <w:rsid w:val="00060C81"/>
    <w:rsid w:val="00061221"/>
    <w:rsid w:val="00061248"/>
    <w:rsid w:val="00061A15"/>
    <w:rsid w:val="00062029"/>
    <w:rsid w:val="0006338A"/>
    <w:rsid w:val="00063C01"/>
    <w:rsid w:val="0006457F"/>
    <w:rsid w:val="00065558"/>
    <w:rsid w:val="00065852"/>
    <w:rsid w:val="00065B9B"/>
    <w:rsid w:val="000669FD"/>
    <w:rsid w:val="0007005C"/>
    <w:rsid w:val="0007064A"/>
    <w:rsid w:val="00070A41"/>
    <w:rsid w:val="00071BD9"/>
    <w:rsid w:val="00071F90"/>
    <w:rsid w:val="00075B2E"/>
    <w:rsid w:val="00080462"/>
    <w:rsid w:val="00080D02"/>
    <w:rsid w:val="00081D67"/>
    <w:rsid w:val="00082312"/>
    <w:rsid w:val="00082D1E"/>
    <w:rsid w:val="000851B6"/>
    <w:rsid w:val="00085772"/>
    <w:rsid w:val="00085C0D"/>
    <w:rsid w:val="000860A8"/>
    <w:rsid w:val="00086FB4"/>
    <w:rsid w:val="00087220"/>
    <w:rsid w:val="00090DD6"/>
    <w:rsid w:val="00090ECE"/>
    <w:rsid w:val="00091722"/>
    <w:rsid w:val="00093344"/>
    <w:rsid w:val="000958E8"/>
    <w:rsid w:val="00096AA4"/>
    <w:rsid w:val="00096BA1"/>
    <w:rsid w:val="0009748E"/>
    <w:rsid w:val="000A1005"/>
    <w:rsid w:val="000A11C8"/>
    <w:rsid w:val="000A227D"/>
    <w:rsid w:val="000A3A03"/>
    <w:rsid w:val="000A3A52"/>
    <w:rsid w:val="000A3C86"/>
    <w:rsid w:val="000A6B49"/>
    <w:rsid w:val="000A730A"/>
    <w:rsid w:val="000A7B08"/>
    <w:rsid w:val="000B04EA"/>
    <w:rsid w:val="000B16E7"/>
    <w:rsid w:val="000B1C07"/>
    <w:rsid w:val="000B1C69"/>
    <w:rsid w:val="000B1FD1"/>
    <w:rsid w:val="000B246B"/>
    <w:rsid w:val="000B2D32"/>
    <w:rsid w:val="000B3CDE"/>
    <w:rsid w:val="000B47EB"/>
    <w:rsid w:val="000B6084"/>
    <w:rsid w:val="000B649C"/>
    <w:rsid w:val="000B724C"/>
    <w:rsid w:val="000B7670"/>
    <w:rsid w:val="000B7F3A"/>
    <w:rsid w:val="000C151E"/>
    <w:rsid w:val="000C160D"/>
    <w:rsid w:val="000C2276"/>
    <w:rsid w:val="000C232E"/>
    <w:rsid w:val="000C2386"/>
    <w:rsid w:val="000C2A00"/>
    <w:rsid w:val="000C2C25"/>
    <w:rsid w:val="000C3276"/>
    <w:rsid w:val="000C3453"/>
    <w:rsid w:val="000C3515"/>
    <w:rsid w:val="000C4A74"/>
    <w:rsid w:val="000C5253"/>
    <w:rsid w:val="000C61BF"/>
    <w:rsid w:val="000C68B6"/>
    <w:rsid w:val="000C6E03"/>
    <w:rsid w:val="000C7452"/>
    <w:rsid w:val="000C784D"/>
    <w:rsid w:val="000C7911"/>
    <w:rsid w:val="000D014C"/>
    <w:rsid w:val="000D022E"/>
    <w:rsid w:val="000D1349"/>
    <w:rsid w:val="000D3191"/>
    <w:rsid w:val="000D37F3"/>
    <w:rsid w:val="000D406F"/>
    <w:rsid w:val="000D5BA7"/>
    <w:rsid w:val="000E0E6E"/>
    <w:rsid w:val="000E0E8D"/>
    <w:rsid w:val="000E35D7"/>
    <w:rsid w:val="000E3ACE"/>
    <w:rsid w:val="000E3B10"/>
    <w:rsid w:val="000E6ABD"/>
    <w:rsid w:val="000E72BE"/>
    <w:rsid w:val="000E7A30"/>
    <w:rsid w:val="000F083F"/>
    <w:rsid w:val="000F0877"/>
    <w:rsid w:val="000F0B7A"/>
    <w:rsid w:val="000F0EB4"/>
    <w:rsid w:val="000F11A5"/>
    <w:rsid w:val="000F1618"/>
    <w:rsid w:val="000F1948"/>
    <w:rsid w:val="000F1DB1"/>
    <w:rsid w:val="000F3028"/>
    <w:rsid w:val="000F309D"/>
    <w:rsid w:val="000F3D3F"/>
    <w:rsid w:val="000F40A1"/>
    <w:rsid w:val="000F41F3"/>
    <w:rsid w:val="000F4905"/>
    <w:rsid w:val="000F5F73"/>
    <w:rsid w:val="000F6B7B"/>
    <w:rsid w:val="000F76AA"/>
    <w:rsid w:val="000F7AF0"/>
    <w:rsid w:val="001023EF"/>
    <w:rsid w:val="00102FDA"/>
    <w:rsid w:val="0010571B"/>
    <w:rsid w:val="00105B7A"/>
    <w:rsid w:val="001078B3"/>
    <w:rsid w:val="001106AA"/>
    <w:rsid w:val="00110EC6"/>
    <w:rsid w:val="00112695"/>
    <w:rsid w:val="00113284"/>
    <w:rsid w:val="00113A03"/>
    <w:rsid w:val="00114077"/>
    <w:rsid w:val="001158BC"/>
    <w:rsid w:val="0011657B"/>
    <w:rsid w:val="00117503"/>
    <w:rsid w:val="0011768C"/>
    <w:rsid w:val="001211CA"/>
    <w:rsid w:val="00121578"/>
    <w:rsid w:val="00121582"/>
    <w:rsid w:val="00121ACC"/>
    <w:rsid w:val="001223EB"/>
    <w:rsid w:val="001228E1"/>
    <w:rsid w:val="00122DD0"/>
    <w:rsid w:val="00123E30"/>
    <w:rsid w:val="00124BA3"/>
    <w:rsid w:val="001250E3"/>
    <w:rsid w:val="001261FB"/>
    <w:rsid w:val="001266FD"/>
    <w:rsid w:val="00126C69"/>
    <w:rsid w:val="00130678"/>
    <w:rsid w:val="00130697"/>
    <w:rsid w:val="00130FB0"/>
    <w:rsid w:val="001316DE"/>
    <w:rsid w:val="0013255F"/>
    <w:rsid w:val="0013273B"/>
    <w:rsid w:val="00133E50"/>
    <w:rsid w:val="00135228"/>
    <w:rsid w:val="001353C6"/>
    <w:rsid w:val="001358E8"/>
    <w:rsid w:val="001363D3"/>
    <w:rsid w:val="00136E8D"/>
    <w:rsid w:val="0013728D"/>
    <w:rsid w:val="00137C0F"/>
    <w:rsid w:val="00137CE9"/>
    <w:rsid w:val="001411B1"/>
    <w:rsid w:val="001418C3"/>
    <w:rsid w:val="0014200D"/>
    <w:rsid w:val="00142636"/>
    <w:rsid w:val="001426D8"/>
    <w:rsid w:val="001439DC"/>
    <w:rsid w:val="001444E4"/>
    <w:rsid w:val="0014487A"/>
    <w:rsid w:val="00144A08"/>
    <w:rsid w:val="0014581F"/>
    <w:rsid w:val="001465FF"/>
    <w:rsid w:val="0014705B"/>
    <w:rsid w:val="001470F5"/>
    <w:rsid w:val="0014763B"/>
    <w:rsid w:val="00147AB4"/>
    <w:rsid w:val="00147F5E"/>
    <w:rsid w:val="00150216"/>
    <w:rsid w:val="00151057"/>
    <w:rsid w:val="00152E0C"/>
    <w:rsid w:val="00152E0D"/>
    <w:rsid w:val="00153841"/>
    <w:rsid w:val="00153AED"/>
    <w:rsid w:val="00154EFD"/>
    <w:rsid w:val="00155266"/>
    <w:rsid w:val="0015580E"/>
    <w:rsid w:val="00155A2D"/>
    <w:rsid w:val="00155AC7"/>
    <w:rsid w:val="001566EF"/>
    <w:rsid w:val="001568B3"/>
    <w:rsid w:val="0015750E"/>
    <w:rsid w:val="0016017A"/>
    <w:rsid w:val="001611A3"/>
    <w:rsid w:val="001619BE"/>
    <w:rsid w:val="0016225B"/>
    <w:rsid w:val="00162666"/>
    <w:rsid w:val="00163C10"/>
    <w:rsid w:val="001643F4"/>
    <w:rsid w:val="001655C0"/>
    <w:rsid w:val="00165BBB"/>
    <w:rsid w:val="00166137"/>
    <w:rsid w:val="00167DB7"/>
    <w:rsid w:val="001716AD"/>
    <w:rsid w:val="00173E28"/>
    <w:rsid w:val="0017465E"/>
    <w:rsid w:val="001746D6"/>
    <w:rsid w:val="00174E47"/>
    <w:rsid w:val="0017665B"/>
    <w:rsid w:val="00176D32"/>
    <w:rsid w:val="00176F86"/>
    <w:rsid w:val="00177A58"/>
    <w:rsid w:val="00177F02"/>
    <w:rsid w:val="00177F19"/>
    <w:rsid w:val="001806EA"/>
    <w:rsid w:val="00181F8F"/>
    <w:rsid w:val="0018260C"/>
    <w:rsid w:val="001833F7"/>
    <w:rsid w:val="00184B99"/>
    <w:rsid w:val="00185204"/>
    <w:rsid w:val="00185828"/>
    <w:rsid w:val="001863D2"/>
    <w:rsid w:val="00187536"/>
    <w:rsid w:val="00191891"/>
    <w:rsid w:val="001932DC"/>
    <w:rsid w:val="00194646"/>
    <w:rsid w:val="00194C59"/>
    <w:rsid w:val="00194D27"/>
    <w:rsid w:val="00195E3A"/>
    <w:rsid w:val="00197B76"/>
    <w:rsid w:val="001A037F"/>
    <w:rsid w:val="001A0904"/>
    <w:rsid w:val="001A1140"/>
    <w:rsid w:val="001A19BA"/>
    <w:rsid w:val="001A2210"/>
    <w:rsid w:val="001A24DA"/>
    <w:rsid w:val="001A2A34"/>
    <w:rsid w:val="001A2C91"/>
    <w:rsid w:val="001A4349"/>
    <w:rsid w:val="001A616E"/>
    <w:rsid w:val="001A68CD"/>
    <w:rsid w:val="001A6B40"/>
    <w:rsid w:val="001A7855"/>
    <w:rsid w:val="001A7DBE"/>
    <w:rsid w:val="001B1461"/>
    <w:rsid w:val="001B2472"/>
    <w:rsid w:val="001B2E5A"/>
    <w:rsid w:val="001B335D"/>
    <w:rsid w:val="001B3F27"/>
    <w:rsid w:val="001B49EA"/>
    <w:rsid w:val="001B61E8"/>
    <w:rsid w:val="001B626E"/>
    <w:rsid w:val="001B6F34"/>
    <w:rsid w:val="001B7A1E"/>
    <w:rsid w:val="001B7BDE"/>
    <w:rsid w:val="001C2A46"/>
    <w:rsid w:val="001C37C9"/>
    <w:rsid w:val="001C37EB"/>
    <w:rsid w:val="001C3F9D"/>
    <w:rsid w:val="001C4AEF"/>
    <w:rsid w:val="001C5799"/>
    <w:rsid w:val="001C70F5"/>
    <w:rsid w:val="001D1CF5"/>
    <w:rsid w:val="001D20F6"/>
    <w:rsid w:val="001D4091"/>
    <w:rsid w:val="001D6263"/>
    <w:rsid w:val="001D7CB8"/>
    <w:rsid w:val="001E04F1"/>
    <w:rsid w:val="001E317E"/>
    <w:rsid w:val="001E3249"/>
    <w:rsid w:val="001E3A89"/>
    <w:rsid w:val="001E4EBB"/>
    <w:rsid w:val="001E4F57"/>
    <w:rsid w:val="001E4F66"/>
    <w:rsid w:val="001E5A7E"/>
    <w:rsid w:val="001E6351"/>
    <w:rsid w:val="001E6E50"/>
    <w:rsid w:val="001E7609"/>
    <w:rsid w:val="001E7E46"/>
    <w:rsid w:val="001E7EA4"/>
    <w:rsid w:val="001E7FB8"/>
    <w:rsid w:val="001F2368"/>
    <w:rsid w:val="001F272A"/>
    <w:rsid w:val="001F2E43"/>
    <w:rsid w:val="001F3811"/>
    <w:rsid w:val="001F42BC"/>
    <w:rsid w:val="001F4E14"/>
    <w:rsid w:val="001F5E85"/>
    <w:rsid w:val="001F709D"/>
    <w:rsid w:val="001F7129"/>
    <w:rsid w:val="002012A7"/>
    <w:rsid w:val="002023CC"/>
    <w:rsid w:val="0020265C"/>
    <w:rsid w:val="0020304F"/>
    <w:rsid w:val="002037F7"/>
    <w:rsid w:val="002047EF"/>
    <w:rsid w:val="002049BC"/>
    <w:rsid w:val="00204A20"/>
    <w:rsid w:val="00205163"/>
    <w:rsid w:val="0020635E"/>
    <w:rsid w:val="00206F41"/>
    <w:rsid w:val="0021187F"/>
    <w:rsid w:val="002119E3"/>
    <w:rsid w:val="00211E5F"/>
    <w:rsid w:val="00212D73"/>
    <w:rsid w:val="002133E2"/>
    <w:rsid w:val="00213955"/>
    <w:rsid w:val="00213992"/>
    <w:rsid w:val="00213CE9"/>
    <w:rsid w:val="002150E4"/>
    <w:rsid w:val="002165CE"/>
    <w:rsid w:val="0021754D"/>
    <w:rsid w:val="00220DDD"/>
    <w:rsid w:val="00220FDA"/>
    <w:rsid w:val="002210CC"/>
    <w:rsid w:val="00221508"/>
    <w:rsid w:val="0022196F"/>
    <w:rsid w:val="00222061"/>
    <w:rsid w:val="0022265F"/>
    <w:rsid w:val="00222F39"/>
    <w:rsid w:val="002244C6"/>
    <w:rsid w:val="00224512"/>
    <w:rsid w:val="0022485E"/>
    <w:rsid w:val="00224DC0"/>
    <w:rsid w:val="00225842"/>
    <w:rsid w:val="00225F39"/>
    <w:rsid w:val="0022624B"/>
    <w:rsid w:val="00226C3F"/>
    <w:rsid w:val="00227A2F"/>
    <w:rsid w:val="00227BF7"/>
    <w:rsid w:val="00231409"/>
    <w:rsid w:val="002317FD"/>
    <w:rsid w:val="00231DEB"/>
    <w:rsid w:val="0023248F"/>
    <w:rsid w:val="0023309E"/>
    <w:rsid w:val="002340B6"/>
    <w:rsid w:val="0023691A"/>
    <w:rsid w:val="00236A55"/>
    <w:rsid w:val="002370C8"/>
    <w:rsid w:val="00237716"/>
    <w:rsid w:val="00237958"/>
    <w:rsid w:val="00237B77"/>
    <w:rsid w:val="00240329"/>
    <w:rsid w:val="00240D99"/>
    <w:rsid w:val="00241AC1"/>
    <w:rsid w:val="0024220B"/>
    <w:rsid w:val="00242C8C"/>
    <w:rsid w:val="00243845"/>
    <w:rsid w:val="00243949"/>
    <w:rsid w:val="00243BBA"/>
    <w:rsid w:val="00244182"/>
    <w:rsid w:val="002443FB"/>
    <w:rsid w:val="00244E2E"/>
    <w:rsid w:val="002465A4"/>
    <w:rsid w:val="00247600"/>
    <w:rsid w:val="00247FED"/>
    <w:rsid w:val="002512E8"/>
    <w:rsid w:val="0025148E"/>
    <w:rsid w:val="002515C1"/>
    <w:rsid w:val="0025183D"/>
    <w:rsid w:val="00252CE6"/>
    <w:rsid w:val="002531E8"/>
    <w:rsid w:val="002546BF"/>
    <w:rsid w:val="00254992"/>
    <w:rsid w:val="002562E1"/>
    <w:rsid w:val="00256D4D"/>
    <w:rsid w:val="00257D43"/>
    <w:rsid w:val="00257E21"/>
    <w:rsid w:val="00260189"/>
    <w:rsid w:val="00260C3F"/>
    <w:rsid w:val="00260C92"/>
    <w:rsid w:val="00260C9D"/>
    <w:rsid w:val="00260F16"/>
    <w:rsid w:val="00260FBE"/>
    <w:rsid w:val="002611E3"/>
    <w:rsid w:val="00261D13"/>
    <w:rsid w:val="0026249A"/>
    <w:rsid w:val="002626FE"/>
    <w:rsid w:val="00262AC1"/>
    <w:rsid w:val="00262FB2"/>
    <w:rsid w:val="00263124"/>
    <w:rsid w:val="00263A78"/>
    <w:rsid w:val="00263D05"/>
    <w:rsid w:val="002644DE"/>
    <w:rsid w:val="00266329"/>
    <w:rsid w:val="00267B0F"/>
    <w:rsid w:val="00270E47"/>
    <w:rsid w:val="002710CB"/>
    <w:rsid w:val="002718FB"/>
    <w:rsid w:val="00272BFE"/>
    <w:rsid w:val="002732D1"/>
    <w:rsid w:val="00274506"/>
    <w:rsid w:val="00274C50"/>
    <w:rsid w:val="00275726"/>
    <w:rsid w:val="002804DC"/>
    <w:rsid w:val="0028198E"/>
    <w:rsid w:val="0028424E"/>
    <w:rsid w:val="002847FF"/>
    <w:rsid w:val="0028496D"/>
    <w:rsid w:val="0028519B"/>
    <w:rsid w:val="002856D9"/>
    <w:rsid w:val="00286F8F"/>
    <w:rsid w:val="00287D50"/>
    <w:rsid w:val="002901B7"/>
    <w:rsid w:val="0029043A"/>
    <w:rsid w:val="00290A28"/>
    <w:rsid w:val="00290FF9"/>
    <w:rsid w:val="00292037"/>
    <w:rsid w:val="002936EB"/>
    <w:rsid w:val="00293B31"/>
    <w:rsid w:val="00293C9A"/>
    <w:rsid w:val="0029472C"/>
    <w:rsid w:val="002955B3"/>
    <w:rsid w:val="00295FEF"/>
    <w:rsid w:val="0029683F"/>
    <w:rsid w:val="002A05B3"/>
    <w:rsid w:val="002A0E6C"/>
    <w:rsid w:val="002A1C1F"/>
    <w:rsid w:val="002A404E"/>
    <w:rsid w:val="002A40BB"/>
    <w:rsid w:val="002A4747"/>
    <w:rsid w:val="002A48E6"/>
    <w:rsid w:val="002A4EE4"/>
    <w:rsid w:val="002A5116"/>
    <w:rsid w:val="002A6B4D"/>
    <w:rsid w:val="002B1BDE"/>
    <w:rsid w:val="002B3FA2"/>
    <w:rsid w:val="002B5953"/>
    <w:rsid w:val="002B7448"/>
    <w:rsid w:val="002B7695"/>
    <w:rsid w:val="002B778C"/>
    <w:rsid w:val="002B77B0"/>
    <w:rsid w:val="002C20A0"/>
    <w:rsid w:val="002C22EB"/>
    <w:rsid w:val="002C3118"/>
    <w:rsid w:val="002C3BCF"/>
    <w:rsid w:val="002C3BEA"/>
    <w:rsid w:val="002C5660"/>
    <w:rsid w:val="002C6490"/>
    <w:rsid w:val="002C6818"/>
    <w:rsid w:val="002C73A9"/>
    <w:rsid w:val="002D0361"/>
    <w:rsid w:val="002D045C"/>
    <w:rsid w:val="002D09FE"/>
    <w:rsid w:val="002D1161"/>
    <w:rsid w:val="002D3792"/>
    <w:rsid w:val="002D3FE7"/>
    <w:rsid w:val="002D47D3"/>
    <w:rsid w:val="002D4AF6"/>
    <w:rsid w:val="002D59B0"/>
    <w:rsid w:val="002D615D"/>
    <w:rsid w:val="002D737C"/>
    <w:rsid w:val="002D7628"/>
    <w:rsid w:val="002D7A29"/>
    <w:rsid w:val="002D7EA8"/>
    <w:rsid w:val="002E114B"/>
    <w:rsid w:val="002E11F0"/>
    <w:rsid w:val="002E1480"/>
    <w:rsid w:val="002E1497"/>
    <w:rsid w:val="002E1868"/>
    <w:rsid w:val="002E35BD"/>
    <w:rsid w:val="002E371D"/>
    <w:rsid w:val="002E4BD6"/>
    <w:rsid w:val="002E553D"/>
    <w:rsid w:val="002E55B2"/>
    <w:rsid w:val="002E617D"/>
    <w:rsid w:val="002E6761"/>
    <w:rsid w:val="002E70B0"/>
    <w:rsid w:val="002E75CB"/>
    <w:rsid w:val="002E7BEF"/>
    <w:rsid w:val="002E7CC9"/>
    <w:rsid w:val="002F0C32"/>
    <w:rsid w:val="002F2CA7"/>
    <w:rsid w:val="002F319E"/>
    <w:rsid w:val="002F420A"/>
    <w:rsid w:val="002F77E7"/>
    <w:rsid w:val="0030025A"/>
    <w:rsid w:val="0030065C"/>
    <w:rsid w:val="003022B6"/>
    <w:rsid w:val="00303595"/>
    <w:rsid w:val="00304131"/>
    <w:rsid w:val="003044DB"/>
    <w:rsid w:val="0030644E"/>
    <w:rsid w:val="0030649E"/>
    <w:rsid w:val="003076B6"/>
    <w:rsid w:val="00307E36"/>
    <w:rsid w:val="00307F7D"/>
    <w:rsid w:val="0031045B"/>
    <w:rsid w:val="00310559"/>
    <w:rsid w:val="00310F32"/>
    <w:rsid w:val="00311C9B"/>
    <w:rsid w:val="003123C1"/>
    <w:rsid w:val="00312ADA"/>
    <w:rsid w:val="00312AE2"/>
    <w:rsid w:val="00312B85"/>
    <w:rsid w:val="00312C0E"/>
    <w:rsid w:val="003135D8"/>
    <w:rsid w:val="00313F3E"/>
    <w:rsid w:val="003145C7"/>
    <w:rsid w:val="003159FF"/>
    <w:rsid w:val="00316A1B"/>
    <w:rsid w:val="00316DBB"/>
    <w:rsid w:val="003175D9"/>
    <w:rsid w:val="003211BA"/>
    <w:rsid w:val="003221D3"/>
    <w:rsid w:val="00322F27"/>
    <w:rsid w:val="00323B7E"/>
    <w:rsid w:val="0032461B"/>
    <w:rsid w:val="00324AE7"/>
    <w:rsid w:val="0032624E"/>
    <w:rsid w:val="003269E0"/>
    <w:rsid w:val="0032759D"/>
    <w:rsid w:val="00330C82"/>
    <w:rsid w:val="00331DE0"/>
    <w:rsid w:val="0033277A"/>
    <w:rsid w:val="00332B08"/>
    <w:rsid w:val="00333205"/>
    <w:rsid w:val="00333922"/>
    <w:rsid w:val="00333DED"/>
    <w:rsid w:val="00335660"/>
    <w:rsid w:val="00337F10"/>
    <w:rsid w:val="00337FD5"/>
    <w:rsid w:val="00340618"/>
    <w:rsid w:val="00341765"/>
    <w:rsid w:val="003417DE"/>
    <w:rsid w:val="003419B7"/>
    <w:rsid w:val="00342297"/>
    <w:rsid w:val="003442BA"/>
    <w:rsid w:val="003458BB"/>
    <w:rsid w:val="003463DF"/>
    <w:rsid w:val="00346A82"/>
    <w:rsid w:val="00346E4C"/>
    <w:rsid w:val="00347122"/>
    <w:rsid w:val="0034798C"/>
    <w:rsid w:val="00347BFF"/>
    <w:rsid w:val="00350DD0"/>
    <w:rsid w:val="003519BD"/>
    <w:rsid w:val="00353584"/>
    <w:rsid w:val="003537A8"/>
    <w:rsid w:val="00353B82"/>
    <w:rsid w:val="00353BAA"/>
    <w:rsid w:val="00353E86"/>
    <w:rsid w:val="003540F7"/>
    <w:rsid w:val="00354971"/>
    <w:rsid w:val="00354E9D"/>
    <w:rsid w:val="003553EE"/>
    <w:rsid w:val="00356457"/>
    <w:rsid w:val="00357290"/>
    <w:rsid w:val="003601C2"/>
    <w:rsid w:val="0036076C"/>
    <w:rsid w:val="00360EE9"/>
    <w:rsid w:val="0036168D"/>
    <w:rsid w:val="003622FD"/>
    <w:rsid w:val="00363211"/>
    <w:rsid w:val="00364A75"/>
    <w:rsid w:val="00364B27"/>
    <w:rsid w:val="00365B1D"/>
    <w:rsid w:val="00365B96"/>
    <w:rsid w:val="003668BA"/>
    <w:rsid w:val="003676C7"/>
    <w:rsid w:val="00367F26"/>
    <w:rsid w:val="00370C4E"/>
    <w:rsid w:val="00370D60"/>
    <w:rsid w:val="003714DB"/>
    <w:rsid w:val="0037186C"/>
    <w:rsid w:val="00371ADE"/>
    <w:rsid w:val="003731C6"/>
    <w:rsid w:val="003736E6"/>
    <w:rsid w:val="00373AA4"/>
    <w:rsid w:val="00373DB4"/>
    <w:rsid w:val="00376676"/>
    <w:rsid w:val="00377941"/>
    <w:rsid w:val="00377B11"/>
    <w:rsid w:val="00377D66"/>
    <w:rsid w:val="00377E31"/>
    <w:rsid w:val="00380776"/>
    <w:rsid w:val="003815F2"/>
    <w:rsid w:val="00381E92"/>
    <w:rsid w:val="00382748"/>
    <w:rsid w:val="00382926"/>
    <w:rsid w:val="0038308E"/>
    <w:rsid w:val="00383BF2"/>
    <w:rsid w:val="00383EE1"/>
    <w:rsid w:val="003840C7"/>
    <w:rsid w:val="00384D6C"/>
    <w:rsid w:val="003857F5"/>
    <w:rsid w:val="00386DC7"/>
    <w:rsid w:val="00386DEE"/>
    <w:rsid w:val="00386E8D"/>
    <w:rsid w:val="003870A3"/>
    <w:rsid w:val="00390160"/>
    <w:rsid w:val="00391887"/>
    <w:rsid w:val="003937F2"/>
    <w:rsid w:val="00393BA0"/>
    <w:rsid w:val="00394FC7"/>
    <w:rsid w:val="0039636D"/>
    <w:rsid w:val="003974BB"/>
    <w:rsid w:val="0039755C"/>
    <w:rsid w:val="003975F5"/>
    <w:rsid w:val="003A017B"/>
    <w:rsid w:val="003A2250"/>
    <w:rsid w:val="003A2CCD"/>
    <w:rsid w:val="003A2E83"/>
    <w:rsid w:val="003A437A"/>
    <w:rsid w:val="003A59F1"/>
    <w:rsid w:val="003B077C"/>
    <w:rsid w:val="003B1408"/>
    <w:rsid w:val="003B1A59"/>
    <w:rsid w:val="003B1EBC"/>
    <w:rsid w:val="003B1EDC"/>
    <w:rsid w:val="003B3015"/>
    <w:rsid w:val="003B335F"/>
    <w:rsid w:val="003B35BA"/>
    <w:rsid w:val="003B3BEB"/>
    <w:rsid w:val="003B4BE0"/>
    <w:rsid w:val="003B501D"/>
    <w:rsid w:val="003B57F2"/>
    <w:rsid w:val="003B613A"/>
    <w:rsid w:val="003B6527"/>
    <w:rsid w:val="003B6A29"/>
    <w:rsid w:val="003B6A9B"/>
    <w:rsid w:val="003B6CE6"/>
    <w:rsid w:val="003B7474"/>
    <w:rsid w:val="003B7479"/>
    <w:rsid w:val="003C05EF"/>
    <w:rsid w:val="003C07B7"/>
    <w:rsid w:val="003C1474"/>
    <w:rsid w:val="003C1C1F"/>
    <w:rsid w:val="003C2FC4"/>
    <w:rsid w:val="003C35B8"/>
    <w:rsid w:val="003C37E9"/>
    <w:rsid w:val="003C4369"/>
    <w:rsid w:val="003C4598"/>
    <w:rsid w:val="003C5568"/>
    <w:rsid w:val="003C5BE8"/>
    <w:rsid w:val="003D1075"/>
    <w:rsid w:val="003D1B7A"/>
    <w:rsid w:val="003D3616"/>
    <w:rsid w:val="003D3DFC"/>
    <w:rsid w:val="003D3FCC"/>
    <w:rsid w:val="003D4DA2"/>
    <w:rsid w:val="003D4FD5"/>
    <w:rsid w:val="003D50B4"/>
    <w:rsid w:val="003D5254"/>
    <w:rsid w:val="003D6255"/>
    <w:rsid w:val="003D6CF1"/>
    <w:rsid w:val="003D79FE"/>
    <w:rsid w:val="003E03B5"/>
    <w:rsid w:val="003E14CF"/>
    <w:rsid w:val="003E2240"/>
    <w:rsid w:val="003E3B53"/>
    <w:rsid w:val="003E3D6E"/>
    <w:rsid w:val="003E41EE"/>
    <w:rsid w:val="003E4E03"/>
    <w:rsid w:val="003E500B"/>
    <w:rsid w:val="003E5315"/>
    <w:rsid w:val="003E57E6"/>
    <w:rsid w:val="003E6A00"/>
    <w:rsid w:val="003E6D1C"/>
    <w:rsid w:val="003E746B"/>
    <w:rsid w:val="003F0D63"/>
    <w:rsid w:val="003F107A"/>
    <w:rsid w:val="003F2037"/>
    <w:rsid w:val="003F3376"/>
    <w:rsid w:val="003F337D"/>
    <w:rsid w:val="003F3F61"/>
    <w:rsid w:val="003F46E8"/>
    <w:rsid w:val="003F6624"/>
    <w:rsid w:val="003F6DEC"/>
    <w:rsid w:val="003F6EF6"/>
    <w:rsid w:val="003F7C8A"/>
    <w:rsid w:val="003F7FC2"/>
    <w:rsid w:val="0040185A"/>
    <w:rsid w:val="0040306B"/>
    <w:rsid w:val="00404869"/>
    <w:rsid w:val="00404994"/>
    <w:rsid w:val="00405405"/>
    <w:rsid w:val="00405AFF"/>
    <w:rsid w:val="00405D17"/>
    <w:rsid w:val="00406E43"/>
    <w:rsid w:val="00410A20"/>
    <w:rsid w:val="00410BDB"/>
    <w:rsid w:val="00410D6D"/>
    <w:rsid w:val="00411248"/>
    <w:rsid w:val="0041204C"/>
    <w:rsid w:val="00412EFA"/>
    <w:rsid w:val="00413303"/>
    <w:rsid w:val="004133A8"/>
    <w:rsid w:val="004149C2"/>
    <w:rsid w:val="00415D6B"/>
    <w:rsid w:val="00416E50"/>
    <w:rsid w:val="004174B6"/>
    <w:rsid w:val="004179DF"/>
    <w:rsid w:val="00417C63"/>
    <w:rsid w:val="00421C36"/>
    <w:rsid w:val="00423C71"/>
    <w:rsid w:val="00424126"/>
    <w:rsid w:val="00424380"/>
    <w:rsid w:val="00424A81"/>
    <w:rsid w:val="00424B43"/>
    <w:rsid w:val="00424E8A"/>
    <w:rsid w:val="00425B85"/>
    <w:rsid w:val="00426ADA"/>
    <w:rsid w:val="00427B89"/>
    <w:rsid w:val="0043008A"/>
    <w:rsid w:val="00431E73"/>
    <w:rsid w:val="00433256"/>
    <w:rsid w:val="0043354D"/>
    <w:rsid w:val="004335F0"/>
    <w:rsid w:val="004340C9"/>
    <w:rsid w:val="00434894"/>
    <w:rsid w:val="004349CF"/>
    <w:rsid w:val="00434B1B"/>
    <w:rsid w:val="00435C57"/>
    <w:rsid w:val="0043623E"/>
    <w:rsid w:val="00437C00"/>
    <w:rsid w:val="00437E2D"/>
    <w:rsid w:val="00441420"/>
    <w:rsid w:val="00441EAB"/>
    <w:rsid w:val="00443083"/>
    <w:rsid w:val="00444059"/>
    <w:rsid w:val="004441FE"/>
    <w:rsid w:val="004446E3"/>
    <w:rsid w:val="00444FB8"/>
    <w:rsid w:val="00445B52"/>
    <w:rsid w:val="00446685"/>
    <w:rsid w:val="00446FA7"/>
    <w:rsid w:val="00447483"/>
    <w:rsid w:val="00450674"/>
    <w:rsid w:val="00452ED6"/>
    <w:rsid w:val="0045359E"/>
    <w:rsid w:val="00453F14"/>
    <w:rsid w:val="00455DC4"/>
    <w:rsid w:val="00456E1F"/>
    <w:rsid w:val="00457925"/>
    <w:rsid w:val="004607D0"/>
    <w:rsid w:val="00461407"/>
    <w:rsid w:val="0046186F"/>
    <w:rsid w:val="00461A8F"/>
    <w:rsid w:val="00462ACC"/>
    <w:rsid w:val="00463A98"/>
    <w:rsid w:val="00464F1D"/>
    <w:rsid w:val="004650B0"/>
    <w:rsid w:val="0046589C"/>
    <w:rsid w:val="00465E6B"/>
    <w:rsid w:val="00470821"/>
    <w:rsid w:val="004717E4"/>
    <w:rsid w:val="00471FBA"/>
    <w:rsid w:val="00472682"/>
    <w:rsid w:val="00473A56"/>
    <w:rsid w:val="004743E5"/>
    <w:rsid w:val="0047524C"/>
    <w:rsid w:val="00475EE4"/>
    <w:rsid w:val="00480BB3"/>
    <w:rsid w:val="00480FDE"/>
    <w:rsid w:val="00481096"/>
    <w:rsid w:val="0048138B"/>
    <w:rsid w:val="00481835"/>
    <w:rsid w:val="00481ADD"/>
    <w:rsid w:val="00481ECC"/>
    <w:rsid w:val="004828F7"/>
    <w:rsid w:val="004839E8"/>
    <w:rsid w:val="00483F30"/>
    <w:rsid w:val="00484CE7"/>
    <w:rsid w:val="00485F0B"/>
    <w:rsid w:val="00485FF1"/>
    <w:rsid w:val="004866B2"/>
    <w:rsid w:val="00487340"/>
    <w:rsid w:val="00487A34"/>
    <w:rsid w:val="004908BC"/>
    <w:rsid w:val="0049173E"/>
    <w:rsid w:val="00492197"/>
    <w:rsid w:val="004931A0"/>
    <w:rsid w:val="0049353D"/>
    <w:rsid w:val="00493699"/>
    <w:rsid w:val="00493D9E"/>
    <w:rsid w:val="00493F70"/>
    <w:rsid w:val="004942C7"/>
    <w:rsid w:val="004946A4"/>
    <w:rsid w:val="004963A8"/>
    <w:rsid w:val="0049673A"/>
    <w:rsid w:val="004968E0"/>
    <w:rsid w:val="00496EB6"/>
    <w:rsid w:val="00497117"/>
    <w:rsid w:val="004A13DF"/>
    <w:rsid w:val="004A1639"/>
    <w:rsid w:val="004A19B9"/>
    <w:rsid w:val="004A22A5"/>
    <w:rsid w:val="004A3489"/>
    <w:rsid w:val="004A3C0A"/>
    <w:rsid w:val="004A458A"/>
    <w:rsid w:val="004A4DB0"/>
    <w:rsid w:val="004A5B22"/>
    <w:rsid w:val="004A5B32"/>
    <w:rsid w:val="004A60AC"/>
    <w:rsid w:val="004A63BE"/>
    <w:rsid w:val="004A68FF"/>
    <w:rsid w:val="004A6D90"/>
    <w:rsid w:val="004A7A7D"/>
    <w:rsid w:val="004B1408"/>
    <w:rsid w:val="004B2516"/>
    <w:rsid w:val="004B2DDE"/>
    <w:rsid w:val="004B439C"/>
    <w:rsid w:val="004B45B3"/>
    <w:rsid w:val="004B4ACC"/>
    <w:rsid w:val="004B4BF4"/>
    <w:rsid w:val="004B4EE8"/>
    <w:rsid w:val="004B59C4"/>
    <w:rsid w:val="004B6005"/>
    <w:rsid w:val="004B600B"/>
    <w:rsid w:val="004B6BB8"/>
    <w:rsid w:val="004B796C"/>
    <w:rsid w:val="004B7DB9"/>
    <w:rsid w:val="004C04BD"/>
    <w:rsid w:val="004C1ABD"/>
    <w:rsid w:val="004C2180"/>
    <w:rsid w:val="004C3181"/>
    <w:rsid w:val="004C3336"/>
    <w:rsid w:val="004C3555"/>
    <w:rsid w:val="004C3A59"/>
    <w:rsid w:val="004C3EE4"/>
    <w:rsid w:val="004C4425"/>
    <w:rsid w:val="004C48B0"/>
    <w:rsid w:val="004C49CE"/>
    <w:rsid w:val="004C4F2B"/>
    <w:rsid w:val="004C6641"/>
    <w:rsid w:val="004C71C8"/>
    <w:rsid w:val="004C76C5"/>
    <w:rsid w:val="004D0701"/>
    <w:rsid w:val="004D10D3"/>
    <w:rsid w:val="004D1E0D"/>
    <w:rsid w:val="004D38C9"/>
    <w:rsid w:val="004D394C"/>
    <w:rsid w:val="004D49F7"/>
    <w:rsid w:val="004D4C70"/>
    <w:rsid w:val="004D5024"/>
    <w:rsid w:val="004D58F0"/>
    <w:rsid w:val="004D59BD"/>
    <w:rsid w:val="004D7121"/>
    <w:rsid w:val="004E0092"/>
    <w:rsid w:val="004E0AFE"/>
    <w:rsid w:val="004E0F5B"/>
    <w:rsid w:val="004E1D7F"/>
    <w:rsid w:val="004E1EA3"/>
    <w:rsid w:val="004E25B6"/>
    <w:rsid w:val="004E2C36"/>
    <w:rsid w:val="004E3FAE"/>
    <w:rsid w:val="004E4120"/>
    <w:rsid w:val="004E453F"/>
    <w:rsid w:val="004E4E60"/>
    <w:rsid w:val="004E51D5"/>
    <w:rsid w:val="004E5B4C"/>
    <w:rsid w:val="004E63BE"/>
    <w:rsid w:val="004E697B"/>
    <w:rsid w:val="004E7B40"/>
    <w:rsid w:val="004E7F46"/>
    <w:rsid w:val="004F0256"/>
    <w:rsid w:val="004F1333"/>
    <w:rsid w:val="004F21B4"/>
    <w:rsid w:val="004F2D78"/>
    <w:rsid w:val="004F2ECE"/>
    <w:rsid w:val="004F4492"/>
    <w:rsid w:val="004F4C99"/>
    <w:rsid w:val="004F5B7A"/>
    <w:rsid w:val="004F5C02"/>
    <w:rsid w:val="004F61CD"/>
    <w:rsid w:val="004F67CE"/>
    <w:rsid w:val="0050045B"/>
    <w:rsid w:val="00500DBD"/>
    <w:rsid w:val="00500F88"/>
    <w:rsid w:val="00502F72"/>
    <w:rsid w:val="00505BE1"/>
    <w:rsid w:val="00505EA8"/>
    <w:rsid w:val="00506A1B"/>
    <w:rsid w:val="00507C70"/>
    <w:rsid w:val="00510578"/>
    <w:rsid w:val="00511765"/>
    <w:rsid w:val="00511B2F"/>
    <w:rsid w:val="005127E6"/>
    <w:rsid w:val="00512A02"/>
    <w:rsid w:val="00515D50"/>
    <w:rsid w:val="00517F11"/>
    <w:rsid w:val="0052057F"/>
    <w:rsid w:val="005217DF"/>
    <w:rsid w:val="00522020"/>
    <w:rsid w:val="00522743"/>
    <w:rsid w:val="00522CBA"/>
    <w:rsid w:val="00524F16"/>
    <w:rsid w:val="0052676E"/>
    <w:rsid w:val="00526CC1"/>
    <w:rsid w:val="00526FEE"/>
    <w:rsid w:val="00527880"/>
    <w:rsid w:val="00530DE6"/>
    <w:rsid w:val="00531E5C"/>
    <w:rsid w:val="0053297B"/>
    <w:rsid w:val="00533138"/>
    <w:rsid w:val="00534474"/>
    <w:rsid w:val="00534ACA"/>
    <w:rsid w:val="00535103"/>
    <w:rsid w:val="00535339"/>
    <w:rsid w:val="0053554E"/>
    <w:rsid w:val="00540815"/>
    <w:rsid w:val="00540D8C"/>
    <w:rsid w:val="005418FE"/>
    <w:rsid w:val="005424DE"/>
    <w:rsid w:val="00543C36"/>
    <w:rsid w:val="00546CE4"/>
    <w:rsid w:val="005476FF"/>
    <w:rsid w:val="00547EEC"/>
    <w:rsid w:val="00550C19"/>
    <w:rsid w:val="00550E97"/>
    <w:rsid w:val="00552765"/>
    <w:rsid w:val="00553E50"/>
    <w:rsid w:val="0055637D"/>
    <w:rsid w:val="00556735"/>
    <w:rsid w:val="005605FE"/>
    <w:rsid w:val="005608F3"/>
    <w:rsid w:val="00560A5F"/>
    <w:rsid w:val="00560F1E"/>
    <w:rsid w:val="005615FD"/>
    <w:rsid w:val="0056327A"/>
    <w:rsid w:val="00563BCA"/>
    <w:rsid w:val="005644CD"/>
    <w:rsid w:val="00564A5F"/>
    <w:rsid w:val="0056593F"/>
    <w:rsid w:val="00565BAF"/>
    <w:rsid w:val="0056682E"/>
    <w:rsid w:val="00566893"/>
    <w:rsid w:val="0056692B"/>
    <w:rsid w:val="00566C10"/>
    <w:rsid w:val="00567357"/>
    <w:rsid w:val="00567DDD"/>
    <w:rsid w:val="00567FA8"/>
    <w:rsid w:val="005719E1"/>
    <w:rsid w:val="00571B3A"/>
    <w:rsid w:val="00572371"/>
    <w:rsid w:val="00572BC1"/>
    <w:rsid w:val="00572DC6"/>
    <w:rsid w:val="00574CDA"/>
    <w:rsid w:val="00575454"/>
    <w:rsid w:val="00575466"/>
    <w:rsid w:val="00577272"/>
    <w:rsid w:val="0057732E"/>
    <w:rsid w:val="00580BF7"/>
    <w:rsid w:val="00580F9E"/>
    <w:rsid w:val="005819E8"/>
    <w:rsid w:val="00582E9F"/>
    <w:rsid w:val="005830CE"/>
    <w:rsid w:val="005839D8"/>
    <w:rsid w:val="0058550B"/>
    <w:rsid w:val="005864D7"/>
    <w:rsid w:val="00586A61"/>
    <w:rsid w:val="005905DF"/>
    <w:rsid w:val="00590E02"/>
    <w:rsid w:val="00591400"/>
    <w:rsid w:val="005920B7"/>
    <w:rsid w:val="0059210D"/>
    <w:rsid w:val="00592545"/>
    <w:rsid w:val="00593A6D"/>
    <w:rsid w:val="00593CEA"/>
    <w:rsid w:val="005941AD"/>
    <w:rsid w:val="00594500"/>
    <w:rsid w:val="005949E2"/>
    <w:rsid w:val="005950DE"/>
    <w:rsid w:val="00596D54"/>
    <w:rsid w:val="005970E7"/>
    <w:rsid w:val="005971D9"/>
    <w:rsid w:val="00597531"/>
    <w:rsid w:val="005A0542"/>
    <w:rsid w:val="005A08E2"/>
    <w:rsid w:val="005A1100"/>
    <w:rsid w:val="005A1906"/>
    <w:rsid w:val="005A721F"/>
    <w:rsid w:val="005A75D5"/>
    <w:rsid w:val="005A7E0E"/>
    <w:rsid w:val="005B0470"/>
    <w:rsid w:val="005B04CE"/>
    <w:rsid w:val="005B0D30"/>
    <w:rsid w:val="005B2166"/>
    <w:rsid w:val="005B2996"/>
    <w:rsid w:val="005B3119"/>
    <w:rsid w:val="005B3B47"/>
    <w:rsid w:val="005B46DC"/>
    <w:rsid w:val="005B5738"/>
    <w:rsid w:val="005B7923"/>
    <w:rsid w:val="005C0691"/>
    <w:rsid w:val="005C29B9"/>
    <w:rsid w:val="005C2A04"/>
    <w:rsid w:val="005C368D"/>
    <w:rsid w:val="005C3986"/>
    <w:rsid w:val="005C43AC"/>
    <w:rsid w:val="005C4481"/>
    <w:rsid w:val="005C44AD"/>
    <w:rsid w:val="005C4A9B"/>
    <w:rsid w:val="005C5283"/>
    <w:rsid w:val="005C600F"/>
    <w:rsid w:val="005C652A"/>
    <w:rsid w:val="005C693B"/>
    <w:rsid w:val="005D01DA"/>
    <w:rsid w:val="005D0D85"/>
    <w:rsid w:val="005D0E17"/>
    <w:rsid w:val="005D1C08"/>
    <w:rsid w:val="005D2454"/>
    <w:rsid w:val="005D2534"/>
    <w:rsid w:val="005D3A69"/>
    <w:rsid w:val="005D40A3"/>
    <w:rsid w:val="005D44B7"/>
    <w:rsid w:val="005D4D40"/>
    <w:rsid w:val="005D5088"/>
    <w:rsid w:val="005D60DA"/>
    <w:rsid w:val="005D6263"/>
    <w:rsid w:val="005D6DC2"/>
    <w:rsid w:val="005E04D4"/>
    <w:rsid w:val="005E0AC2"/>
    <w:rsid w:val="005E1AB6"/>
    <w:rsid w:val="005E4539"/>
    <w:rsid w:val="005E5721"/>
    <w:rsid w:val="005E5BA3"/>
    <w:rsid w:val="005E5C68"/>
    <w:rsid w:val="005E6A09"/>
    <w:rsid w:val="005E7889"/>
    <w:rsid w:val="005F0336"/>
    <w:rsid w:val="005F0A3C"/>
    <w:rsid w:val="005F11C9"/>
    <w:rsid w:val="005F1600"/>
    <w:rsid w:val="005F1B4C"/>
    <w:rsid w:val="005F26F3"/>
    <w:rsid w:val="005F4C15"/>
    <w:rsid w:val="005F7A5D"/>
    <w:rsid w:val="00600321"/>
    <w:rsid w:val="006009F3"/>
    <w:rsid w:val="00600C01"/>
    <w:rsid w:val="00601341"/>
    <w:rsid w:val="006014D0"/>
    <w:rsid w:val="00602F37"/>
    <w:rsid w:val="00604630"/>
    <w:rsid w:val="00605342"/>
    <w:rsid w:val="00605FC4"/>
    <w:rsid w:val="00606084"/>
    <w:rsid w:val="00606C9A"/>
    <w:rsid w:val="00606E71"/>
    <w:rsid w:val="00610564"/>
    <w:rsid w:val="00610A71"/>
    <w:rsid w:val="00610D4B"/>
    <w:rsid w:val="00612270"/>
    <w:rsid w:val="006124CC"/>
    <w:rsid w:val="00612C23"/>
    <w:rsid w:val="00612F98"/>
    <w:rsid w:val="00613F99"/>
    <w:rsid w:val="00615808"/>
    <w:rsid w:val="0062022D"/>
    <w:rsid w:val="006216DB"/>
    <w:rsid w:val="006224F3"/>
    <w:rsid w:val="006228F5"/>
    <w:rsid w:val="00623489"/>
    <w:rsid w:val="006234E4"/>
    <w:rsid w:val="00623A5D"/>
    <w:rsid w:val="00623B8B"/>
    <w:rsid w:val="0062613E"/>
    <w:rsid w:val="0063022D"/>
    <w:rsid w:val="00630E31"/>
    <w:rsid w:val="00631043"/>
    <w:rsid w:val="00631393"/>
    <w:rsid w:val="0063187C"/>
    <w:rsid w:val="00631B3D"/>
    <w:rsid w:val="006330AE"/>
    <w:rsid w:val="00633567"/>
    <w:rsid w:val="006345DB"/>
    <w:rsid w:val="00634DB4"/>
    <w:rsid w:val="00635432"/>
    <w:rsid w:val="006363CD"/>
    <w:rsid w:val="00637438"/>
    <w:rsid w:val="00637F85"/>
    <w:rsid w:val="006406B8"/>
    <w:rsid w:val="00641B4E"/>
    <w:rsid w:val="00643074"/>
    <w:rsid w:val="00643098"/>
    <w:rsid w:val="0064394B"/>
    <w:rsid w:val="00643DA9"/>
    <w:rsid w:val="00644204"/>
    <w:rsid w:val="00644BCE"/>
    <w:rsid w:val="006454BD"/>
    <w:rsid w:val="00645899"/>
    <w:rsid w:val="00645DE4"/>
    <w:rsid w:val="00645F86"/>
    <w:rsid w:val="00646173"/>
    <w:rsid w:val="00647D52"/>
    <w:rsid w:val="006509B9"/>
    <w:rsid w:val="00651091"/>
    <w:rsid w:val="00651C3F"/>
    <w:rsid w:val="006528A0"/>
    <w:rsid w:val="00652947"/>
    <w:rsid w:val="00653658"/>
    <w:rsid w:val="006538E5"/>
    <w:rsid w:val="00653914"/>
    <w:rsid w:val="00654754"/>
    <w:rsid w:val="00655259"/>
    <w:rsid w:val="00655E16"/>
    <w:rsid w:val="006578CB"/>
    <w:rsid w:val="006603AF"/>
    <w:rsid w:val="00660C8C"/>
    <w:rsid w:val="006616CD"/>
    <w:rsid w:val="00661DD7"/>
    <w:rsid w:val="00662E79"/>
    <w:rsid w:val="00662E7A"/>
    <w:rsid w:val="00665E03"/>
    <w:rsid w:val="006663DE"/>
    <w:rsid w:val="00666C37"/>
    <w:rsid w:val="006677B7"/>
    <w:rsid w:val="00670653"/>
    <w:rsid w:val="00671067"/>
    <w:rsid w:val="006726B8"/>
    <w:rsid w:val="0067415A"/>
    <w:rsid w:val="00675600"/>
    <w:rsid w:val="00675B98"/>
    <w:rsid w:val="006809E3"/>
    <w:rsid w:val="006817FE"/>
    <w:rsid w:val="006820E0"/>
    <w:rsid w:val="006859E5"/>
    <w:rsid w:val="00685F73"/>
    <w:rsid w:val="00687BB6"/>
    <w:rsid w:val="006902F8"/>
    <w:rsid w:val="00692D05"/>
    <w:rsid w:val="00693B33"/>
    <w:rsid w:val="0069472E"/>
    <w:rsid w:val="00695035"/>
    <w:rsid w:val="0069667F"/>
    <w:rsid w:val="006A05C8"/>
    <w:rsid w:val="006A0A72"/>
    <w:rsid w:val="006A23E8"/>
    <w:rsid w:val="006A2E46"/>
    <w:rsid w:val="006A3675"/>
    <w:rsid w:val="006A390A"/>
    <w:rsid w:val="006A3B12"/>
    <w:rsid w:val="006A4674"/>
    <w:rsid w:val="006A4D03"/>
    <w:rsid w:val="006A5172"/>
    <w:rsid w:val="006A53AA"/>
    <w:rsid w:val="006A6869"/>
    <w:rsid w:val="006B0021"/>
    <w:rsid w:val="006B0BC5"/>
    <w:rsid w:val="006B0EEB"/>
    <w:rsid w:val="006B137E"/>
    <w:rsid w:val="006B309E"/>
    <w:rsid w:val="006B38CE"/>
    <w:rsid w:val="006B3FE3"/>
    <w:rsid w:val="006B49A0"/>
    <w:rsid w:val="006B546C"/>
    <w:rsid w:val="006B7CD6"/>
    <w:rsid w:val="006C0E2C"/>
    <w:rsid w:val="006C1051"/>
    <w:rsid w:val="006C56C2"/>
    <w:rsid w:val="006C5B30"/>
    <w:rsid w:val="006C6C10"/>
    <w:rsid w:val="006C6CBA"/>
    <w:rsid w:val="006C6E77"/>
    <w:rsid w:val="006C6F16"/>
    <w:rsid w:val="006D0BF3"/>
    <w:rsid w:val="006D113B"/>
    <w:rsid w:val="006D1184"/>
    <w:rsid w:val="006D1C1A"/>
    <w:rsid w:val="006D2289"/>
    <w:rsid w:val="006D32D0"/>
    <w:rsid w:val="006D362C"/>
    <w:rsid w:val="006D3B41"/>
    <w:rsid w:val="006D3E5F"/>
    <w:rsid w:val="006D4434"/>
    <w:rsid w:val="006D4C02"/>
    <w:rsid w:val="006D6BDA"/>
    <w:rsid w:val="006E08E5"/>
    <w:rsid w:val="006E0CAD"/>
    <w:rsid w:val="006E17C8"/>
    <w:rsid w:val="006E18E8"/>
    <w:rsid w:val="006E18EA"/>
    <w:rsid w:val="006E3449"/>
    <w:rsid w:val="006E3944"/>
    <w:rsid w:val="006E4067"/>
    <w:rsid w:val="006E45A6"/>
    <w:rsid w:val="006E4CC2"/>
    <w:rsid w:val="006E5576"/>
    <w:rsid w:val="006E5C46"/>
    <w:rsid w:val="006E7455"/>
    <w:rsid w:val="006F0A9C"/>
    <w:rsid w:val="006F0EA4"/>
    <w:rsid w:val="006F151A"/>
    <w:rsid w:val="006F1694"/>
    <w:rsid w:val="006F2518"/>
    <w:rsid w:val="006F32C8"/>
    <w:rsid w:val="006F422F"/>
    <w:rsid w:val="006F54F3"/>
    <w:rsid w:val="006F673A"/>
    <w:rsid w:val="006F6FCE"/>
    <w:rsid w:val="006F78B1"/>
    <w:rsid w:val="006F7B89"/>
    <w:rsid w:val="006F7CFD"/>
    <w:rsid w:val="006F7E9C"/>
    <w:rsid w:val="006F7EDA"/>
    <w:rsid w:val="00701E1F"/>
    <w:rsid w:val="00701EBE"/>
    <w:rsid w:val="0070206E"/>
    <w:rsid w:val="007023D4"/>
    <w:rsid w:val="0070270D"/>
    <w:rsid w:val="00702AEB"/>
    <w:rsid w:val="00702EE6"/>
    <w:rsid w:val="0070312A"/>
    <w:rsid w:val="007031CD"/>
    <w:rsid w:val="00703F93"/>
    <w:rsid w:val="00706BBD"/>
    <w:rsid w:val="00710C3C"/>
    <w:rsid w:val="007111F3"/>
    <w:rsid w:val="007120B1"/>
    <w:rsid w:val="0071329D"/>
    <w:rsid w:val="00716173"/>
    <w:rsid w:val="00716460"/>
    <w:rsid w:val="00716D9C"/>
    <w:rsid w:val="007201FD"/>
    <w:rsid w:val="00720808"/>
    <w:rsid w:val="00721616"/>
    <w:rsid w:val="00721960"/>
    <w:rsid w:val="007223A0"/>
    <w:rsid w:val="007227CF"/>
    <w:rsid w:val="0072378A"/>
    <w:rsid w:val="00723D6A"/>
    <w:rsid w:val="00724828"/>
    <w:rsid w:val="00724ACE"/>
    <w:rsid w:val="00725137"/>
    <w:rsid w:val="007256E5"/>
    <w:rsid w:val="0072683E"/>
    <w:rsid w:val="0073024A"/>
    <w:rsid w:val="007302E3"/>
    <w:rsid w:val="00731687"/>
    <w:rsid w:val="007333FB"/>
    <w:rsid w:val="0073406C"/>
    <w:rsid w:val="00734400"/>
    <w:rsid w:val="00735866"/>
    <w:rsid w:val="00735E0B"/>
    <w:rsid w:val="0073671A"/>
    <w:rsid w:val="0073691E"/>
    <w:rsid w:val="007418B4"/>
    <w:rsid w:val="00741D88"/>
    <w:rsid w:val="00742623"/>
    <w:rsid w:val="00742C4C"/>
    <w:rsid w:val="0074302C"/>
    <w:rsid w:val="0074304C"/>
    <w:rsid w:val="00743562"/>
    <w:rsid w:val="007436C1"/>
    <w:rsid w:val="00744971"/>
    <w:rsid w:val="007450A5"/>
    <w:rsid w:val="007473B5"/>
    <w:rsid w:val="0074759F"/>
    <w:rsid w:val="00747B06"/>
    <w:rsid w:val="00747E9C"/>
    <w:rsid w:val="00750B3F"/>
    <w:rsid w:val="0075115F"/>
    <w:rsid w:val="00751A5A"/>
    <w:rsid w:val="007522DA"/>
    <w:rsid w:val="00752BC3"/>
    <w:rsid w:val="00752CC7"/>
    <w:rsid w:val="00753B31"/>
    <w:rsid w:val="007556EB"/>
    <w:rsid w:val="0075703E"/>
    <w:rsid w:val="007571C3"/>
    <w:rsid w:val="00757848"/>
    <w:rsid w:val="00760B85"/>
    <w:rsid w:val="007613D4"/>
    <w:rsid w:val="007621F6"/>
    <w:rsid w:val="00763812"/>
    <w:rsid w:val="00764123"/>
    <w:rsid w:val="00764DA3"/>
    <w:rsid w:val="0076518C"/>
    <w:rsid w:val="0076614E"/>
    <w:rsid w:val="00766570"/>
    <w:rsid w:val="00767606"/>
    <w:rsid w:val="0077053C"/>
    <w:rsid w:val="007715E6"/>
    <w:rsid w:val="00771949"/>
    <w:rsid w:val="00771A78"/>
    <w:rsid w:val="0077370E"/>
    <w:rsid w:val="007746BB"/>
    <w:rsid w:val="00775284"/>
    <w:rsid w:val="007757AF"/>
    <w:rsid w:val="00775A5C"/>
    <w:rsid w:val="007773A9"/>
    <w:rsid w:val="00777712"/>
    <w:rsid w:val="0078042E"/>
    <w:rsid w:val="0078126F"/>
    <w:rsid w:val="00781351"/>
    <w:rsid w:val="00781F51"/>
    <w:rsid w:val="007822B9"/>
    <w:rsid w:val="00783ADD"/>
    <w:rsid w:val="00783D4D"/>
    <w:rsid w:val="00785785"/>
    <w:rsid w:val="00785ABD"/>
    <w:rsid w:val="00787594"/>
    <w:rsid w:val="00787C96"/>
    <w:rsid w:val="007906E0"/>
    <w:rsid w:val="007910A0"/>
    <w:rsid w:val="00791761"/>
    <w:rsid w:val="007919B6"/>
    <w:rsid w:val="007931E2"/>
    <w:rsid w:val="007936A4"/>
    <w:rsid w:val="00793E58"/>
    <w:rsid w:val="00796A6B"/>
    <w:rsid w:val="00797361"/>
    <w:rsid w:val="007974B7"/>
    <w:rsid w:val="00797532"/>
    <w:rsid w:val="007A278A"/>
    <w:rsid w:val="007A3BAB"/>
    <w:rsid w:val="007A5D33"/>
    <w:rsid w:val="007A62D9"/>
    <w:rsid w:val="007A70A5"/>
    <w:rsid w:val="007A71F1"/>
    <w:rsid w:val="007A7966"/>
    <w:rsid w:val="007A7D7B"/>
    <w:rsid w:val="007B0BBB"/>
    <w:rsid w:val="007B15E1"/>
    <w:rsid w:val="007B16B2"/>
    <w:rsid w:val="007B19E4"/>
    <w:rsid w:val="007B3BF9"/>
    <w:rsid w:val="007B511E"/>
    <w:rsid w:val="007B5A9A"/>
    <w:rsid w:val="007B5BCD"/>
    <w:rsid w:val="007B5C94"/>
    <w:rsid w:val="007B67CA"/>
    <w:rsid w:val="007B7808"/>
    <w:rsid w:val="007C00EE"/>
    <w:rsid w:val="007C095E"/>
    <w:rsid w:val="007C1047"/>
    <w:rsid w:val="007C27DA"/>
    <w:rsid w:val="007C28DB"/>
    <w:rsid w:val="007C2A46"/>
    <w:rsid w:val="007C2BD1"/>
    <w:rsid w:val="007C2CEA"/>
    <w:rsid w:val="007C30F1"/>
    <w:rsid w:val="007C3442"/>
    <w:rsid w:val="007C3F99"/>
    <w:rsid w:val="007C527F"/>
    <w:rsid w:val="007C6B21"/>
    <w:rsid w:val="007C724A"/>
    <w:rsid w:val="007C72E7"/>
    <w:rsid w:val="007C7466"/>
    <w:rsid w:val="007D01F1"/>
    <w:rsid w:val="007D10AB"/>
    <w:rsid w:val="007D18E6"/>
    <w:rsid w:val="007D1B67"/>
    <w:rsid w:val="007D1E1F"/>
    <w:rsid w:val="007D404F"/>
    <w:rsid w:val="007D4C52"/>
    <w:rsid w:val="007D4F8E"/>
    <w:rsid w:val="007D5CA5"/>
    <w:rsid w:val="007D60D8"/>
    <w:rsid w:val="007D63FF"/>
    <w:rsid w:val="007D6546"/>
    <w:rsid w:val="007D6C41"/>
    <w:rsid w:val="007D6F63"/>
    <w:rsid w:val="007D718E"/>
    <w:rsid w:val="007E108D"/>
    <w:rsid w:val="007E183A"/>
    <w:rsid w:val="007E2087"/>
    <w:rsid w:val="007E3F4D"/>
    <w:rsid w:val="007E6496"/>
    <w:rsid w:val="007E6BA0"/>
    <w:rsid w:val="007E6E86"/>
    <w:rsid w:val="007E7B39"/>
    <w:rsid w:val="007F00FF"/>
    <w:rsid w:val="007F09B5"/>
    <w:rsid w:val="007F1598"/>
    <w:rsid w:val="007F1EA6"/>
    <w:rsid w:val="007F2082"/>
    <w:rsid w:val="007F35B5"/>
    <w:rsid w:val="007F3CF8"/>
    <w:rsid w:val="007F4116"/>
    <w:rsid w:val="007F4144"/>
    <w:rsid w:val="007F45D3"/>
    <w:rsid w:val="007F4D9C"/>
    <w:rsid w:val="007F6231"/>
    <w:rsid w:val="007F67DC"/>
    <w:rsid w:val="007F72BD"/>
    <w:rsid w:val="008001B7"/>
    <w:rsid w:val="008003E3"/>
    <w:rsid w:val="00801D11"/>
    <w:rsid w:val="00801E29"/>
    <w:rsid w:val="0080203F"/>
    <w:rsid w:val="0080235A"/>
    <w:rsid w:val="00802568"/>
    <w:rsid w:val="00802DB0"/>
    <w:rsid w:val="00804287"/>
    <w:rsid w:val="00804B41"/>
    <w:rsid w:val="008059B9"/>
    <w:rsid w:val="00805EA3"/>
    <w:rsid w:val="00806BA5"/>
    <w:rsid w:val="00807928"/>
    <w:rsid w:val="0081038B"/>
    <w:rsid w:val="00810CA3"/>
    <w:rsid w:val="00810F2A"/>
    <w:rsid w:val="00813A4B"/>
    <w:rsid w:val="008147AF"/>
    <w:rsid w:val="00814919"/>
    <w:rsid w:val="00820B37"/>
    <w:rsid w:val="00820B53"/>
    <w:rsid w:val="00820FDE"/>
    <w:rsid w:val="00821551"/>
    <w:rsid w:val="00821D65"/>
    <w:rsid w:val="00821F80"/>
    <w:rsid w:val="008223E5"/>
    <w:rsid w:val="0082271A"/>
    <w:rsid w:val="00822B51"/>
    <w:rsid w:val="00822CE4"/>
    <w:rsid w:val="00822E18"/>
    <w:rsid w:val="00823013"/>
    <w:rsid w:val="00823FEE"/>
    <w:rsid w:val="00824801"/>
    <w:rsid w:val="00824E68"/>
    <w:rsid w:val="008264CA"/>
    <w:rsid w:val="00827BDB"/>
    <w:rsid w:val="00830EA1"/>
    <w:rsid w:val="00831381"/>
    <w:rsid w:val="008315B7"/>
    <w:rsid w:val="00832F01"/>
    <w:rsid w:val="00833035"/>
    <w:rsid w:val="00833BC5"/>
    <w:rsid w:val="00834A4A"/>
    <w:rsid w:val="008352A1"/>
    <w:rsid w:val="00835D97"/>
    <w:rsid w:val="00835E6E"/>
    <w:rsid w:val="008360D0"/>
    <w:rsid w:val="00836344"/>
    <w:rsid w:val="00836542"/>
    <w:rsid w:val="00837175"/>
    <w:rsid w:val="00837E58"/>
    <w:rsid w:val="008401E3"/>
    <w:rsid w:val="00840389"/>
    <w:rsid w:val="00840D31"/>
    <w:rsid w:val="00840DB1"/>
    <w:rsid w:val="008412BA"/>
    <w:rsid w:val="00841640"/>
    <w:rsid w:val="008420AE"/>
    <w:rsid w:val="008429A2"/>
    <w:rsid w:val="00842C31"/>
    <w:rsid w:val="00843051"/>
    <w:rsid w:val="008436FA"/>
    <w:rsid w:val="008445E3"/>
    <w:rsid w:val="00844699"/>
    <w:rsid w:val="00844D07"/>
    <w:rsid w:val="00847E6B"/>
    <w:rsid w:val="00850181"/>
    <w:rsid w:val="00852346"/>
    <w:rsid w:val="00852BA1"/>
    <w:rsid w:val="00852DF6"/>
    <w:rsid w:val="00852F70"/>
    <w:rsid w:val="0085306F"/>
    <w:rsid w:val="00854320"/>
    <w:rsid w:val="00854D20"/>
    <w:rsid w:val="0086087F"/>
    <w:rsid w:val="00860BCB"/>
    <w:rsid w:val="00861F7C"/>
    <w:rsid w:val="0086263F"/>
    <w:rsid w:val="0086271D"/>
    <w:rsid w:val="008644DD"/>
    <w:rsid w:val="00864867"/>
    <w:rsid w:val="00864E14"/>
    <w:rsid w:val="00865E43"/>
    <w:rsid w:val="008660A7"/>
    <w:rsid w:val="00866463"/>
    <w:rsid w:val="008667E7"/>
    <w:rsid w:val="00867792"/>
    <w:rsid w:val="00867C07"/>
    <w:rsid w:val="00870387"/>
    <w:rsid w:val="00870DE1"/>
    <w:rsid w:val="00871966"/>
    <w:rsid w:val="008731CB"/>
    <w:rsid w:val="00874996"/>
    <w:rsid w:val="00875D85"/>
    <w:rsid w:val="00876D00"/>
    <w:rsid w:val="00877086"/>
    <w:rsid w:val="00877620"/>
    <w:rsid w:val="00877ABD"/>
    <w:rsid w:val="00880D92"/>
    <w:rsid w:val="00880FC5"/>
    <w:rsid w:val="0088116F"/>
    <w:rsid w:val="008815CD"/>
    <w:rsid w:val="00882891"/>
    <w:rsid w:val="00882CE5"/>
    <w:rsid w:val="008833B1"/>
    <w:rsid w:val="008847F6"/>
    <w:rsid w:val="008851F8"/>
    <w:rsid w:val="00887109"/>
    <w:rsid w:val="00891366"/>
    <w:rsid w:val="0089220F"/>
    <w:rsid w:val="00892801"/>
    <w:rsid w:val="008939A9"/>
    <w:rsid w:val="00893DE5"/>
    <w:rsid w:val="008946FC"/>
    <w:rsid w:val="00894EA3"/>
    <w:rsid w:val="00895B24"/>
    <w:rsid w:val="008A0EB7"/>
    <w:rsid w:val="008A18B8"/>
    <w:rsid w:val="008A18BB"/>
    <w:rsid w:val="008A1926"/>
    <w:rsid w:val="008A3EC8"/>
    <w:rsid w:val="008A6C77"/>
    <w:rsid w:val="008A71A8"/>
    <w:rsid w:val="008A7338"/>
    <w:rsid w:val="008A735F"/>
    <w:rsid w:val="008B03A4"/>
    <w:rsid w:val="008B0474"/>
    <w:rsid w:val="008B05AD"/>
    <w:rsid w:val="008B0A58"/>
    <w:rsid w:val="008B1EF9"/>
    <w:rsid w:val="008B2300"/>
    <w:rsid w:val="008B2DDA"/>
    <w:rsid w:val="008B3097"/>
    <w:rsid w:val="008B36B8"/>
    <w:rsid w:val="008B4555"/>
    <w:rsid w:val="008B49A3"/>
    <w:rsid w:val="008B5AD8"/>
    <w:rsid w:val="008B5B50"/>
    <w:rsid w:val="008B668D"/>
    <w:rsid w:val="008B7245"/>
    <w:rsid w:val="008B7DC2"/>
    <w:rsid w:val="008C081E"/>
    <w:rsid w:val="008C2167"/>
    <w:rsid w:val="008C31F1"/>
    <w:rsid w:val="008C3B6C"/>
    <w:rsid w:val="008C3F6F"/>
    <w:rsid w:val="008C4B94"/>
    <w:rsid w:val="008C525B"/>
    <w:rsid w:val="008C5AC8"/>
    <w:rsid w:val="008C5F10"/>
    <w:rsid w:val="008C6894"/>
    <w:rsid w:val="008C7CEB"/>
    <w:rsid w:val="008D148E"/>
    <w:rsid w:val="008D18AA"/>
    <w:rsid w:val="008D1B3F"/>
    <w:rsid w:val="008D2193"/>
    <w:rsid w:val="008D2E40"/>
    <w:rsid w:val="008D35FA"/>
    <w:rsid w:val="008D4AC4"/>
    <w:rsid w:val="008D4F73"/>
    <w:rsid w:val="008D6C1D"/>
    <w:rsid w:val="008D7BDF"/>
    <w:rsid w:val="008E1E53"/>
    <w:rsid w:val="008E2119"/>
    <w:rsid w:val="008E2495"/>
    <w:rsid w:val="008E3543"/>
    <w:rsid w:val="008E4D7E"/>
    <w:rsid w:val="008E58AB"/>
    <w:rsid w:val="008E5C32"/>
    <w:rsid w:val="008E642F"/>
    <w:rsid w:val="008E6636"/>
    <w:rsid w:val="008E70F1"/>
    <w:rsid w:val="008F0833"/>
    <w:rsid w:val="008F0901"/>
    <w:rsid w:val="008F263D"/>
    <w:rsid w:val="008F2971"/>
    <w:rsid w:val="008F2D95"/>
    <w:rsid w:val="008F2EF1"/>
    <w:rsid w:val="008F4942"/>
    <w:rsid w:val="008F5B55"/>
    <w:rsid w:val="008F61E0"/>
    <w:rsid w:val="008F7198"/>
    <w:rsid w:val="008F754B"/>
    <w:rsid w:val="00900409"/>
    <w:rsid w:val="00903AB2"/>
    <w:rsid w:val="00904D9D"/>
    <w:rsid w:val="00905278"/>
    <w:rsid w:val="00905E9B"/>
    <w:rsid w:val="00906516"/>
    <w:rsid w:val="0090677D"/>
    <w:rsid w:val="00910F75"/>
    <w:rsid w:val="00911CD9"/>
    <w:rsid w:val="0091294A"/>
    <w:rsid w:val="0091383C"/>
    <w:rsid w:val="00914115"/>
    <w:rsid w:val="0091438A"/>
    <w:rsid w:val="00916DDB"/>
    <w:rsid w:val="00920C74"/>
    <w:rsid w:val="0092401B"/>
    <w:rsid w:val="009247F6"/>
    <w:rsid w:val="0092572B"/>
    <w:rsid w:val="009267F5"/>
    <w:rsid w:val="00926802"/>
    <w:rsid w:val="00926DD7"/>
    <w:rsid w:val="00927237"/>
    <w:rsid w:val="00927C03"/>
    <w:rsid w:val="00927C9A"/>
    <w:rsid w:val="00931D52"/>
    <w:rsid w:val="00932718"/>
    <w:rsid w:val="00933748"/>
    <w:rsid w:val="00933FD6"/>
    <w:rsid w:val="009345D3"/>
    <w:rsid w:val="009351F0"/>
    <w:rsid w:val="00935B6A"/>
    <w:rsid w:val="009403CD"/>
    <w:rsid w:val="00941A62"/>
    <w:rsid w:val="00941ADC"/>
    <w:rsid w:val="00941C30"/>
    <w:rsid w:val="00944B13"/>
    <w:rsid w:val="00947AED"/>
    <w:rsid w:val="00947CF3"/>
    <w:rsid w:val="00950109"/>
    <w:rsid w:val="00950A7D"/>
    <w:rsid w:val="0095116F"/>
    <w:rsid w:val="0095175E"/>
    <w:rsid w:val="00951B41"/>
    <w:rsid w:val="009532D8"/>
    <w:rsid w:val="00953741"/>
    <w:rsid w:val="00953DAA"/>
    <w:rsid w:val="00955001"/>
    <w:rsid w:val="00955109"/>
    <w:rsid w:val="00956790"/>
    <w:rsid w:val="00956EC2"/>
    <w:rsid w:val="00957F47"/>
    <w:rsid w:val="00960440"/>
    <w:rsid w:val="00960BE1"/>
    <w:rsid w:val="00960F46"/>
    <w:rsid w:val="00962A18"/>
    <w:rsid w:val="0096343B"/>
    <w:rsid w:val="00963CFB"/>
    <w:rsid w:val="009640C2"/>
    <w:rsid w:val="00964C15"/>
    <w:rsid w:val="00964E72"/>
    <w:rsid w:val="00964F1F"/>
    <w:rsid w:val="0096558D"/>
    <w:rsid w:val="009656CA"/>
    <w:rsid w:val="00965F4F"/>
    <w:rsid w:val="00970B83"/>
    <w:rsid w:val="009715F9"/>
    <w:rsid w:val="009721FD"/>
    <w:rsid w:val="009743CB"/>
    <w:rsid w:val="00974416"/>
    <w:rsid w:val="00975FC4"/>
    <w:rsid w:val="009762B0"/>
    <w:rsid w:val="0097676D"/>
    <w:rsid w:val="00976910"/>
    <w:rsid w:val="00977A37"/>
    <w:rsid w:val="00977B91"/>
    <w:rsid w:val="00980048"/>
    <w:rsid w:val="00981361"/>
    <w:rsid w:val="009815AD"/>
    <w:rsid w:val="00981E1D"/>
    <w:rsid w:val="00982093"/>
    <w:rsid w:val="00982E4A"/>
    <w:rsid w:val="00984467"/>
    <w:rsid w:val="00984B26"/>
    <w:rsid w:val="00984F02"/>
    <w:rsid w:val="00985F78"/>
    <w:rsid w:val="009865CB"/>
    <w:rsid w:val="009879B1"/>
    <w:rsid w:val="00987E95"/>
    <w:rsid w:val="009905DF"/>
    <w:rsid w:val="009906E3"/>
    <w:rsid w:val="00992044"/>
    <w:rsid w:val="00992D0D"/>
    <w:rsid w:val="00993200"/>
    <w:rsid w:val="0099387E"/>
    <w:rsid w:val="00995DD2"/>
    <w:rsid w:val="00997B32"/>
    <w:rsid w:val="009A1AA4"/>
    <w:rsid w:val="009A21C5"/>
    <w:rsid w:val="009A24EE"/>
    <w:rsid w:val="009A3665"/>
    <w:rsid w:val="009A3990"/>
    <w:rsid w:val="009A4835"/>
    <w:rsid w:val="009A4B98"/>
    <w:rsid w:val="009A5257"/>
    <w:rsid w:val="009A5F67"/>
    <w:rsid w:val="009A676F"/>
    <w:rsid w:val="009A6C4F"/>
    <w:rsid w:val="009A7424"/>
    <w:rsid w:val="009A7DA6"/>
    <w:rsid w:val="009B09DF"/>
    <w:rsid w:val="009B1FC0"/>
    <w:rsid w:val="009B2A9B"/>
    <w:rsid w:val="009B2B54"/>
    <w:rsid w:val="009B3178"/>
    <w:rsid w:val="009B472F"/>
    <w:rsid w:val="009B4AFC"/>
    <w:rsid w:val="009B5104"/>
    <w:rsid w:val="009B6D85"/>
    <w:rsid w:val="009B6E56"/>
    <w:rsid w:val="009B7C12"/>
    <w:rsid w:val="009C3371"/>
    <w:rsid w:val="009C38E5"/>
    <w:rsid w:val="009C4B00"/>
    <w:rsid w:val="009C5915"/>
    <w:rsid w:val="009C6524"/>
    <w:rsid w:val="009C74C2"/>
    <w:rsid w:val="009D02AA"/>
    <w:rsid w:val="009D0501"/>
    <w:rsid w:val="009D0AA9"/>
    <w:rsid w:val="009D0CA9"/>
    <w:rsid w:val="009D0D19"/>
    <w:rsid w:val="009D1406"/>
    <w:rsid w:val="009D2E6A"/>
    <w:rsid w:val="009D4AF3"/>
    <w:rsid w:val="009D533B"/>
    <w:rsid w:val="009D578B"/>
    <w:rsid w:val="009D5D7D"/>
    <w:rsid w:val="009D7D04"/>
    <w:rsid w:val="009D7E82"/>
    <w:rsid w:val="009E031A"/>
    <w:rsid w:val="009E0506"/>
    <w:rsid w:val="009E1D6A"/>
    <w:rsid w:val="009E22D9"/>
    <w:rsid w:val="009E2840"/>
    <w:rsid w:val="009E2FDD"/>
    <w:rsid w:val="009E3311"/>
    <w:rsid w:val="009E3A91"/>
    <w:rsid w:val="009E41DC"/>
    <w:rsid w:val="009E5527"/>
    <w:rsid w:val="009E5B6E"/>
    <w:rsid w:val="009E5BBF"/>
    <w:rsid w:val="009E5C9A"/>
    <w:rsid w:val="009E64C1"/>
    <w:rsid w:val="009E6882"/>
    <w:rsid w:val="009E6AA0"/>
    <w:rsid w:val="009E6ADC"/>
    <w:rsid w:val="009E6BD7"/>
    <w:rsid w:val="009F11B4"/>
    <w:rsid w:val="009F245C"/>
    <w:rsid w:val="009F36A8"/>
    <w:rsid w:val="009F39EF"/>
    <w:rsid w:val="009F3A90"/>
    <w:rsid w:val="009F421D"/>
    <w:rsid w:val="009F5E8B"/>
    <w:rsid w:val="009F5ECA"/>
    <w:rsid w:val="009F5F44"/>
    <w:rsid w:val="009F60D8"/>
    <w:rsid w:val="009F6C65"/>
    <w:rsid w:val="009F6D62"/>
    <w:rsid w:val="009F7360"/>
    <w:rsid w:val="009F7633"/>
    <w:rsid w:val="009F7E7F"/>
    <w:rsid w:val="00A00524"/>
    <w:rsid w:val="00A00E48"/>
    <w:rsid w:val="00A01392"/>
    <w:rsid w:val="00A01E08"/>
    <w:rsid w:val="00A0243F"/>
    <w:rsid w:val="00A02ECC"/>
    <w:rsid w:val="00A04FB5"/>
    <w:rsid w:val="00A05185"/>
    <w:rsid w:val="00A06325"/>
    <w:rsid w:val="00A06D4B"/>
    <w:rsid w:val="00A071D9"/>
    <w:rsid w:val="00A0722F"/>
    <w:rsid w:val="00A07335"/>
    <w:rsid w:val="00A07D0E"/>
    <w:rsid w:val="00A10627"/>
    <w:rsid w:val="00A126C6"/>
    <w:rsid w:val="00A137CD"/>
    <w:rsid w:val="00A15F7D"/>
    <w:rsid w:val="00A169FE"/>
    <w:rsid w:val="00A16A0B"/>
    <w:rsid w:val="00A16C81"/>
    <w:rsid w:val="00A17D19"/>
    <w:rsid w:val="00A2125F"/>
    <w:rsid w:val="00A231CD"/>
    <w:rsid w:val="00A2374D"/>
    <w:rsid w:val="00A24129"/>
    <w:rsid w:val="00A24AA5"/>
    <w:rsid w:val="00A24ABF"/>
    <w:rsid w:val="00A258C9"/>
    <w:rsid w:val="00A262C9"/>
    <w:rsid w:val="00A2690A"/>
    <w:rsid w:val="00A26AB6"/>
    <w:rsid w:val="00A276F2"/>
    <w:rsid w:val="00A2776B"/>
    <w:rsid w:val="00A27A74"/>
    <w:rsid w:val="00A27FA3"/>
    <w:rsid w:val="00A32239"/>
    <w:rsid w:val="00A32C66"/>
    <w:rsid w:val="00A33159"/>
    <w:rsid w:val="00A35AA5"/>
    <w:rsid w:val="00A35B39"/>
    <w:rsid w:val="00A35BA3"/>
    <w:rsid w:val="00A35F0B"/>
    <w:rsid w:val="00A36B3C"/>
    <w:rsid w:val="00A36C7C"/>
    <w:rsid w:val="00A374A1"/>
    <w:rsid w:val="00A378C0"/>
    <w:rsid w:val="00A37D0F"/>
    <w:rsid w:val="00A40CA8"/>
    <w:rsid w:val="00A4146E"/>
    <w:rsid w:val="00A41980"/>
    <w:rsid w:val="00A42FDF"/>
    <w:rsid w:val="00A43637"/>
    <w:rsid w:val="00A45036"/>
    <w:rsid w:val="00A45521"/>
    <w:rsid w:val="00A45C0D"/>
    <w:rsid w:val="00A4664D"/>
    <w:rsid w:val="00A4684B"/>
    <w:rsid w:val="00A47413"/>
    <w:rsid w:val="00A50CEB"/>
    <w:rsid w:val="00A51D0F"/>
    <w:rsid w:val="00A533B5"/>
    <w:rsid w:val="00A54467"/>
    <w:rsid w:val="00A5517F"/>
    <w:rsid w:val="00A558A2"/>
    <w:rsid w:val="00A55BF8"/>
    <w:rsid w:val="00A55C51"/>
    <w:rsid w:val="00A57C91"/>
    <w:rsid w:val="00A57F4E"/>
    <w:rsid w:val="00A57F7D"/>
    <w:rsid w:val="00A6001E"/>
    <w:rsid w:val="00A602EA"/>
    <w:rsid w:val="00A60C02"/>
    <w:rsid w:val="00A61519"/>
    <w:rsid w:val="00A62154"/>
    <w:rsid w:val="00A636B9"/>
    <w:rsid w:val="00A64128"/>
    <w:rsid w:val="00A648E2"/>
    <w:rsid w:val="00A64C4F"/>
    <w:rsid w:val="00A653CF"/>
    <w:rsid w:val="00A653F6"/>
    <w:rsid w:val="00A656A5"/>
    <w:rsid w:val="00A65B30"/>
    <w:rsid w:val="00A67AF4"/>
    <w:rsid w:val="00A70B01"/>
    <w:rsid w:val="00A71676"/>
    <w:rsid w:val="00A72201"/>
    <w:rsid w:val="00A72257"/>
    <w:rsid w:val="00A728A9"/>
    <w:rsid w:val="00A7345B"/>
    <w:rsid w:val="00A7395B"/>
    <w:rsid w:val="00A73D5A"/>
    <w:rsid w:val="00A77040"/>
    <w:rsid w:val="00A7726B"/>
    <w:rsid w:val="00A77494"/>
    <w:rsid w:val="00A77E68"/>
    <w:rsid w:val="00A80221"/>
    <w:rsid w:val="00A81D73"/>
    <w:rsid w:val="00A82E96"/>
    <w:rsid w:val="00A830E2"/>
    <w:rsid w:val="00A8336E"/>
    <w:rsid w:val="00A83C04"/>
    <w:rsid w:val="00A840F7"/>
    <w:rsid w:val="00A862CA"/>
    <w:rsid w:val="00A870DC"/>
    <w:rsid w:val="00A90881"/>
    <w:rsid w:val="00A93BDC"/>
    <w:rsid w:val="00A94117"/>
    <w:rsid w:val="00A9699D"/>
    <w:rsid w:val="00A97F06"/>
    <w:rsid w:val="00AA0106"/>
    <w:rsid w:val="00AA0442"/>
    <w:rsid w:val="00AA12B4"/>
    <w:rsid w:val="00AA1EEA"/>
    <w:rsid w:val="00AA27C0"/>
    <w:rsid w:val="00AA3F51"/>
    <w:rsid w:val="00AA4481"/>
    <w:rsid w:val="00AA4A6F"/>
    <w:rsid w:val="00AA5C14"/>
    <w:rsid w:val="00AA5ECC"/>
    <w:rsid w:val="00AA5EDF"/>
    <w:rsid w:val="00AA6281"/>
    <w:rsid w:val="00AA7AFE"/>
    <w:rsid w:val="00AA7EC9"/>
    <w:rsid w:val="00AB0D29"/>
    <w:rsid w:val="00AB1F38"/>
    <w:rsid w:val="00AB2097"/>
    <w:rsid w:val="00AB32B8"/>
    <w:rsid w:val="00AB3B13"/>
    <w:rsid w:val="00AB3CA1"/>
    <w:rsid w:val="00AB418F"/>
    <w:rsid w:val="00AB47E7"/>
    <w:rsid w:val="00AB4AA1"/>
    <w:rsid w:val="00AB6EA2"/>
    <w:rsid w:val="00AC076D"/>
    <w:rsid w:val="00AC15BB"/>
    <w:rsid w:val="00AC1922"/>
    <w:rsid w:val="00AC20F5"/>
    <w:rsid w:val="00AC2A69"/>
    <w:rsid w:val="00AC334F"/>
    <w:rsid w:val="00AC3ACF"/>
    <w:rsid w:val="00AC43D3"/>
    <w:rsid w:val="00AC502F"/>
    <w:rsid w:val="00AC56EB"/>
    <w:rsid w:val="00AC5871"/>
    <w:rsid w:val="00AC646C"/>
    <w:rsid w:val="00AC6874"/>
    <w:rsid w:val="00AC69AF"/>
    <w:rsid w:val="00AC7242"/>
    <w:rsid w:val="00AC7A4F"/>
    <w:rsid w:val="00AD02C9"/>
    <w:rsid w:val="00AD0647"/>
    <w:rsid w:val="00AD1856"/>
    <w:rsid w:val="00AD1F06"/>
    <w:rsid w:val="00AD41C0"/>
    <w:rsid w:val="00AD4EE6"/>
    <w:rsid w:val="00AD54CA"/>
    <w:rsid w:val="00AD5637"/>
    <w:rsid w:val="00AD583E"/>
    <w:rsid w:val="00AD6A29"/>
    <w:rsid w:val="00AD7FDF"/>
    <w:rsid w:val="00AE296B"/>
    <w:rsid w:val="00AE3D9E"/>
    <w:rsid w:val="00AE48D2"/>
    <w:rsid w:val="00AE5934"/>
    <w:rsid w:val="00AE5F0C"/>
    <w:rsid w:val="00AE6D93"/>
    <w:rsid w:val="00AE7504"/>
    <w:rsid w:val="00AE7C8C"/>
    <w:rsid w:val="00AF129E"/>
    <w:rsid w:val="00AF1B07"/>
    <w:rsid w:val="00AF28A5"/>
    <w:rsid w:val="00AF2E98"/>
    <w:rsid w:val="00AF342F"/>
    <w:rsid w:val="00AF4873"/>
    <w:rsid w:val="00AF5F80"/>
    <w:rsid w:val="00AF7317"/>
    <w:rsid w:val="00AF7898"/>
    <w:rsid w:val="00B014F1"/>
    <w:rsid w:val="00B019DC"/>
    <w:rsid w:val="00B02080"/>
    <w:rsid w:val="00B032AD"/>
    <w:rsid w:val="00B04E92"/>
    <w:rsid w:val="00B0549C"/>
    <w:rsid w:val="00B054D4"/>
    <w:rsid w:val="00B05909"/>
    <w:rsid w:val="00B06714"/>
    <w:rsid w:val="00B07541"/>
    <w:rsid w:val="00B1034C"/>
    <w:rsid w:val="00B10822"/>
    <w:rsid w:val="00B10B95"/>
    <w:rsid w:val="00B127AB"/>
    <w:rsid w:val="00B12FF9"/>
    <w:rsid w:val="00B13E08"/>
    <w:rsid w:val="00B14DDA"/>
    <w:rsid w:val="00B14E4D"/>
    <w:rsid w:val="00B15D3F"/>
    <w:rsid w:val="00B16005"/>
    <w:rsid w:val="00B16194"/>
    <w:rsid w:val="00B16AD7"/>
    <w:rsid w:val="00B16D44"/>
    <w:rsid w:val="00B20B3C"/>
    <w:rsid w:val="00B21E67"/>
    <w:rsid w:val="00B2240B"/>
    <w:rsid w:val="00B23035"/>
    <w:rsid w:val="00B237B3"/>
    <w:rsid w:val="00B23F98"/>
    <w:rsid w:val="00B24B02"/>
    <w:rsid w:val="00B2521C"/>
    <w:rsid w:val="00B27A54"/>
    <w:rsid w:val="00B3058C"/>
    <w:rsid w:val="00B30637"/>
    <w:rsid w:val="00B31A0C"/>
    <w:rsid w:val="00B31C27"/>
    <w:rsid w:val="00B31C33"/>
    <w:rsid w:val="00B31E71"/>
    <w:rsid w:val="00B31EF6"/>
    <w:rsid w:val="00B32351"/>
    <w:rsid w:val="00B32F12"/>
    <w:rsid w:val="00B350F3"/>
    <w:rsid w:val="00B36925"/>
    <w:rsid w:val="00B3768F"/>
    <w:rsid w:val="00B40E6F"/>
    <w:rsid w:val="00B41134"/>
    <w:rsid w:val="00B413E9"/>
    <w:rsid w:val="00B42E0E"/>
    <w:rsid w:val="00B45A11"/>
    <w:rsid w:val="00B45B74"/>
    <w:rsid w:val="00B45D32"/>
    <w:rsid w:val="00B4621A"/>
    <w:rsid w:val="00B503FF"/>
    <w:rsid w:val="00B505FC"/>
    <w:rsid w:val="00B53888"/>
    <w:rsid w:val="00B538EF"/>
    <w:rsid w:val="00B53F16"/>
    <w:rsid w:val="00B5452D"/>
    <w:rsid w:val="00B55BC1"/>
    <w:rsid w:val="00B55BD1"/>
    <w:rsid w:val="00B561DE"/>
    <w:rsid w:val="00B56A43"/>
    <w:rsid w:val="00B60F0A"/>
    <w:rsid w:val="00B61B17"/>
    <w:rsid w:val="00B61C9A"/>
    <w:rsid w:val="00B6347D"/>
    <w:rsid w:val="00B63923"/>
    <w:rsid w:val="00B6398F"/>
    <w:rsid w:val="00B64DF3"/>
    <w:rsid w:val="00B651CC"/>
    <w:rsid w:val="00B65A2D"/>
    <w:rsid w:val="00B67B7E"/>
    <w:rsid w:val="00B67FAA"/>
    <w:rsid w:val="00B70138"/>
    <w:rsid w:val="00B719FC"/>
    <w:rsid w:val="00B71A2B"/>
    <w:rsid w:val="00B71F0F"/>
    <w:rsid w:val="00B731F7"/>
    <w:rsid w:val="00B7354A"/>
    <w:rsid w:val="00B73595"/>
    <w:rsid w:val="00B73699"/>
    <w:rsid w:val="00B7568D"/>
    <w:rsid w:val="00B772C2"/>
    <w:rsid w:val="00B7761E"/>
    <w:rsid w:val="00B77697"/>
    <w:rsid w:val="00B77AC0"/>
    <w:rsid w:val="00B8006F"/>
    <w:rsid w:val="00B80A82"/>
    <w:rsid w:val="00B81630"/>
    <w:rsid w:val="00B820FC"/>
    <w:rsid w:val="00B82522"/>
    <w:rsid w:val="00B82AA4"/>
    <w:rsid w:val="00B82CDB"/>
    <w:rsid w:val="00B82DDC"/>
    <w:rsid w:val="00B82F93"/>
    <w:rsid w:val="00B84014"/>
    <w:rsid w:val="00B84934"/>
    <w:rsid w:val="00B849F7"/>
    <w:rsid w:val="00B84BB8"/>
    <w:rsid w:val="00B8568D"/>
    <w:rsid w:val="00B86EE0"/>
    <w:rsid w:val="00B879B7"/>
    <w:rsid w:val="00B87D88"/>
    <w:rsid w:val="00B90CF4"/>
    <w:rsid w:val="00B91998"/>
    <w:rsid w:val="00B91CFD"/>
    <w:rsid w:val="00B91E43"/>
    <w:rsid w:val="00B91FBC"/>
    <w:rsid w:val="00B922A4"/>
    <w:rsid w:val="00B9331D"/>
    <w:rsid w:val="00B93321"/>
    <w:rsid w:val="00B938AF"/>
    <w:rsid w:val="00B93AE7"/>
    <w:rsid w:val="00B93C47"/>
    <w:rsid w:val="00B94F0E"/>
    <w:rsid w:val="00B956F9"/>
    <w:rsid w:val="00B9575F"/>
    <w:rsid w:val="00B95C10"/>
    <w:rsid w:val="00B95CDD"/>
    <w:rsid w:val="00B968DD"/>
    <w:rsid w:val="00B97BAF"/>
    <w:rsid w:val="00B97BDF"/>
    <w:rsid w:val="00BA0D7C"/>
    <w:rsid w:val="00BA18A2"/>
    <w:rsid w:val="00BA4952"/>
    <w:rsid w:val="00BA4A4F"/>
    <w:rsid w:val="00BA4BEE"/>
    <w:rsid w:val="00BA4ED9"/>
    <w:rsid w:val="00BA5D64"/>
    <w:rsid w:val="00BA65E5"/>
    <w:rsid w:val="00BA7233"/>
    <w:rsid w:val="00BA74C2"/>
    <w:rsid w:val="00BA7AE0"/>
    <w:rsid w:val="00BB10E0"/>
    <w:rsid w:val="00BB1B7A"/>
    <w:rsid w:val="00BB45DD"/>
    <w:rsid w:val="00BB4B47"/>
    <w:rsid w:val="00BB4E4D"/>
    <w:rsid w:val="00BB501F"/>
    <w:rsid w:val="00BB5D3C"/>
    <w:rsid w:val="00BB7CD6"/>
    <w:rsid w:val="00BC01B3"/>
    <w:rsid w:val="00BC01D5"/>
    <w:rsid w:val="00BC075D"/>
    <w:rsid w:val="00BC117D"/>
    <w:rsid w:val="00BC25F4"/>
    <w:rsid w:val="00BC3E61"/>
    <w:rsid w:val="00BC3F22"/>
    <w:rsid w:val="00BC4FE7"/>
    <w:rsid w:val="00BC64CB"/>
    <w:rsid w:val="00BC680E"/>
    <w:rsid w:val="00BC751E"/>
    <w:rsid w:val="00BC7784"/>
    <w:rsid w:val="00BC7FE6"/>
    <w:rsid w:val="00BD059A"/>
    <w:rsid w:val="00BD0803"/>
    <w:rsid w:val="00BD1410"/>
    <w:rsid w:val="00BD3F24"/>
    <w:rsid w:val="00BD4CFE"/>
    <w:rsid w:val="00BD536E"/>
    <w:rsid w:val="00BD53C1"/>
    <w:rsid w:val="00BD620E"/>
    <w:rsid w:val="00BD6959"/>
    <w:rsid w:val="00BD6BB0"/>
    <w:rsid w:val="00BD7C5C"/>
    <w:rsid w:val="00BD7C93"/>
    <w:rsid w:val="00BE054D"/>
    <w:rsid w:val="00BE0ED6"/>
    <w:rsid w:val="00BE1252"/>
    <w:rsid w:val="00BE2104"/>
    <w:rsid w:val="00BE268B"/>
    <w:rsid w:val="00BE270A"/>
    <w:rsid w:val="00BE6205"/>
    <w:rsid w:val="00BE6C19"/>
    <w:rsid w:val="00BE6D17"/>
    <w:rsid w:val="00BE6E7B"/>
    <w:rsid w:val="00BF0705"/>
    <w:rsid w:val="00BF16AE"/>
    <w:rsid w:val="00BF1AE3"/>
    <w:rsid w:val="00BF2673"/>
    <w:rsid w:val="00BF2BD5"/>
    <w:rsid w:val="00BF34E0"/>
    <w:rsid w:val="00BF3C02"/>
    <w:rsid w:val="00BF40F6"/>
    <w:rsid w:val="00BF4393"/>
    <w:rsid w:val="00BF43D2"/>
    <w:rsid w:val="00BF486C"/>
    <w:rsid w:val="00BF492D"/>
    <w:rsid w:val="00BF4F89"/>
    <w:rsid w:val="00BF5692"/>
    <w:rsid w:val="00BF5CD5"/>
    <w:rsid w:val="00BF5E0B"/>
    <w:rsid w:val="00BF64A1"/>
    <w:rsid w:val="00BF6A1D"/>
    <w:rsid w:val="00C010AB"/>
    <w:rsid w:val="00C0163A"/>
    <w:rsid w:val="00C01B77"/>
    <w:rsid w:val="00C03CA1"/>
    <w:rsid w:val="00C04D59"/>
    <w:rsid w:val="00C06414"/>
    <w:rsid w:val="00C07163"/>
    <w:rsid w:val="00C0768B"/>
    <w:rsid w:val="00C10154"/>
    <w:rsid w:val="00C1040C"/>
    <w:rsid w:val="00C10B38"/>
    <w:rsid w:val="00C10B96"/>
    <w:rsid w:val="00C11121"/>
    <w:rsid w:val="00C111E8"/>
    <w:rsid w:val="00C12B37"/>
    <w:rsid w:val="00C1307C"/>
    <w:rsid w:val="00C130E8"/>
    <w:rsid w:val="00C13198"/>
    <w:rsid w:val="00C1370E"/>
    <w:rsid w:val="00C13A6D"/>
    <w:rsid w:val="00C13AF8"/>
    <w:rsid w:val="00C13E93"/>
    <w:rsid w:val="00C14515"/>
    <w:rsid w:val="00C14790"/>
    <w:rsid w:val="00C14D59"/>
    <w:rsid w:val="00C14DF6"/>
    <w:rsid w:val="00C209F0"/>
    <w:rsid w:val="00C2149C"/>
    <w:rsid w:val="00C21D44"/>
    <w:rsid w:val="00C233C8"/>
    <w:rsid w:val="00C236C9"/>
    <w:rsid w:val="00C23A87"/>
    <w:rsid w:val="00C23D82"/>
    <w:rsid w:val="00C23F00"/>
    <w:rsid w:val="00C24EE9"/>
    <w:rsid w:val="00C26BEE"/>
    <w:rsid w:val="00C27812"/>
    <w:rsid w:val="00C30468"/>
    <w:rsid w:val="00C30E9B"/>
    <w:rsid w:val="00C32B2B"/>
    <w:rsid w:val="00C333D0"/>
    <w:rsid w:val="00C33985"/>
    <w:rsid w:val="00C34DA1"/>
    <w:rsid w:val="00C35D50"/>
    <w:rsid w:val="00C36619"/>
    <w:rsid w:val="00C378AE"/>
    <w:rsid w:val="00C407C3"/>
    <w:rsid w:val="00C40A40"/>
    <w:rsid w:val="00C40E9E"/>
    <w:rsid w:val="00C414AD"/>
    <w:rsid w:val="00C42A26"/>
    <w:rsid w:val="00C42BDC"/>
    <w:rsid w:val="00C42E4C"/>
    <w:rsid w:val="00C43A4F"/>
    <w:rsid w:val="00C443C6"/>
    <w:rsid w:val="00C44A06"/>
    <w:rsid w:val="00C457BC"/>
    <w:rsid w:val="00C46327"/>
    <w:rsid w:val="00C50CEB"/>
    <w:rsid w:val="00C51746"/>
    <w:rsid w:val="00C51DE7"/>
    <w:rsid w:val="00C5280B"/>
    <w:rsid w:val="00C538C1"/>
    <w:rsid w:val="00C5434C"/>
    <w:rsid w:val="00C54BED"/>
    <w:rsid w:val="00C565A7"/>
    <w:rsid w:val="00C56C74"/>
    <w:rsid w:val="00C620BF"/>
    <w:rsid w:val="00C6412A"/>
    <w:rsid w:val="00C648C7"/>
    <w:rsid w:val="00C64A3C"/>
    <w:rsid w:val="00C65774"/>
    <w:rsid w:val="00C65A18"/>
    <w:rsid w:val="00C66438"/>
    <w:rsid w:val="00C66612"/>
    <w:rsid w:val="00C672AC"/>
    <w:rsid w:val="00C673A9"/>
    <w:rsid w:val="00C70B8A"/>
    <w:rsid w:val="00C721E8"/>
    <w:rsid w:val="00C72BA7"/>
    <w:rsid w:val="00C74D22"/>
    <w:rsid w:val="00C74E62"/>
    <w:rsid w:val="00C76431"/>
    <w:rsid w:val="00C7651D"/>
    <w:rsid w:val="00C76845"/>
    <w:rsid w:val="00C76F0F"/>
    <w:rsid w:val="00C77095"/>
    <w:rsid w:val="00C77E55"/>
    <w:rsid w:val="00C80487"/>
    <w:rsid w:val="00C80954"/>
    <w:rsid w:val="00C811CC"/>
    <w:rsid w:val="00C814AA"/>
    <w:rsid w:val="00C819C8"/>
    <w:rsid w:val="00C81CD5"/>
    <w:rsid w:val="00C81CE7"/>
    <w:rsid w:val="00C82665"/>
    <w:rsid w:val="00C8294E"/>
    <w:rsid w:val="00C83142"/>
    <w:rsid w:val="00C83297"/>
    <w:rsid w:val="00C846C8"/>
    <w:rsid w:val="00C8543A"/>
    <w:rsid w:val="00C856E8"/>
    <w:rsid w:val="00C867A9"/>
    <w:rsid w:val="00C87078"/>
    <w:rsid w:val="00C8773D"/>
    <w:rsid w:val="00C90369"/>
    <w:rsid w:val="00C9198C"/>
    <w:rsid w:val="00C91B20"/>
    <w:rsid w:val="00C91BB8"/>
    <w:rsid w:val="00C91E67"/>
    <w:rsid w:val="00C923E8"/>
    <w:rsid w:val="00C95289"/>
    <w:rsid w:val="00C96BFE"/>
    <w:rsid w:val="00C96CE4"/>
    <w:rsid w:val="00C96ECD"/>
    <w:rsid w:val="00C97469"/>
    <w:rsid w:val="00C97FA7"/>
    <w:rsid w:val="00CA08E4"/>
    <w:rsid w:val="00CA206F"/>
    <w:rsid w:val="00CA49AB"/>
    <w:rsid w:val="00CA4C29"/>
    <w:rsid w:val="00CA5653"/>
    <w:rsid w:val="00CA5AEB"/>
    <w:rsid w:val="00CA5E7F"/>
    <w:rsid w:val="00CA6C00"/>
    <w:rsid w:val="00CA702C"/>
    <w:rsid w:val="00CA7654"/>
    <w:rsid w:val="00CA7C08"/>
    <w:rsid w:val="00CB0856"/>
    <w:rsid w:val="00CB2208"/>
    <w:rsid w:val="00CB4632"/>
    <w:rsid w:val="00CB53F1"/>
    <w:rsid w:val="00CB56C7"/>
    <w:rsid w:val="00CB6282"/>
    <w:rsid w:val="00CB677F"/>
    <w:rsid w:val="00CB6F81"/>
    <w:rsid w:val="00CB7EA2"/>
    <w:rsid w:val="00CC0DC5"/>
    <w:rsid w:val="00CC133B"/>
    <w:rsid w:val="00CC1BE0"/>
    <w:rsid w:val="00CC209E"/>
    <w:rsid w:val="00CC2AEA"/>
    <w:rsid w:val="00CC3482"/>
    <w:rsid w:val="00CC485F"/>
    <w:rsid w:val="00CC5669"/>
    <w:rsid w:val="00CC6879"/>
    <w:rsid w:val="00CC72CF"/>
    <w:rsid w:val="00CC7982"/>
    <w:rsid w:val="00CD0418"/>
    <w:rsid w:val="00CD07C7"/>
    <w:rsid w:val="00CD2BD2"/>
    <w:rsid w:val="00CD3A56"/>
    <w:rsid w:val="00CD3D3E"/>
    <w:rsid w:val="00CD4267"/>
    <w:rsid w:val="00CD4743"/>
    <w:rsid w:val="00CD4E80"/>
    <w:rsid w:val="00CD56D2"/>
    <w:rsid w:val="00CD5B76"/>
    <w:rsid w:val="00CD6166"/>
    <w:rsid w:val="00CE092F"/>
    <w:rsid w:val="00CE0985"/>
    <w:rsid w:val="00CE0A4C"/>
    <w:rsid w:val="00CE16C7"/>
    <w:rsid w:val="00CE2AA1"/>
    <w:rsid w:val="00CE2CFA"/>
    <w:rsid w:val="00CE3DAE"/>
    <w:rsid w:val="00CE5821"/>
    <w:rsid w:val="00CE59AD"/>
    <w:rsid w:val="00CE6039"/>
    <w:rsid w:val="00CE7729"/>
    <w:rsid w:val="00CF0976"/>
    <w:rsid w:val="00CF20A1"/>
    <w:rsid w:val="00CF213B"/>
    <w:rsid w:val="00CF4619"/>
    <w:rsid w:val="00CF60F7"/>
    <w:rsid w:val="00CF6226"/>
    <w:rsid w:val="00CF7C19"/>
    <w:rsid w:val="00D00AC2"/>
    <w:rsid w:val="00D02E53"/>
    <w:rsid w:val="00D03309"/>
    <w:rsid w:val="00D03827"/>
    <w:rsid w:val="00D0386B"/>
    <w:rsid w:val="00D03A32"/>
    <w:rsid w:val="00D0502A"/>
    <w:rsid w:val="00D06FFA"/>
    <w:rsid w:val="00D11B62"/>
    <w:rsid w:val="00D13482"/>
    <w:rsid w:val="00D13FD3"/>
    <w:rsid w:val="00D14004"/>
    <w:rsid w:val="00D1435D"/>
    <w:rsid w:val="00D14AE5"/>
    <w:rsid w:val="00D157FF"/>
    <w:rsid w:val="00D15F22"/>
    <w:rsid w:val="00D171E6"/>
    <w:rsid w:val="00D17417"/>
    <w:rsid w:val="00D178D3"/>
    <w:rsid w:val="00D201AC"/>
    <w:rsid w:val="00D215E5"/>
    <w:rsid w:val="00D21893"/>
    <w:rsid w:val="00D23055"/>
    <w:rsid w:val="00D244AD"/>
    <w:rsid w:val="00D2543B"/>
    <w:rsid w:val="00D25A4D"/>
    <w:rsid w:val="00D25DC8"/>
    <w:rsid w:val="00D25F5D"/>
    <w:rsid w:val="00D26F8F"/>
    <w:rsid w:val="00D2741C"/>
    <w:rsid w:val="00D306A9"/>
    <w:rsid w:val="00D30E83"/>
    <w:rsid w:val="00D3104D"/>
    <w:rsid w:val="00D314A0"/>
    <w:rsid w:val="00D31557"/>
    <w:rsid w:val="00D32D83"/>
    <w:rsid w:val="00D33640"/>
    <w:rsid w:val="00D33774"/>
    <w:rsid w:val="00D3509C"/>
    <w:rsid w:val="00D351B9"/>
    <w:rsid w:val="00D3608F"/>
    <w:rsid w:val="00D360EA"/>
    <w:rsid w:val="00D365C2"/>
    <w:rsid w:val="00D36899"/>
    <w:rsid w:val="00D36F3F"/>
    <w:rsid w:val="00D374FD"/>
    <w:rsid w:val="00D37534"/>
    <w:rsid w:val="00D37A01"/>
    <w:rsid w:val="00D406EC"/>
    <w:rsid w:val="00D416C2"/>
    <w:rsid w:val="00D4185C"/>
    <w:rsid w:val="00D418FE"/>
    <w:rsid w:val="00D4280F"/>
    <w:rsid w:val="00D4285D"/>
    <w:rsid w:val="00D43B07"/>
    <w:rsid w:val="00D44884"/>
    <w:rsid w:val="00D44B0C"/>
    <w:rsid w:val="00D45433"/>
    <w:rsid w:val="00D456D4"/>
    <w:rsid w:val="00D47AAF"/>
    <w:rsid w:val="00D47EED"/>
    <w:rsid w:val="00D47F86"/>
    <w:rsid w:val="00D5005A"/>
    <w:rsid w:val="00D502D6"/>
    <w:rsid w:val="00D50CD5"/>
    <w:rsid w:val="00D513F0"/>
    <w:rsid w:val="00D51E0A"/>
    <w:rsid w:val="00D5211F"/>
    <w:rsid w:val="00D52202"/>
    <w:rsid w:val="00D5419F"/>
    <w:rsid w:val="00D5430C"/>
    <w:rsid w:val="00D54991"/>
    <w:rsid w:val="00D549DC"/>
    <w:rsid w:val="00D54E25"/>
    <w:rsid w:val="00D56EA7"/>
    <w:rsid w:val="00D570C5"/>
    <w:rsid w:val="00D5729D"/>
    <w:rsid w:val="00D60A34"/>
    <w:rsid w:val="00D613A7"/>
    <w:rsid w:val="00D61C79"/>
    <w:rsid w:val="00D624CA"/>
    <w:rsid w:val="00D62D54"/>
    <w:rsid w:val="00D6377C"/>
    <w:rsid w:val="00D63C7A"/>
    <w:rsid w:val="00D647D2"/>
    <w:rsid w:val="00D64A5E"/>
    <w:rsid w:val="00D669B3"/>
    <w:rsid w:val="00D6712D"/>
    <w:rsid w:val="00D67516"/>
    <w:rsid w:val="00D67F13"/>
    <w:rsid w:val="00D70103"/>
    <w:rsid w:val="00D702D2"/>
    <w:rsid w:val="00D711A6"/>
    <w:rsid w:val="00D71D7B"/>
    <w:rsid w:val="00D7271B"/>
    <w:rsid w:val="00D733DB"/>
    <w:rsid w:val="00D75166"/>
    <w:rsid w:val="00D75591"/>
    <w:rsid w:val="00D75B19"/>
    <w:rsid w:val="00D773BB"/>
    <w:rsid w:val="00D7744F"/>
    <w:rsid w:val="00D80B86"/>
    <w:rsid w:val="00D81842"/>
    <w:rsid w:val="00D8327D"/>
    <w:rsid w:val="00D84501"/>
    <w:rsid w:val="00D85688"/>
    <w:rsid w:val="00D86976"/>
    <w:rsid w:val="00D87926"/>
    <w:rsid w:val="00D87B3F"/>
    <w:rsid w:val="00D90956"/>
    <w:rsid w:val="00D90D03"/>
    <w:rsid w:val="00D910B7"/>
    <w:rsid w:val="00D92A91"/>
    <w:rsid w:val="00D933B5"/>
    <w:rsid w:val="00D93589"/>
    <w:rsid w:val="00D936C1"/>
    <w:rsid w:val="00D93D5B"/>
    <w:rsid w:val="00D9737E"/>
    <w:rsid w:val="00D9765D"/>
    <w:rsid w:val="00D97E52"/>
    <w:rsid w:val="00D97ED9"/>
    <w:rsid w:val="00DA18BE"/>
    <w:rsid w:val="00DA1C8A"/>
    <w:rsid w:val="00DA37C0"/>
    <w:rsid w:val="00DA3D7D"/>
    <w:rsid w:val="00DA4B49"/>
    <w:rsid w:val="00DA5AF5"/>
    <w:rsid w:val="00DA5C6B"/>
    <w:rsid w:val="00DA64F1"/>
    <w:rsid w:val="00DA6A7B"/>
    <w:rsid w:val="00DA6D8D"/>
    <w:rsid w:val="00DA7EF8"/>
    <w:rsid w:val="00DB0274"/>
    <w:rsid w:val="00DB10C6"/>
    <w:rsid w:val="00DB40C6"/>
    <w:rsid w:val="00DB5541"/>
    <w:rsid w:val="00DB64BB"/>
    <w:rsid w:val="00DB6FEC"/>
    <w:rsid w:val="00DB7DA3"/>
    <w:rsid w:val="00DC0E15"/>
    <w:rsid w:val="00DC1460"/>
    <w:rsid w:val="00DC2894"/>
    <w:rsid w:val="00DC2B84"/>
    <w:rsid w:val="00DC2EE2"/>
    <w:rsid w:val="00DC4A42"/>
    <w:rsid w:val="00DC4B4D"/>
    <w:rsid w:val="00DC4C9C"/>
    <w:rsid w:val="00DC5FE7"/>
    <w:rsid w:val="00DC7018"/>
    <w:rsid w:val="00DC70CF"/>
    <w:rsid w:val="00DC7167"/>
    <w:rsid w:val="00DC7304"/>
    <w:rsid w:val="00DD02BF"/>
    <w:rsid w:val="00DD08AE"/>
    <w:rsid w:val="00DD0FA1"/>
    <w:rsid w:val="00DD2CA7"/>
    <w:rsid w:val="00DD2FCB"/>
    <w:rsid w:val="00DD3B18"/>
    <w:rsid w:val="00DD3D56"/>
    <w:rsid w:val="00DD4991"/>
    <w:rsid w:val="00DE1ABE"/>
    <w:rsid w:val="00DE3F1D"/>
    <w:rsid w:val="00DE404E"/>
    <w:rsid w:val="00DE50B8"/>
    <w:rsid w:val="00DE517D"/>
    <w:rsid w:val="00DE6A17"/>
    <w:rsid w:val="00DE6CF2"/>
    <w:rsid w:val="00DF0D30"/>
    <w:rsid w:val="00DF16B5"/>
    <w:rsid w:val="00DF2014"/>
    <w:rsid w:val="00DF2270"/>
    <w:rsid w:val="00DF2371"/>
    <w:rsid w:val="00DF3638"/>
    <w:rsid w:val="00DF3642"/>
    <w:rsid w:val="00DF392F"/>
    <w:rsid w:val="00DF5B3B"/>
    <w:rsid w:val="00DF709F"/>
    <w:rsid w:val="00E005F0"/>
    <w:rsid w:val="00E00814"/>
    <w:rsid w:val="00E01F1C"/>
    <w:rsid w:val="00E030E9"/>
    <w:rsid w:val="00E041D6"/>
    <w:rsid w:val="00E05109"/>
    <w:rsid w:val="00E0643D"/>
    <w:rsid w:val="00E06F42"/>
    <w:rsid w:val="00E1038D"/>
    <w:rsid w:val="00E126DF"/>
    <w:rsid w:val="00E12C34"/>
    <w:rsid w:val="00E12CC6"/>
    <w:rsid w:val="00E1421A"/>
    <w:rsid w:val="00E14842"/>
    <w:rsid w:val="00E14D80"/>
    <w:rsid w:val="00E16B41"/>
    <w:rsid w:val="00E179CF"/>
    <w:rsid w:val="00E2180E"/>
    <w:rsid w:val="00E21D54"/>
    <w:rsid w:val="00E22431"/>
    <w:rsid w:val="00E2339C"/>
    <w:rsid w:val="00E248E5"/>
    <w:rsid w:val="00E25044"/>
    <w:rsid w:val="00E25253"/>
    <w:rsid w:val="00E262F1"/>
    <w:rsid w:val="00E2666F"/>
    <w:rsid w:val="00E26A82"/>
    <w:rsid w:val="00E307B7"/>
    <w:rsid w:val="00E327D7"/>
    <w:rsid w:val="00E3306A"/>
    <w:rsid w:val="00E33494"/>
    <w:rsid w:val="00E33F3D"/>
    <w:rsid w:val="00E34A4F"/>
    <w:rsid w:val="00E34FE5"/>
    <w:rsid w:val="00E35E21"/>
    <w:rsid w:val="00E37D74"/>
    <w:rsid w:val="00E44132"/>
    <w:rsid w:val="00E4496D"/>
    <w:rsid w:val="00E44A8A"/>
    <w:rsid w:val="00E44BB2"/>
    <w:rsid w:val="00E45307"/>
    <w:rsid w:val="00E4532B"/>
    <w:rsid w:val="00E4724A"/>
    <w:rsid w:val="00E4783C"/>
    <w:rsid w:val="00E47B86"/>
    <w:rsid w:val="00E526DF"/>
    <w:rsid w:val="00E52A27"/>
    <w:rsid w:val="00E53D43"/>
    <w:rsid w:val="00E548B1"/>
    <w:rsid w:val="00E54EFA"/>
    <w:rsid w:val="00E55465"/>
    <w:rsid w:val="00E57AB5"/>
    <w:rsid w:val="00E57C17"/>
    <w:rsid w:val="00E60CC0"/>
    <w:rsid w:val="00E60DF4"/>
    <w:rsid w:val="00E6113E"/>
    <w:rsid w:val="00E61207"/>
    <w:rsid w:val="00E615A6"/>
    <w:rsid w:val="00E6200E"/>
    <w:rsid w:val="00E62147"/>
    <w:rsid w:val="00E63109"/>
    <w:rsid w:val="00E6378B"/>
    <w:rsid w:val="00E63E53"/>
    <w:rsid w:val="00E659DD"/>
    <w:rsid w:val="00E66D7E"/>
    <w:rsid w:val="00E70271"/>
    <w:rsid w:val="00E7088C"/>
    <w:rsid w:val="00E72DF5"/>
    <w:rsid w:val="00E73A7F"/>
    <w:rsid w:val="00E73FBE"/>
    <w:rsid w:val="00E744EB"/>
    <w:rsid w:val="00E74B35"/>
    <w:rsid w:val="00E74E29"/>
    <w:rsid w:val="00E752C2"/>
    <w:rsid w:val="00E76111"/>
    <w:rsid w:val="00E76194"/>
    <w:rsid w:val="00E76773"/>
    <w:rsid w:val="00E76D33"/>
    <w:rsid w:val="00E76EBE"/>
    <w:rsid w:val="00E77DCC"/>
    <w:rsid w:val="00E805C8"/>
    <w:rsid w:val="00E81D5C"/>
    <w:rsid w:val="00E8251B"/>
    <w:rsid w:val="00E825B4"/>
    <w:rsid w:val="00E82F9C"/>
    <w:rsid w:val="00E830B6"/>
    <w:rsid w:val="00E83312"/>
    <w:rsid w:val="00E839C2"/>
    <w:rsid w:val="00E83EE3"/>
    <w:rsid w:val="00E84B48"/>
    <w:rsid w:val="00E85489"/>
    <w:rsid w:val="00E85507"/>
    <w:rsid w:val="00E85A2C"/>
    <w:rsid w:val="00E85CD1"/>
    <w:rsid w:val="00E866D7"/>
    <w:rsid w:val="00E873A5"/>
    <w:rsid w:val="00E874AF"/>
    <w:rsid w:val="00E8798E"/>
    <w:rsid w:val="00E91257"/>
    <w:rsid w:val="00E92229"/>
    <w:rsid w:val="00E92475"/>
    <w:rsid w:val="00E92718"/>
    <w:rsid w:val="00E929AF"/>
    <w:rsid w:val="00E93021"/>
    <w:rsid w:val="00E93BF1"/>
    <w:rsid w:val="00E94E20"/>
    <w:rsid w:val="00E959CF"/>
    <w:rsid w:val="00E9629A"/>
    <w:rsid w:val="00E96C40"/>
    <w:rsid w:val="00E97408"/>
    <w:rsid w:val="00EA0162"/>
    <w:rsid w:val="00EA08B4"/>
    <w:rsid w:val="00EA13C9"/>
    <w:rsid w:val="00EA269A"/>
    <w:rsid w:val="00EA2BAB"/>
    <w:rsid w:val="00EA2BF4"/>
    <w:rsid w:val="00EA33B1"/>
    <w:rsid w:val="00EA33DC"/>
    <w:rsid w:val="00EA3CF1"/>
    <w:rsid w:val="00EA5023"/>
    <w:rsid w:val="00EA581E"/>
    <w:rsid w:val="00EA6A2F"/>
    <w:rsid w:val="00EA6A6D"/>
    <w:rsid w:val="00EA7347"/>
    <w:rsid w:val="00EA7AD8"/>
    <w:rsid w:val="00EA7F06"/>
    <w:rsid w:val="00EB0758"/>
    <w:rsid w:val="00EB0AC6"/>
    <w:rsid w:val="00EB13F2"/>
    <w:rsid w:val="00EB15FE"/>
    <w:rsid w:val="00EB1DB5"/>
    <w:rsid w:val="00EB25B4"/>
    <w:rsid w:val="00EB3162"/>
    <w:rsid w:val="00EB34C4"/>
    <w:rsid w:val="00EB39F3"/>
    <w:rsid w:val="00EB45B0"/>
    <w:rsid w:val="00EB4C91"/>
    <w:rsid w:val="00EB5056"/>
    <w:rsid w:val="00EB539D"/>
    <w:rsid w:val="00EB5478"/>
    <w:rsid w:val="00EB68A7"/>
    <w:rsid w:val="00EB7321"/>
    <w:rsid w:val="00EB7825"/>
    <w:rsid w:val="00EB786D"/>
    <w:rsid w:val="00EC0A09"/>
    <w:rsid w:val="00EC0B06"/>
    <w:rsid w:val="00EC0EDD"/>
    <w:rsid w:val="00EC2898"/>
    <w:rsid w:val="00EC300D"/>
    <w:rsid w:val="00EC30E7"/>
    <w:rsid w:val="00EC3313"/>
    <w:rsid w:val="00EC3E5A"/>
    <w:rsid w:val="00EC4141"/>
    <w:rsid w:val="00EC5811"/>
    <w:rsid w:val="00EC5ED0"/>
    <w:rsid w:val="00EC5F03"/>
    <w:rsid w:val="00EC6D32"/>
    <w:rsid w:val="00EC7193"/>
    <w:rsid w:val="00EC7A11"/>
    <w:rsid w:val="00ED05B3"/>
    <w:rsid w:val="00ED09A6"/>
    <w:rsid w:val="00ED1FEB"/>
    <w:rsid w:val="00ED38CF"/>
    <w:rsid w:val="00ED3F05"/>
    <w:rsid w:val="00ED6B01"/>
    <w:rsid w:val="00ED6BEC"/>
    <w:rsid w:val="00ED6F2E"/>
    <w:rsid w:val="00EE04C0"/>
    <w:rsid w:val="00EE2355"/>
    <w:rsid w:val="00EE2704"/>
    <w:rsid w:val="00EE33DE"/>
    <w:rsid w:val="00EE4A8B"/>
    <w:rsid w:val="00EE6790"/>
    <w:rsid w:val="00EE68EC"/>
    <w:rsid w:val="00EE7065"/>
    <w:rsid w:val="00EE78DA"/>
    <w:rsid w:val="00EE7958"/>
    <w:rsid w:val="00EF06D0"/>
    <w:rsid w:val="00EF0D79"/>
    <w:rsid w:val="00EF2546"/>
    <w:rsid w:val="00EF3260"/>
    <w:rsid w:val="00EF41EB"/>
    <w:rsid w:val="00EF4CA3"/>
    <w:rsid w:val="00EF5668"/>
    <w:rsid w:val="00F002F5"/>
    <w:rsid w:val="00F0046B"/>
    <w:rsid w:val="00F00921"/>
    <w:rsid w:val="00F02FEE"/>
    <w:rsid w:val="00F03096"/>
    <w:rsid w:val="00F036C4"/>
    <w:rsid w:val="00F0514D"/>
    <w:rsid w:val="00F052CE"/>
    <w:rsid w:val="00F05570"/>
    <w:rsid w:val="00F05F08"/>
    <w:rsid w:val="00F06AB6"/>
    <w:rsid w:val="00F1015D"/>
    <w:rsid w:val="00F11281"/>
    <w:rsid w:val="00F1156A"/>
    <w:rsid w:val="00F11BF2"/>
    <w:rsid w:val="00F122C8"/>
    <w:rsid w:val="00F12C0B"/>
    <w:rsid w:val="00F13189"/>
    <w:rsid w:val="00F1336F"/>
    <w:rsid w:val="00F142FD"/>
    <w:rsid w:val="00F14638"/>
    <w:rsid w:val="00F14B46"/>
    <w:rsid w:val="00F15359"/>
    <w:rsid w:val="00F15689"/>
    <w:rsid w:val="00F16061"/>
    <w:rsid w:val="00F172E6"/>
    <w:rsid w:val="00F17B2F"/>
    <w:rsid w:val="00F17FD3"/>
    <w:rsid w:val="00F2006E"/>
    <w:rsid w:val="00F21DC8"/>
    <w:rsid w:val="00F229B2"/>
    <w:rsid w:val="00F23AC6"/>
    <w:rsid w:val="00F23C4F"/>
    <w:rsid w:val="00F23D7C"/>
    <w:rsid w:val="00F23DAC"/>
    <w:rsid w:val="00F2494D"/>
    <w:rsid w:val="00F249EB"/>
    <w:rsid w:val="00F25D39"/>
    <w:rsid w:val="00F2729B"/>
    <w:rsid w:val="00F2795D"/>
    <w:rsid w:val="00F311D9"/>
    <w:rsid w:val="00F31E92"/>
    <w:rsid w:val="00F320FD"/>
    <w:rsid w:val="00F3259A"/>
    <w:rsid w:val="00F36986"/>
    <w:rsid w:val="00F37852"/>
    <w:rsid w:val="00F41200"/>
    <w:rsid w:val="00F43254"/>
    <w:rsid w:val="00F43DB8"/>
    <w:rsid w:val="00F44976"/>
    <w:rsid w:val="00F44C81"/>
    <w:rsid w:val="00F4530D"/>
    <w:rsid w:val="00F46895"/>
    <w:rsid w:val="00F46DD9"/>
    <w:rsid w:val="00F47288"/>
    <w:rsid w:val="00F47CB9"/>
    <w:rsid w:val="00F50721"/>
    <w:rsid w:val="00F50840"/>
    <w:rsid w:val="00F51C28"/>
    <w:rsid w:val="00F520D9"/>
    <w:rsid w:val="00F52156"/>
    <w:rsid w:val="00F5253C"/>
    <w:rsid w:val="00F5256A"/>
    <w:rsid w:val="00F53665"/>
    <w:rsid w:val="00F5496F"/>
    <w:rsid w:val="00F559D4"/>
    <w:rsid w:val="00F55C34"/>
    <w:rsid w:val="00F576C6"/>
    <w:rsid w:val="00F6085C"/>
    <w:rsid w:val="00F61A6C"/>
    <w:rsid w:val="00F61ACF"/>
    <w:rsid w:val="00F61D66"/>
    <w:rsid w:val="00F63060"/>
    <w:rsid w:val="00F6439C"/>
    <w:rsid w:val="00F643BD"/>
    <w:rsid w:val="00F650AC"/>
    <w:rsid w:val="00F6525B"/>
    <w:rsid w:val="00F67CB4"/>
    <w:rsid w:val="00F67E9C"/>
    <w:rsid w:val="00F70027"/>
    <w:rsid w:val="00F705F7"/>
    <w:rsid w:val="00F7191F"/>
    <w:rsid w:val="00F72539"/>
    <w:rsid w:val="00F727C9"/>
    <w:rsid w:val="00F72D79"/>
    <w:rsid w:val="00F73C6D"/>
    <w:rsid w:val="00F74551"/>
    <w:rsid w:val="00F754BE"/>
    <w:rsid w:val="00F7615E"/>
    <w:rsid w:val="00F7620F"/>
    <w:rsid w:val="00F7696A"/>
    <w:rsid w:val="00F76D4B"/>
    <w:rsid w:val="00F7711E"/>
    <w:rsid w:val="00F77CC5"/>
    <w:rsid w:val="00F80842"/>
    <w:rsid w:val="00F8533A"/>
    <w:rsid w:val="00F85A33"/>
    <w:rsid w:val="00F912AF"/>
    <w:rsid w:val="00F91C57"/>
    <w:rsid w:val="00F92C2A"/>
    <w:rsid w:val="00F92CEE"/>
    <w:rsid w:val="00F93042"/>
    <w:rsid w:val="00F934E9"/>
    <w:rsid w:val="00F93B5B"/>
    <w:rsid w:val="00F9480A"/>
    <w:rsid w:val="00F94926"/>
    <w:rsid w:val="00F949EA"/>
    <w:rsid w:val="00F954D0"/>
    <w:rsid w:val="00F95A50"/>
    <w:rsid w:val="00F96657"/>
    <w:rsid w:val="00F969F5"/>
    <w:rsid w:val="00F9711F"/>
    <w:rsid w:val="00F97F56"/>
    <w:rsid w:val="00FA054E"/>
    <w:rsid w:val="00FA0D6E"/>
    <w:rsid w:val="00FA0DE0"/>
    <w:rsid w:val="00FA0ED5"/>
    <w:rsid w:val="00FA17AD"/>
    <w:rsid w:val="00FA1CB9"/>
    <w:rsid w:val="00FA2AAF"/>
    <w:rsid w:val="00FA2EAE"/>
    <w:rsid w:val="00FA40CA"/>
    <w:rsid w:val="00FA4F06"/>
    <w:rsid w:val="00FA515F"/>
    <w:rsid w:val="00FA5D03"/>
    <w:rsid w:val="00FA6063"/>
    <w:rsid w:val="00FA6BEC"/>
    <w:rsid w:val="00FA7425"/>
    <w:rsid w:val="00FA79FA"/>
    <w:rsid w:val="00FA7E48"/>
    <w:rsid w:val="00FB0F62"/>
    <w:rsid w:val="00FB19EF"/>
    <w:rsid w:val="00FB1C13"/>
    <w:rsid w:val="00FB29F7"/>
    <w:rsid w:val="00FB2CE6"/>
    <w:rsid w:val="00FB3288"/>
    <w:rsid w:val="00FB32BF"/>
    <w:rsid w:val="00FB3929"/>
    <w:rsid w:val="00FB3F29"/>
    <w:rsid w:val="00FB406F"/>
    <w:rsid w:val="00FB5609"/>
    <w:rsid w:val="00FB571A"/>
    <w:rsid w:val="00FB7E43"/>
    <w:rsid w:val="00FC0328"/>
    <w:rsid w:val="00FC0766"/>
    <w:rsid w:val="00FC0B5C"/>
    <w:rsid w:val="00FC0D47"/>
    <w:rsid w:val="00FC1AE0"/>
    <w:rsid w:val="00FC1C70"/>
    <w:rsid w:val="00FC20FD"/>
    <w:rsid w:val="00FC246B"/>
    <w:rsid w:val="00FC24BA"/>
    <w:rsid w:val="00FC481C"/>
    <w:rsid w:val="00FC53FB"/>
    <w:rsid w:val="00FC54B4"/>
    <w:rsid w:val="00FC6243"/>
    <w:rsid w:val="00FC7072"/>
    <w:rsid w:val="00FD0695"/>
    <w:rsid w:val="00FD1211"/>
    <w:rsid w:val="00FD180E"/>
    <w:rsid w:val="00FD1A04"/>
    <w:rsid w:val="00FD50A9"/>
    <w:rsid w:val="00FD5956"/>
    <w:rsid w:val="00FD696B"/>
    <w:rsid w:val="00FD78E4"/>
    <w:rsid w:val="00FD7CC6"/>
    <w:rsid w:val="00FE2EEB"/>
    <w:rsid w:val="00FE37AF"/>
    <w:rsid w:val="00FE3B01"/>
    <w:rsid w:val="00FE4022"/>
    <w:rsid w:val="00FE4193"/>
    <w:rsid w:val="00FE48AF"/>
    <w:rsid w:val="00FE625D"/>
    <w:rsid w:val="00FE694E"/>
    <w:rsid w:val="00FE6E51"/>
    <w:rsid w:val="00FF04AA"/>
    <w:rsid w:val="00FF0C33"/>
    <w:rsid w:val="00FF0C72"/>
    <w:rsid w:val="00FF110C"/>
    <w:rsid w:val="00FF12A5"/>
    <w:rsid w:val="00FF147A"/>
    <w:rsid w:val="00FF2025"/>
    <w:rsid w:val="00FF2F9C"/>
    <w:rsid w:val="00FF3793"/>
    <w:rsid w:val="00FF3FAA"/>
    <w:rsid w:val="00FF4CF2"/>
    <w:rsid w:val="00FF566B"/>
    <w:rsid w:val="00FF62EE"/>
    <w:rsid w:val="00FF7334"/>
    <w:rsid w:val="00FF742C"/>
    <w:rsid w:val="00FF7971"/>
    <w:rsid w:val="00FF79AB"/>
    <w:rsid w:val="06F47922"/>
    <w:rsid w:val="07BE9EE2"/>
    <w:rsid w:val="22F3F7C2"/>
    <w:rsid w:val="286001E4"/>
    <w:rsid w:val="3AB11F4C"/>
    <w:rsid w:val="3D5E3AB8"/>
    <w:rsid w:val="4056BE0A"/>
    <w:rsid w:val="4BB217EB"/>
    <w:rsid w:val="4EFCEC1E"/>
    <w:rsid w:val="5B88A614"/>
    <w:rsid w:val="6F678A03"/>
    <w:rsid w:val="7EC489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3968C"/>
  <w15:docId w15:val="{435CD116-5420-44D2-BD26-76E17953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B0"/>
    <w:pPr>
      <w:spacing w:after="5" w:line="366" w:lineRule="auto"/>
      <w:ind w:left="348"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418" w:hanging="10"/>
      <w:outlineLvl w:val="0"/>
    </w:pPr>
    <w:rPr>
      <w:rFonts w:ascii="Arial" w:eastAsia="Arial" w:hAnsi="Arial" w:cs="Arial"/>
      <w:b/>
      <w:color w:val="374C80"/>
      <w:sz w:val="28"/>
    </w:rPr>
  </w:style>
  <w:style w:type="paragraph" w:styleId="Heading2">
    <w:name w:val="heading 2"/>
    <w:next w:val="Normal"/>
    <w:link w:val="Heading2Char"/>
    <w:uiPriority w:val="9"/>
    <w:unhideWhenUsed/>
    <w:qFormat/>
    <w:pPr>
      <w:keepNext/>
      <w:keepLines/>
      <w:spacing w:after="119"/>
      <w:ind w:left="418" w:hanging="10"/>
      <w:outlineLvl w:val="1"/>
    </w:pPr>
    <w:rPr>
      <w:rFonts w:ascii="Arial" w:eastAsia="Arial" w:hAnsi="Arial" w:cs="Arial"/>
      <w:b/>
      <w:color w:val="374C80"/>
      <w:sz w:val="24"/>
    </w:rPr>
  </w:style>
  <w:style w:type="paragraph" w:styleId="Heading3">
    <w:name w:val="heading 3"/>
    <w:next w:val="Normal"/>
    <w:link w:val="Heading3Char"/>
    <w:uiPriority w:val="9"/>
    <w:unhideWhenUsed/>
    <w:qFormat/>
    <w:pPr>
      <w:keepNext/>
      <w:keepLines/>
      <w:spacing w:after="119"/>
      <w:ind w:left="418" w:hanging="10"/>
      <w:outlineLvl w:val="2"/>
    </w:pPr>
    <w:rPr>
      <w:rFonts w:ascii="Arial" w:eastAsia="Arial" w:hAnsi="Arial" w:cs="Arial"/>
      <w:b/>
      <w:color w:val="374C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0" w:lineRule="auto"/>
      <w:ind w:left="550" w:hanging="14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b/>
      <w:color w:val="374C80"/>
      <w:sz w:val="24"/>
    </w:rPr>
  </w:style>
  <w:style w:type="character" w:customStyle="1" w:styleId="Heading1Char">
    <w:name w:val="Heading 1 Char"/>
    <w:link w:val="Heading1"/>
    <w:uiPriority w:val="9"/>
    <w:rPr>
      <w:rFonts w:ascii="Arial" w:eastAsia="Arial" w:hAnsi="Arial" w:cs="Arial"/>
      <w:b/>
      <w:color w:val="374C80"/>
      <w:sz w:val="28"/>
    </w:rPr>
  </w:style>
  <w:style w:type="character" w:customStyle="1" w:styleId="Heading2Char">
    <w:name w:val="Heading 2 Char"/>
    <w:link w:val="Heading2"/>
    <w:rPr>
      <w:rFonts w:ascii="Arial" w:eastAsia="Arial" w:hAnsi="Arial" w:cs="Arial"/>
      <w:b/>
      <w:color w:val="374C80"/>
      <w:sz w:val="24"/>
    </w:rPr>
  </w:style>
  <w:style w:type="paragraph" w:styleId="TOC1">
    <w:name w:val="toc 1"/>
    <w:hidden/>
    <w:uiPriority w:val="39"/>
    <w:pPr>
      <w:spacing w:after="225"/>
      <w:ind w:left="433" w:right="68" w:hanging="10"/>
    </w:pPr>
    <w:rPr>
      <w:rFonts w:ascii="Arial" w:eastAsia="Arial" w:hAnsi="Arial" w:cs="Arial"/>
      <w:color w:val="0070C0"/>
      <w:sz w:val="24"/>
    </w:rPr>
  </w:style>
  <w:style w:type="paragraph" w:styleId="TOC2">
    <w:name w:val="toc 2"/>
    <w:hidden/>
    <w:uiPriority w:val="39"/>
    <w:pPr>
      <w:spacing w:after="225"/>
      <w:ind w:left="717" w:right="77" w:hanging="10"/>
      <w:jc w:val="both"/>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B7DC2"/>
    <w:rPr>
      <w:color w:val="0563C1" w:themeColor="hyperlink"/>
      <w:u w:val="single"/>
    </w:rPr>
  </w:style>
  <w:style w:type="paragraph" w:customStyle="1" w:styleId="legrhs1">
    <w:name w:val="legrhs1"/>
    <w:basedOn w:val="Normal"/>
    <w:rsid w:val="003A2E83"/>
    <w:pPr>
      <w:shd w:val="clear" w:color="auto" w:fill="FFFFFF"/>
      <w:spacing w:after="120" w:line="360" w:lineRule="atLeast"/>
      <w:ind w:left="0" w:firstLine="0"/>
    </w:pPr>
    <w:rPr>
      <w:rFonts w:ascii="Times New Roman" w:eastAsia="Times New Roman" w:hAnsi="Times New Roman" w:cs="Times New Roman"/>
      <w:sz w:val="19"/>
      <w:szCs w:val="19"/>
    </w:rPr>
  </w:style>
  <w:style w:type="paragraph" w:customStyle="1" w:styleId="legclearfix2">
    <w:name w:val="legclearfix2"/>
    <w:basedOn w:val="Normal"/>
    <w:rsid w:val="003A2E83"/>
    <w:pPr>
      <w:shd w:val="clear" w:color="auto" w:fill="FFFFFF"/>
      <w:spacing w:after="120" w:line="360" w:lineRule="atLeast"/>
      <w:ind w:left="0" w:firstLine="0"/>
      <w:jc w:val="left"/>
    </w:pPr>
    <w:rPr>
      <w:rFonts w:ascii="Times New Roman" w:eastAsia="Times New Roman" w:hAnsi="Times New Roman" w:cs="Times New Roman"/>
      <w:sz w:val="19"/>
      <w:szCs w:val="19"/>
    </w:rPr>
  </w:style>
  <w:style w:type="character" w:customStyle="1" w:styleId="legds2">
    <w:name w:val="legds2"/>
    <w:basedOn w:val="DefaultParagraphFont"/>
    <w:rsid w:val="003A2E83"/>
    <w:rPr>
      <w:vanish w:val="0"/>
      <w:webHidden w:val="0"/>
      <w:specVanish w:val="0"/>
    </w:rPr>
  </w:style>
  <w:style w:type="paragraph" w:styleId="ListParagraph">
    <w:name w:val="List Paragraph"/>
    <w:basedOn w:val="Normal"/>
    <w:link w:val="ListParagraphChar"/>
    <w:uiPriority w:val="34"/>
    <w:qFormat/>
    <w:rsid w:val="00B503FF"/>
    <w:pPr>
      <w:ind w:left="720"/>
      <w:contextualSpacing/>
    </w:pPr>
  </w:style>
  <w:style w:type="paragraph" w:customStyle="1" w:styleId="Default">
    <w:name w:val="Default"/>
    <w:rsid w:val="00462AC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nhideWhenUsed/>
    <w:rsid w:val="003A017B"/>
    <w:pPr>
      <w:tabs>
        <w:tab w:val="center" w:pos="4513"/>
        <w:tab w:val="right" w:pos="9026"/>
      </w:tabs>
      <w:spacing w:after="0" w:line="240" w:lineRule="auto"/>
    </w:pPr>
  </w:style>
  <w:style w:type="character" w:customStyle="1" w:styleId="HeaderChar">
    <w:name w:val="Header Char"/>
    <w:basedOn w:val="DefaultParagraphFont"/>
    <w:link w:val="Header"/>
    <w:rsid w:val="003A017B"/>
    <w:rPr>
      <w:rFonts w:ascii="Arial" w:eastAsia="Arial" w:hAnsi="Arial" w:cs="Arial"/>
      <w:color w:val="000000"/>
      <w:sz w:val="24"/>
    </w:rPr>
  </w:style>
  <w:style w:type="paragraph" w:styleId="Footer">
    <w:name w:val="footer"/>
    <w:basedOn w:val="Normal"/>
    <w:link w:val="FooterChar"/>
    <w:uiPriority w:val="99"/>
    <w:rsid w:val="00032F94"/>
    <w:pPr>
      <w:tabs>
        <w:tab w:val="center" w:pos="4153"/>
        <w:tab w:val="right" w:pos="8306"/>
      </w:tabs>
      <w:spacing w:after="0" w:line="240" w:lineRule="auto"/>
      <w:ind w:left="0" w:firstLine="0"/>
      <w:jc w:val="left"/>
    </w:pPr>
    <w:rPr>
      <w:rFonts w:ascii="Times New Roman" w:eastAsia="Times New Roman" w:hAnsi="Times New Roman" w:cs="Times New Roman"/>
      <w:color w:val="auto"/>
      <w:szCs w:val="24"/>
      <w:lang w:eastAsia="en-US"/>
    </w:rPr>
  </w:style>
  <w:style w:type="character" w:customStyle="1" w:styleId="FooterChar">
    <w:name w:val="Footer Char"/>
    <w:basedOn w:val="DefaultParagraphFont"/>
    <w:link w:val="Footer"/>
    <w:uiPriority w:val="99"/>
    <w:rsid w:val="00032F94"/>
    <w:rPr>
      <w:rFonts w:ascii="Times New Roman" w:eastAsia="Times New Roman" w:hAnsi="Times New Roman" w:cs="Times New Roman"/>
      <w:sz w:val="24"/>
      <w:szCs w:val="24"/>
      <w:lang w:eastAsia="en-US"/>
    </w:rPr>
  </w:style>
  <w:style w:type="paragraph" w:styleId="Title">
    <w:name w:val="Title"/>
    <w:basedOn w:val="Normal"/>
    <w:link w:val="TitleChar"/>
    <w:qFormat/>
    <w:rsid w:val="00032F94"/>
    <w:pPr>
      <w:spacing w:after="0" w:line="240" w:lineRule="auto"/>
      <w:ind w:left="0" w:firstLine="0"/>
      <w:jc w:val="center"/>
    </w:pPr>
    <w:rPr>
      <w:rFonts w:eastAsia="Times New Roman" w:cs="Times New Roman"/>
      <w:b/>
      <w:bCs/>
      <w:color w:val="auto"/>
      <w:szCs w:val="24"/>
      <w:lang w:eastAsia="en-US"/>
    </w:rPr>
  </w:style>
  <w:style w:type="character" w:customStyle="1" w:styleId="TitleChar">
    <w:name w:val="Title Char"/>
    <w:basedOn w:val="DefaultParagraphFont"/>
    <w:link w:val="Title"/>
    <w:rsid w:val="00032F94"/>
    <w:rPr>
      <w:rFonts w:ascii="Arial" w:eastAsia="Times New Roman" w:hAnsi="Arial" w:cs="Times New Roman"/>
      <w:b/>
      <w:bCs/>
      <w:sz w:val="24"/>
      <w:szCs w:val="24"/>
      <w:lang w:eastAsia="en-US"/>
    </w:rPr>
  </w:style>
  <w:style w:type="paragraph" w:styleId="BodyTextIndent">
    <w:name w:val="Body Text Indent"/>
    <w:basedOn w:val="Normal"/>
    <w:link w:val="BodyTextIndentChar"/>
    <w:rsid w:val="00032F94"/>
    <w:pPr>
      <w:tabs>
        <w:tab w:val="left" w:pos="1200"/>
      </w:tabs>
      <w:spacing w:after="0" w:line="240" w:lineRule="auto"/>
      <w:ind w:left="600" w:hanging="600"/>
    </w:pPr>
    <w:rPr>
      <w:rFonts w:eastAsia="Times New Roman" w:cs="Times New Roman"/>
      <w:color w:val="auto"/>
      <w:szCs w:val="24"/>
      <w:lang w:eastAsia="en-US"/>
    </w:rPr>
  </w:style>
  <w:style w:type="character" w:customStyle="1" w:styleId="BodyTextIndentChar">
    <w:name w:val="Body Text Indent Char"/>
    <w:basedOn w:val="DefaultParagraphFont"/>
    <w:link w:val="BodyTextIndent"/>
    <w:rsid w:val="00032F94"/>
    <w:rPr>
      <w:rFonts w:ascii="Arial" w:eastAsia="Times New Roman" w:hAnsi="Arial" w:cs="Times New Roman"/>
      <w:sz w:val="24"/>
      <w:szCs w:val="24"/>
      <w:lang w:eastAsia="en-US"/>
    </w:rPr>
  </w:style>
  <w:style w:type="table" w:customStyle="1" w:styleId="TableGrid0">
    <w:name w:val="Table Grid0"/>
    <w:basedOn w:val="TableNormal"/>
    <w:rsid w:val="00032F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2F94"/>
  </w:style>
  <w:style w:type="paragraph" w:styleId="NoSpacing">
    <w:name w:val="No Spacing"/>
    <w:uiPriority w:val="1"/>
    <w:qFormat/>
    <w:rsid w:val="00032F94"/>
    <w:pPr>
      <w:spacing w:after="0" w:line="240" w:lineRule="auto"/>
    </w:pPr>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6F0A9C"/>
    <w:rPr>
      <w:sz w:val="16"/>
      <w:szCs w:val="16"/>
    </w:rPr>
  </w:style>
  <w:style w:type="paragraph" w:styleId="CommentText">
    <w:name w:val="annotation text"/>
    <w:basedOn w:val="Normal"/>
    <w:link w:val="CommentTextChar"/>
    <w:uiPriority w:val="99"/>
    <w:unhideWhenUsed/>
    <w:rsid w:val="006F0A9C"/>
    <w:pPr>
      <w:spacing w:line="240" w:lineRule="auto"/>
    </w:pPr>
    <w:rPr>
      <w:sz w:val="20"/>
      <w:szCs w:val="20"/>
    </w:rPr>
  </w:style>
  <w:style w:type="character" w:customStyle="1" w:styleId="CommentTextChar">
    <w:name w:val="Comment Text Char"/>
    <w:basedOn w:val="DefaultParagraphFont"/>
    <w:link w:val="CommentText"/>
    <w:uiPriority w:val="99"/>
    <w:rsid w:val="006F0A9C"/>
    <w:rPr>
      <w:rFonts w:ascii="Arial" w:eastAsia="Arial" w:hAnsi="Arial" w:cs="Arial"/>
      <w:color w:val="000000"/>
      <w:sz w:val="20"/>
      <w:szCs w:val="20"/>
    </w:rPr>
  </w:style>
  <w:style w:type="paragraph" w:styleId="CommentSubject">
    <w:name w:val="annotation subject"/>
    <w:basedOn w:val="CommentText"/>
    <w:next w:val="CommentText"/>
    <w:link w:val="CommentSubjectChar"/>
    <w:semiHidden/>
    <w:unhideWhenUsed/>
    <w:rsid w:val="006F0A9C"/>
    <w:rPr>
      <w:b/>
      <w:bCs/>
    </w:rPr>
  </w:style>
  <w:style w:type="character" w:customStyle="1" w:styleId="CommentSubjectChar">
    <w:name w:val="Comment Subject Char"/>
    <w:basedOn w:val="CommentTextChar"/>
    <w:link w:val="CommentSubject"/>
    <w:uiPriority w:val="99"/>
    <w:semiHidden/>
    <w:rsid w:val="006F0A9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F0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A9C"/>
    <w:rPr>
      <w:rFonts w:ascii="Segoe UI" w:eastAsia="Arial" w:hAnsi="Segoe UI" w:cs="Segoe UI"/>
      <w:color w:val="000000"/>
      <w:sz w:val="18"/>
      <w:szCs w:val="18"/>
    </w:rPr>
  </w:style>
  <w:style w:type="paragraph" w:styleId="Revision">
    <w:name w:val="Revision"/>
    <w:hidden/>
    <w:uiPriority w:val="99"/>
    <w:semiHidden/>
    <w:rsid w:val="00C673A9"/>
    <w:pPr>
      <w:spacing w:after="0" w:line="240" w:lineRule="auto"/>
    </w:pPr>
    <w:rPr>
      <w:rFonts w:ascii="Arial" w:eastAsia="Arial" w:hAnsi="Arial" w:cs="Arial"/>
      <w:color w:val="000000"/>
      <w:sz w:val="24"/>
    </w:rPr>
  </w:style>
  <w:style w:type="character" w:styleId="FollowedHyperlink">
    <w:name w:val="FollowedHyperlink"/>
    <w:basedOn w:val="DefaultParagraphFont"/>
    <w:uiPriority w:val="99"/>
    <w:semiHidden/>
    <w:unhideWhenUsed/>
    <w:rsid w:val="00D13FD3"/>
    <w:rPr>
      <w:color w:val="954F72" w:themeColor="followedHyperlink"/>
      <w:u w:val="single"/>
    </w:rPr>
  </w:style>
  <w:style w:type="character" w:customStyle="1" w:styleId="UnresolvedMention1">
    <w:name w:val="Unresolved Mention1"/>
    <w:basedOn w:val="DefaultParagraphFont"/>
    <w:uiPriority w:val="99"/>
    <w:semiHidden/>
    <w:unhideWhenUsed/>
    <w:rsid w:val="00013FDA"/>
    <w:rPr>
      <w:color w:val="605E5C"/>
      <w:shd w:val="clear" w:color="auto" w:fill="E1DFDD"/>
    </w:rPr>
  </w:style>
  <w:style w:type="paragraph" w:customStyle="1" w:styleId="myHeading2">
    <w:name w:val="myHeading2"/>
    <w:basedOn w:val="Heading2"/>
    <w:next w:val="Normal"/>
    <w:autoRedefine/>
    <w:rsid w:val="001B2472"/>
    <w:pPr>
      <w:keepLines w:val="0"/>
      <w:widowControl w:val="0"/>
      <w:spacing w:after="0" w:line="240" w:lineRule="auto"/>
      <w:ind w:left="720" w:hanging="720"/>
      <w:jc w:val="both"/>
    </w:pPr>
    <w:rPr>
      <w:rFonts w:eastAsia="Times New Roman"/>
      <w:bCs/>
      <w:color w:val="auto"/>
      <w:szCs w:val="24"/>
      <w:lang w:val="en-US" w:eastAsia="en-US"/>
    </w:rPr>
  </w:style>
  <w:style w:type="paragraph" w:customStyle="1" w:styleId="1">
    <w:name w:val="1"/>
    <w:aliases w:val="2,3,List - 1,3 Bullets"/>
    <w:basedOn w:val="Normal"/>
    <w:rsid w:val="001B2472"/>
    <w:pPr>
      <w:overflowPunct w:val="0"/>
      <w:autoSpaceDE w:val="0"/>
      <w:autoSpaceDN w:val="0"/>
      <w:adjustRightInd w:val="0"/>
      <w:spacing w:after="0" w:line="240" w:lineRule="auto"/>
      <w:ind w:left="720" w:hanging="720"/>
      <w:jc w:val="left"/>
      <w:textAlignment w:val="baseline"/>
    </w:pPr>
    <w:rPr>
      <w:rFonts w:eastAsia="Times New Roman" w:cs="Times New Roman"/>
      <w:color w:val="auto"/>
      <w:szCs w:val="20"/>
      <w:lang w:eastAsia="en-US"/>
    </w:rPr>
  </w:style>
  <w:style w:type="paragraph" w:styleId="EndnoteText">
    <w:name w:val="endnote text"/>
    <w:basedOn w:val="Normal"/>
    <w:link w:val="EndnoteTextChar"/>
    <w:uiPriority w:val="99"/>
    <w:semiHidden/>
    <w:unhideWhenUsed/>
    <w:rsid w:val="00E631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3109"/>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E63109"/>
    <w:rPr>
      <w:vertAlign w:val="superscript"/>
    </w:rPr>
  </w:style>
  <w:style w:type="character" w:customStyle="1" w:styleId="UnresolvedMention2">
    <w:name w:val="Unresolved Mention2"/>
    <w:basedOn w:val="DefaultParagraphFont"/>
    <w:uiPriority w:val="99"/>
    <w:semiHidden/>
    <w:unhideWhenUsed/>
    <w:rsid w:val="00E825B4"/>
    <w:rPr>
      <w:color w:val="605E5C"/>
      <w:shd w:val="clear" w:color="auto" w:fill="E1DFDD"/>
    </w:rPr>
  </w:style>
  <w:style w:type="paragraph" w:styleId="FootnoteText">
    <w:name w:val="footnote text"/>
    <w:basedOn w:val="Normal"/>
    <w:link w:val="FootnoteTextChar"/>
    <w:uiPriority w:val="99"/>
    <w:semiHidden/>
    <w:unhideWhenUsed/>
    <w:rsid w:val="00367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6C7"/>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3676C7"/>
    <w:rPr>
      <w:vertAlign w:val="superscript"/>
    </w:rPr>
  </w:style>
  <w:style w:type="character" w:customStyle="1" w:styleId="UnresolvedMention3">
    <w:name w:val="Unresolved Mention3"/>
    <w:basedOn w:val="DefaultParagraphFont"/>
    <w:uiPriority w:val="99"/>
    <w:unhideWhenUsed/>
    <w:rsid w:val="00C74E62"/>
    <w:rPr>
      <w:color w:val="605E5C"/>
      <w:shd w:val="clear" w:color="auto" w:fill="E1DFDD"/>
    </w:rPr>
  </w:style>
  <w:style w:type="character" w:customStyle="1" w:styleId="Mention1">
    <w:name w:val="Mention1"/>
    <w:basedOn w:val="DefaultParagraphFont"/>
    <w:uiPriority w:val="99"/>
    <w:unhideWhenUsed/>
    <w:rsid w:val="00A862CA"/>
    <w:rPr>
      <w:color w:val="2B579A"/>
      <w:shd w:val="clear" w:color="auto" w:fill="E1DFDD"/>
    </w:rPr>
  </w:style>
  <w:style w:type="table" w:customStyle="1" w:styleId="TableGrid2">
    <w:name w:val="Table Grid2"/>
    <w:basedOn w:val="TableNormal"/>
    <w:uiPriority w:val="59"/>
    <w:rsid w:val="00337F10"/>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37F10"/>
    <w:rPr>
      <w:rFonts w:ascii="Arial" w:eastAsia="Arial" w:hAnsi="Arial" w:cs="Arial"/>
      <w:color w:val="000000"/>
      <w:sz w:val="24"/>
    </w:rPr>
  </w:style>
  <w:style w:type="table" w:customStyle="1" w:styleId="TableGrid20">
    <w:name w:val="Table Grid20"/>
    <w:basedOn w:val="TableNormal"/>
    <w:uiPriority w:val="59"/>
    <w:rsid w:val="00337F10"/>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uiPriority w:val="59"/>
    <w:rsid w:val="00337F10"/>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20"/>
    <w:uiPriority w:val="59"/>
    <w:rsid w:val="0019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20"/>
    <w:uiPriority w:val="59"/>
    <w:rsid w:val="004C6641"/>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D5088"/>
    <w:rPr>
      <w:color w:val="605E5C"/>
      <w:shd w:val="clear" w:color="auto" w:fill="E1DFDD"/>
    </w:rPr>
  </w:style>
  <w:style w:type="paragraph" w:customStyle="1" w:styleId="Level1">
    <w:name w:val="Level 1"/>
    <w:basedOn w:val="Normal"/>
    <w:rsid w:val="00B3058C"/>
    <w:pPr>
      <w:numPr>
        <w:numId w:val="24"/>
      </w:numPr>
      <w:spacing w:after="220" w:line="240" w:lineRule="auto"/>
      <w:outlineLvl w:val="0"/>
    </w:pPr>
    <w:rPr>
      <w:rFonts w:eastAsia="Times New Roman" w:cs="Times New Roman"/>
      <w:color w:val="auto"/>
      <w:sz w:val="20"/>
      <w:szCs w:val="20"/>
    </w:rPr>
  </w:style>
  <w:style w:type="paragraph" w:customStyle="1" w:styleId="Level2">
    <w:name w:val="Level 2"/>
    <w:basedOn w:val="Normal"/>
    <w:rsid w:val="00B3058C"/>
    <w:pPr>
      <w:numPr>
        <w:ilvl w:val="1"/>
        <w:numId w:val="24"/>
      </w:numPr>
      <w:spacing w:after="220" w:line="240" w:lineRule="auto"/>
      <w:outlineLvl w:val="1"/>
    </w:pPr>
    <w:rPr>
      <w:rFonts w:eastAsia="Times New Roman" w:cs="Times New Roman"/>
      <w:color w:val="auto"/>
      <w:sz w:val="20"/>
      <w:szCs w:val="20"/>
    </w:rPr>
  </w:style>
  <w:style w:type="paragraph" w:customStyle="1" w:styleId="Level3">
    <w:name w:val="Level 3"/>
    <w:basedOn w:val="Normal"/>
    <w:rsid w:val="00B3058C"/>
    <w:pPr>
      <w:numPr>
        <w:ilvl w:val="2"/>
        <w:numId w:val="24"/>
      </w:numPr>
      <w:tabs>
        <w:tab w:val="left" w:pos="1440"/>
      </w:tabs>
      <w:spacing w:after="220" w:line="240" w:lineRule="auto"/>
      <w:outlineLvl w:val="2"/>
    </w:pPr>
    <w:rPr>
      <w:rFonts w:eastAsia="Times New Roman" w:cs="Times New Roman"/>
      <w:color w:val="auto"/>
      <w:sz w:val="20"/>
      <w:szCs w:val="20"/>
    </w:rPr>
  </w:style>
  <w:style w:type="paragraph" w:customStyle="1" w:styleId="Level4">
    <w:name w:val="Level 4"/>
    <w:basedOn w:val="Normal"/>
    <w:rsid w:val="00B3058C"/>
    <w:pPr>
      <w:numPr>
        <w:ilvl w:val="3"/>
        <w:numId w:val="24"/>
      </w:numPr>
      <w:tabs>
        <w:tab w:val="left" w:pos="2160"/>
      </w:tabs>
      <w:spacing w:after="220" w:line="240" w:lineRule="auto"/>
      <w:outlineLvl w:val="3"/>
    </w:pPr>
    <w:rPr>
      <w:rFonts w:eastAsia="Times New Roman" w:cs="Times New Roman"/>
      <w:color w:val="auto"/>
      <w:sz w:val="20"/>
      <w:szCs w:val="20"/>
    </w:rPr>
  </w:style>
  <w:style w:type="paragraph" w:customStyle="1" w:styleId="Level5">
    <w:name w:val="Level 5"/>
    <w:basedOn w:val="Normal"/>
    <w:rsid w:val="00B3058C"/>
    <w:pPr>
      <w:numPr>
        <w:ilvl w:val="4"/>
        <w:numId w:val="24"/>
      </w:numPr>
      <w:tabs>
        <w:tab w:val="left" w:pos="2880"/>
      </w:tabs>
      <w:spacing w:after="220" w:line="240" w:lineRule="auto"/>
      <w:outlineLvl w:val="4"/>
    </w:pPr>
    <w:rPr>
      <w:rFonts w:eastAsia="Times New Roman" w:cs="Times New Roman"/>
      <w:color w:val="auto"/>
      <w:sz w:val="20"/>
      <w:szCs w:val="20"/>
    </w:rPr>
  </w:style>
  <w:style w:type="paragraph" w:customStyle="1" w:styleId="Level6">
    <w:name w:val="Level 6"/>
    <w:basedOn w:val="Normal"/>
    <w:rsid w:val="00B3058C"/>
    <w:pPr>
      <w:numPr>
        <w:ilvl w:val="5"/>
        <w:numId w:val="24"/>
      </w:numPr>
      <w:tabs>
        <w:tab w:val="left" w:pos="3600"/>
      </w:tabs>
      <w:spacing w:after="220" w:line="240" w:lineRule="auto"/>
      <w:outlineLvl w:val="5"/>
    </w:pPr>
    <w:rPr>
      <w:rFonts w:eastAsia="Times New Roman" w:cs="Times New Roman"/>
      <w:color w:val="auto"/>
      <w:sz w:val="20"/>
      <w:szCs w:val="20"/>
    </w:rPr>
  </w:style>
  <w:style w:type="paragraph" w:customStyle="1" w:styleId="Numpara">
    <w:name w:val="Numpara"/>
    <w:basedOn w:val="Normal"/>
    <w:rsid w:val="008F754B"/>
    <w:pPr>
      <w:numPr>
        <w:numId w:val="25"/>
      </w:numPr>
      <w:spacing w:before="40" w:after="120" w:line="240" w:lineRule="auto"/>
      <w:jc w:val="left"/>
    </w:pPr>
    <w:rPr>
      <w:rFonts w:ascii="Times New Roman" w:eastAsia="Times New Roman" w:hAnsi="Times New Roman" w:cs="Times New Roman"/>
      <w:color w:val="auto"/>
      <w:szCs w:val="24"/>
      <w:lang w:eastAsia="en-US"/>
    </w:rPr>
  </w:style>
  <w:style w:type="table" w:customStyle="1" w:styleId="TableGrid2000">
    <w:name w:val="Table Grid2000"/>
    <w:basedOn w:val="TableNormal"/>
    <w:uiPriority w:val="59"/>
    <w:rsid w:val="004D1E0D"/>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00">
    <w:name w:val="Table Grid20000"/>
    <w:basedOn w:val="TableNormal"/>
    <w:uiPriority w:val="59"/>
    <w:rsid w:val="004D1E0D"/>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000">
    <w:name w:val="Table Grid200000"/>
    <w:basedOn w:val="TableNormal"/>
    <w:next w:val="TableGrid20000"/>
    <w:uiPriority w:val="59"/>
    <w:rsid w:val="004D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 Deletion"/>
    <w:uiPriority w:val="99"/>
    <w:rsid w:val="00AE5F0C"/>
    <w:rPr>
      <w:strike/>
      <w:color w:val="FF0000"/>
    </w:rPr>
  </w:style>
  <w:style w:type="paragraph" w:customStyle="1" w:styleId="MFNumLev1">
    <w:name w:val="MFNumLev1"/>
    <w:rsid w:val="00B91FBC"/>
    <w:pPr>
      <w:keepNext/>
      <w:widowControl w:val="0"/>
      <w:numPr>
        <w:numId w:val="28"/>
      </w:numPr>
      <w:tabs>
        <w:tab w:val="left" w:pos="720"/>
      </w:tabs>
      <w:autoSpaceDE w:val="0"/>
      <w:autoSpaceDN w:val="0"/>
      <w:adjustRightInd w:val="0"/>
      <w:spacing w:after="240" w:line="240" w:lineRule="auto"/>
      <w:jc w:val="both"/>
      <w:outlineLvl w:val="0"/>
    </w:pPr>
    <w:rPr>
      <w:rFonts w:ascii="Book Antiqua" w:eastAsia="Yu Mincho" w:hAnsi="Book Antiqua" w:cs="Times New Roman"/>
      <w:b/>
      <w:sz w:val="20"/>
      <w:szCs w:val="20"/>
      <w:lang w:val="en-IE"/>
    </w:rPr>
  </w:style>
  <w:style w:type="paragraph" w:customStyle="1" w:styleId="MFNumLev2">
    <w:name w:val="MFNumLev2"/>
    <w:basedOn w:val="MFNumLev1"/>
    <w:rsid w:val="00B91FBC"/>
    <w:pPr>
      <w:keepNext w:val="0"/>
      <w:numPr>
        <w:ilvl w:val="1"/>
      </w:numPr>
      <w:tabs>
        <w:tab w:val="left" w:pos="360"/>
        <w:tab w:val="left" w:pos="3981"/>
      </w:tabs>
      <w:outlineLvl w:val="1"/>
    </w:pPr>
    <w:rPr>
      <w:b w:val="0"/>
    </w:rPr>
  </w:style>
  <w:style w:type="paragraph" w:customStyle="1" w:styleId="MFNumLev3">
    <w:name w:val="MFNumLev3"/>
    <w:basedOn w:val="MFNumLev2"/>
    <w:rsid w:val="00B91FBC"/>
    <w:pPr>
      <w:numPr>
        <w:ilvl w:val="2"/>
      </w:numPr>
      <w:tabs>
        <w:tab w:val="clear" w:pos="360"/>
        <w:tab w:val="left" w:pos="2160"/>
      </w:tabs>
      <w:outlineLvl w:val="2"/>
    </w:pPr>
  </w:style>
  <w:style w:type="paragraph" w:customStyle="1" w:styleId="MFNumLev4">
    <w:name w:val="MFNumLev4"/>
    <w:basedOn w:val="MFNumLev2"/>
    <w:rsid w:val="00B91FBC"/>
    <w:pPr>
      <w:numPr>
        <w:ilvl w:val="3"/>
      </w:numPr>
      <w:tabs>
        <w:tab w:val="clear" w:pos="360"/>
        <w:tab w:val="left" w:pos="2160"/>
        <w:tab w:val="left" w:pos="2880"/>
      </w:tabs>
      <w:outlineLvl w:val="3"/>
    </w:pPr>
  </w:style>
  <w:style w:type="paragraph" w:customStyle="1" w:styleId="MFNumLev5">
    <w:name w:val="MFNumLev5"/>
    <w:basedOn w:val="MFNumLev2"/>
    <w:rsid w:val="00B91FBC"/>
    <w:pPr>
      <w:numPr>
        <w:ilvl w:val="4"/>
      </w:numPr>
      <w:tabs>
        <w:tab w:val="left" w:pos="3600"/>
      </w:tabs>
      <w:outlineLvl w:val="4"/>
    </w:pPr>
  </w:style>
  <w:style w:type="paragraph" w:customStyle="1" w:styleId="MFNumLev6">
    <w:name w:val="MFNumLev6"/>
    <w:basedOn w:val="MFNumLev2"/>
    <w:rsid w:val="00B91FBC"/>
    <w:pPr>
      <w:numPr>
        <w:ilvl w:val="5"/>
      </w:numPr>
      <w:tabs>
        <w:tab w:val="left" w:pos="4320"/>
      </w:tabs>
      <w:outlineLvl w:val="5"/>
    </w:pPr>
  </w:style>
  <w:style w:type="table" w:styleId="TableGrid">
    <w:name w:val="Table Grid"/>
    <w:basedOn w:val="TableNormal"/>
    <w:uiPriority w:val="39"/>
    <w:rsid w:val="00017C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A3C0A"/>
    <w:pPr>
      <w:spacing w:after="0" w:line="240" w:lineRule="auto"/>
    </w:pPr>
    <w:rPr>
      <w:rFonts w:ascii="Arial" w:eastAsiaTheme="minorHAns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5405"/>
    <w:pPr>
      <w:spacing w:before="100" w:beforeAutospacing="1" w:after="100" w:afterAutospacing="1" w:line="240" w:lineRule="auto"/>
      <w:ind w:left="0" w:firstLine="0"/>
      <w:jc w:val="left"/>
    </w:pPr>
    <w:rPr>
      <w:rFonts w:ascii="Calibri" w:eastAsiaTheme="minorHAnsi" w:hAnsi="Calibri" w:cs="Calibri"/>
      <w:color w:val="auto"/>
      <w:sz w:val="22"/>
    </w:rPr>
  </w:style>
  <w:style w:type="character" w:customStyle="1" w:styleId="normaltextrun">
    <w:name w:val="normaltextrun"/>
    <w:basedOn w:val="DefaultParagraphFont"/>
    <w:rsid w:val="00405405"/>
  </w:style>
  <w:style w:type="character" w:styleId="UnresolvedMention">
    <w:name w:val="Unresolved Mention"/>
    <w:basedOn w:val="DefaultParagraphFont"/>
    <w:uiPriority w:val="99"/>
    <w:semiHidden/>
    <w:unhideWhenUsed/>
    <w:rsid w:val="0004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0974">
      <w:bodyDiv w:val="1"/>
      <w:marLeft w:val="0"/>
      <w:marRight w:val="0"/>
      <w:marTop w:val="0"/>
      <w:marBottom w:val="0"/>
      <w:divBdr>
        <w:top w:val="none" w:sz="0" w:space="0" w:color="auto"/>
        <w:left w:val="none" w:sz="0" w:space="0" w:color="auto"/>
        <w:bottom w:val="none" w:sz="0" w:space="0" w:color="auto"/>
        <w:right w:val="none" w:sz="0" w:space="0" w:color="auto"/>
      </w:divBdr>
    </w:div>
    <w:div w:id="312754609">
      <w:bodyDiv w:val="1"/>
      <w:marLeft w:val="0"/>
      <w:marRight w:val="0"/>
      <w:marTop w:val="0"/>
      <w:marBottom w:val="0"/>
      <w:divBdr>
        <w:top w:val="none" w:sz="0" w:space="0" w:color="auto"/>
        <w:left w:val="none" w:sz="0" w:space="0" w:color="auto"/>
        <w:bottom w:val="none" w:sz="0" w:space="0" w:color="auto"/>
        <w:right w:val="none" w:sz="0" w:space="0" w:color="auto"/>
      </w:divBdr>
    </w:div>
    <w:div w:id="483202764">
      <w:bodyDiv w:val="1"/>
      <w:marLeft w:val="0"/>
      <w:marRight w:val="0"/>
      <w:marTop w:val="0"/>
      <w:marBottom w:val="0"/>
      <w:divBdr>
        <w:top w:val="none" w:sz="0" w:space="0" w:color="auto"/>
        <w:left w:val="none" w:sz="0" w:space="0" w:color="auto"/>
        <w:bottom w:val="none" w:sz="0" w:space="0" w:color="auto"/>
        <w:right w:val="none" w:sz="0" w:space="0" w:color="auto"/>
      </w:divBdr>
    </w:div>
    <w:div w:id="519007919">
      <w:bodyDiv w:val="1"/>
      <w:marLeft w:val="0"/>
      <w:marRight w:val="0"/>
      <w:marTop w:val="0"/>
      <w:marBottom w:val="0"/>
      <w:divBdr>
        <w:top w:val="none" w:sz="0" w:space="0" w:color="auto"/>
        <w:left w:val="none" w:sz="0" w:space="0" w:color="auto"/>
        <w:bottom w:val="none" w:sz="0" w:space="0" w:color="auto"/>
        <w:right w:val="none" w:sz="0" w:space="0" w:color="auto"/>
      </w:divBdr>
    </w:div>
    <w:div w:id="553204516">
      <w:bodyDiv w:val="1"/>
      <w:marLeft w:val="0"/>
      <w:marRight w:val="0"/>
      <w:marTop w:val="0"/>
      <w:marBottom w:val="0"/>
      <w:divBdr>
        <w:top w:val="none" w:sz="0" w:space="0" w:color="auto"/>
        <w:left w:val="none" w:sz="0" w:space="0" w:color="auto"/>
        <w:bottom w:val="none" w:sz="0" w:space="0" w:color="auto"/>
        <w:right w:val="none" w:sz="0" w:space="0" w:color="auto"/>
      </w:divBdr>
      <w:divsChild>
        <w:div w:id="354775996">
          <w:marLeft w:val="0"/>
          <w:marRight w:val="0"/>
          <w:marTop w:val="0"/>
          <w:marBottom w:val="0"/>
          <w:divBdr>
            <w:top w:val="none" w:sz="0" w:space="0" w:color="auto"/>
            <w:left w:val="none" w:sz="0" w:space="0" w:color="auto"/>
            <w:bottom w:val="none" w:sz="0" w:space="0" w:color="auto"/>
            <w:right w:val="none" w:sz="0" w:space="0" w:color="auto"/>
          </w:divBdr>
          <w:divsChild>
            <w:div w:id="1426457017">
              <w:marLeft w:val="0"/>
              <w:marRight w:val="0"/>
              <w:marTop w:val="0"/>
              <w:marBottom w:val="0"/>
              <w:divBdr>
                <w:top w:val="single" w:sz="2" w:space="0" w:color="FFFFFF"/>
                <w:left w:val="single" w:sz="6" w:space="0" w:color="FFFFFF"/>
                <w:bottom w:val="single" w:sz="6" w:space="0" w:color="FFFFFF"/>
                <w:right w:val="single" w:sz="6" w:space="0" w:color="FFFFFF"/>
              </w:divBdr>
              <w:divsChild>
                <w:div w:id="207382367">
                  <w:marLeft w:val="0"/>
                  <w:marRight w:val="0"/>
                  <w:marTop w:val="0"/>
                  <w:marBottom w:val="0"/>
                  <w:divBdr>
                    <w:top w:val="single" w:sz="6" w:space="1" w:color="D3D3D3"/>
                    <w:left w:val="none" w:sz="0" w:space="0" w:color="auto"/>
                    <w:bottom w:val="none" w:sz="0" w:space="0" w:color="auto"/>
                    <w:right w:val="none" w:sz="0" w:space="0" w:color="auto"/>
                  </w:divBdr>
                  <w:divsChild>
                    <w:div w:id="321084216">
                      <w:marLeft w:val="0"/>
                      <w:marRight w:val="0"/>
                      <w:marTop w:val="0"/>
                      <w:marBottom w:val="0"/>
                      <w:divBdr>
                        <w:top w:val="none" w:sz="0" w:space="0" w:color="auto"/>
                        <w:left w:val="none" w:sz="0" w:space="0" w:color="auto"/>
                        <w:bottom w:val="none" w:sz="0" w:space="0" w:color="auto"/>
                        <w:right w:val="none" w:sz="0" w:space="0" w:color="auto"/>
                      </w:divBdr>
                      <w:divsChild>
                        <w:div w:id="20181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6254">
      <w:bodyDiv w:val="1"/>
      <w:marLeft w:val="0"/>
      <w:marRight w:val="0"/>
      <w:marTop w:val="0"/>
      <w:marBottom w:val="0"/>
      <w:divBdr>
        <w:top w:val="none" w:sz="0" w:space="0" w:color="auto"/>
        <w:left w:val="none" w:sz="0" w:space="0" w:color="auto"/>
        <w:bottom w:val="none" w:sz="0" w:space="0" w:color="auto"/>
        <w:right w:val="none" w:sz="0" w:space="0" w:color="auto"/>
      </w:divBdr>
    </w:div>
    <w:div w:id="769591860">
      <w:bodyDiv w:val="1"/>
      <w:marLeft w:val="0"/>
      <w:marRight w:val="0"/>
      <w:marTop w:val="0"/>
      <w:marBottom w:val="0"/>
      <w:divBdr>
        <w:top w:val="none" w:sz="0" w:space="0" w:color="auto"/>
        <w:left w:val="none" w:sz="0" w:space="0" w:color="auto"/>
        <w:bottom w:val="none" w:sz="0" w:space="0" w:color="auto"/>
        <w:right w:val="none" w:sz="0" w:space="0" w:color="auto"/>
      </w:divBdr>
    </w:div>
    <w:div w:id="913244729">
      <w:bodyDiv w:val="1"/>
      <w:marLeft w:val="0"/>
      <w:marRight w:val="0"/>
      <w:marTop w:val="0"/>
      <w:marBottom w:val="0"/>
      <w:divBdr>
        <w:top w:val="none" w:sz="0" w:space="0" w:color="auto"/>
        <w:left w:val="none" w:sz="0" w:space="0" w:color="auto"/>
        <w:bottom w:val="none" w:sz="0" w:space="0" w:color="auto"/>
        <w:right w:val="none" w:sz="0" w:space="0" w:color="auto"/>
      </w:divBdr>
    </w:div>
    <w:div w:id="920523403">
      <w:bodyDiv w:val="1"/>
      <w:marLeft w:val="0"/>
      <w:marRight w:val="0"/>
      <w:marTop w:val="0"/>
      <w:marBottom w:val="0"/>
      <w:divBdr>
        <w:top w:val="none" w:sz="0" w:space="0" w:color="auto"/>
        <w:left w:val="none" w:sz="0" w:space="0" w:color="auto"/>
        <w:bottom w:val="none" w:sz="0" w:space="0" w:color="auto"/>
        <w:right w:val="none" w:sz="0" w:space="0" w:color="auto"/>
      </w:divBdr>
    </w:div>
    <w:div w:id="989165745">
      <w:bodyDiv w:val="1"/>
      <w:marLeft w:val="0"/>
      <w:marRight w:val="0"/>
      <w:marTop w:val="0"/>
      <w:marBottom w:val="0"/>
      <w:divBdr>
        <w:top w:val="none" w:sz="0" w:space="0" w:color="auto"/>
        <w:left w:val="none" w:sz="0" w:space="0" w:color="auto"/>
        <w:bottom w:val="none" w:sz="0" w:space="0" w:color="auto"/>
        <w:right w:val="none" w:sz="0" w:space="0" w:color="auto"/>
      </w:divBdr>
    </w:div>
    <w:div w:id="1018583318">
      <w:bodyDiv w:val="1"/>
      <w:marLeft w:val="0"/>
      <w:marRight w:val="0"/>
      <w:marTop w:val="0"/>
      <w:marBottom w:val="0"/>
      <w:divBdr>
        <w:top w:val="none" w:sz="0" w:space="0" w:color="auto"/>
        <w:left w:val="none" w:sz="0" w:space="0" w:color="auto"/>
        <w:bottom w:val="none" w:sz="0" w:space="0" w:color="auto"/>
        <w:right w:val="none" w:sz="0" w:space="0" w:color="auto"/>
      </w:divBdr>
    </w:div>
    <w:div w:id="1031997173">
      <w:bodyDiv w:val="1"/>
      <w:marLeft w:val="0"/>
      <w:marRight w:val="0"/>
      <w:marTop w:val="0"/>
      <w:marBottom w:val="0"/>
      <w:divBdr>
        <w:top w:val="none" w:sz="0" w:space="0" w:color="auto"/>
        <w:left w:val="none" w:sz="0" w:space="0" w:color="auto"/>
        <w:bottom w:val="none" w:sz="0" w:space="0" w:color="auto"/>
        <w:right w:val="none" w:sz="0" w:space="0" w:color="auto"/>
      </w:divBdr>
    </w:div>
    <w:div w:id="1072311385">
      <w:bodyDiv w:val="1"/>
      <w:marLeft w:val="0"/>
      <w:marRight w:val="0"/>
      <w:marTop w:val="0"/>
      <w:marBottom w:val="0"/>
      <w:divBdr>
        <w:top w:val="none" w:sz="0" w:space="0" w:color="auto"/>
        <w:left w:val="none" w:sz="0" w:space="0" w:color="auto"/>
        <w:bottom w:val="none" w:sz="0" w:space="0" w:color="auto"/>
        <w:right w:val="none" w:sz="0" w:space="0" w:color="auto"/>
      </w:divBdr>
    </w:div>
    <w:div w:id="1160652373">
      <w:bodyDiv w:val="1"/>
      <w:marLeft w:val="0"/>
      <w:marRight w:val="0"/>
      <w:marTop w:val="0"/>
      <w:marBottom w:val="0"/>
      <w:divBdr>
        <w:top w:val="none" w:sz="0" w:space="0" w:color="auto"/>
        <w:left w:val="none" w:sz="0" w:space="0" w:color="auto"/>
        <w:bottom w:val="none" w:sz="0" w:space="0" w:color="auto"/>
        <w:right w:val="none" w:sz="0" w:space="0" w:color="auto"/>
      </w:divBdr>
    </w:div>
    <w:div w:id="1297493088">
      <w:bodyDiv w:val="1"/>
      <w:marLeft w:val="0"/>
      <w:marRight w:val="0"/>
      <w:marTop w:val="0"/>
      <w:marBottom w:val="0"/>
      <w:divBdr>
        <w:top w:val="none" w:sz="0" w:space="0" w:color="auto"/>
        <w:left w:val="none" w:sz="0" w:space="0" w:color="auto"/>
        <w:bottom w:val="none" w:sz="0" w:space="0" w:color="auto"/>
        <w:right w:val="none" w:sz="0" w:space="0" w:color="auto"/>
      </w:divBdr>
    </w:div>
    <w:div w:id="1369573675">
      <w:bodyDiv w:val="1"/>
      <w:marLeft w:val="0"/>
      <w:marRight w:val="0"/>
      <w:marTop w:val="0"/>
      <w:marBottom w:val="0"/>
      <w:divBdr>
        <w:top w:val="none" w:sz="0" w:space="0" w:color="auto"/>
        <w:left w:val="none" w:sz="0" w:space="0" w:color="auto"/>
        <w:bottom w:val="none" w:sz="0" w:space="0" w:color="auto"/>
        <w:right w:val="none" w:sz="0" w:space="0" w:color="auto"/>
      </w:divBdr>
      <w:divsChild>
        <w:div w:id="1569998715">
          <w:marLeft w:val="0"/>
          <w:marRight w:val="0"/>
          <w:marTop w:val="0"/>
          <w:marBottom w:val="0"/>
          <w:divBdr>
            <w:top w:val="none" w:sz="0" w:space="0" w:color="auto"/>
            <w:left w:val="none" w:sz="0" w:space="0" w:color="auto"/>
            <w:bottom w:val="none" w:sz="0" w:space="0" w:color="auto"/>
            <w:right w:val="none" w:sz="0" w:space="0" w:color="auto"/>
          </w:divBdr>
          <w:divsChild>
            <w:div w:id="579607323">
              <w:marLeft w:val="0"/>
              <w:marRight w:val="0"/>
              <w:marTop w:val="0"/>
              <w:marBottom w:val="0"/>
              <w:divBdr>
                <w:top w:val="none" w:sz="0" w:space="0" w:color="auto"/>
                <w:left w:val="none" w:sz="0" w:space="0" w:color="auto"/>
                <w:bottom w:val="none" w:sz="0" w:space="0" w:color="auto"/>
                <w:right w:val="none" w:sz="0" w:space="0" w:color="auto"/>
              </w:divBdr>
              <w:divsChild>
                <w:div w:id="364185378">
                  <w:marLeft w:val="0"/>
                  <w:marRight w:val="0"/>
                  <w:marTop w:val="0"/>
                  <w:marBottom w:val="0"/>
                  <w:divBdr>
                    <w:top w:val="none" w:sz="0" w:space="0" w:color="auto"/>
                    <w:left w:val="none" w:sz="0" w:space="0" w:color="auto"/>
                    <w:bottom w:val="none" w:sz="0" w:space="0" w:color="auto"/>
                    <w:right w:val="none" w:sz="0" w:space="0" w:color="auto"/>
                  </w:divBdr>
                  <w:divsChild>
                    <w:div w:id="1509365689">
                      <w:marLeft w:val="0"/>
                      <w:marRight w:val="0"/>
                      <w:marTop w:val="0"/>
                      <w:marBottom w:val="0"/>
                      <w:divBdr>
                        <w:top w:val="none" w:sz="0" w:space="0" w:color="auto"/>
                        <w:left w:val="none" w:sz="0" w:space="0" w:color="auto"/>
                        <w:bottom w:val="none" w:sz="0" w:space="0" w:color="auto"/>
                        <w:right w:val="none" w:sz="0" w:space="0" w:color="auto"/>
                      </w:divBdr>
                      <w:divsChild>
                        <w:div w:id="7409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4394">
          <w:marLeft w:val="0"/>
          <w:marRight w:val="0"/>
          <w:marTop w:val="0"/>
          <w:marBottom w:val="0"/>
          <w:divBdr>
            <w:top w:val="none" w:sz="0" w:space="0" w:color="auto"/>
            <w:left w:val="none" w:sz="0" w:space="0" w:color="auto"/>
            <w:bottom w:val="none" w:sz="0" w:space="0" w:color="auto"/>
            <w:right w:val="none" w:sz="0" w:space="0" w:color="auto"/>
          </w:divBdr>
          <w:divsChild>
            <w:div w:id="1670715186">
              <w:marLeft w:val="0"/>
              <w:marRight w:val="0"/>
              <w:marTop w:val="0"/>
              <w:marBottom w:val="0"/>
              <w:divBdr>
                <w:top w:val="none" w:sz="0" w:space="0" w:color="auto"/>
                <w:left w:val="none" w:sz="0" w:space="0" w:color="auto"/>
                <w:bottom w:val="none" w:sz="0" w:space="0" w:color="auto"/>
                <w:right w:val="none" w:sz="0" w:space="0" w:color="auto"/>
              </w:divBdr>
              <w:divsChild>
                <w:div w:id="1608806547">
                  <w:marLeft w:val="0"/>
                  <w:marRight w:val="0"/>
                  <w:marTop w:val="0"/>
                  <w:marBottom w:val="0"/>
                  <w:divBdr>
                    <w:top w:val="none" w:sz="0" w:space="0" w:color="auto"/>
                    <w:left w:val="none" w:sz="0" w:space="0" w:color="auto"/>
                    <w:bottom w:val="none" w:sz="0" w:space="0" w:color="auto"/>
                    <w:right w:val="none" w:sz="0" w:space="0" w:color="auto"/>
                  </w:divBdr>
                </w:div>
                <w:div w:id="16534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7436">
      <w:bodyDiv w:val="1"/>
      <w:marLeft w:val="0"/>
      <w:marRight w:val="0"/>
      <w:marTop w:val="0"/>
      <w:marBottom w:val="0"/>
      <w:divBdr>
        <w:top w:val="none" w:sz="0" w:space="0" w:color="auto"/>
        <w:left w:val="none" w:sz="0" w:space="0" w:color="auto"/>
        <w:bottom w:val="none" w:sz="0" w:space="0" w:color="auto"/>
        <w:right w:val="none" w:sz="0" w:space="0" w:color="auto"/>
      </w:divBdr>
    </w:div>
    <w:div w:id="1392923291">
      <w:bodyDiv w:val="1"/>
      <w:marLeft w:val="0"/>
      <w:marRight w:val="0"/>
      <w:marTop w:val="0"/>
      <w:marBottom w:val="0"/>
      <w:divBdr>
        <w:top w:val="none" w:sz="0" w:space="0" w:color="auto"/>
        <w:left w:val="none" w:sz="0" w:space="0" w:color="auto"/>
        <w:bottom w:val="none" w:sz="0" w:space="0" w:color="auto"/>
        <w:right w:val="none" w:sz="0" w:space="0" w:color="auto"/>
      </w:divBdr>
      <w:divsChild>
        <w:div w:id="1150290036">
          <w:marLeft w:val="0"/>
          <w:marRight w:val="0"/>
          <w:marTop w:val="0"/>
          <w:marBottom w:val="0"/>
          <w:divBdr>
            <w:top w:val="none" w:sz="0" w:space="0" w:color="auto"/>
            <w:left w:val="none" w:sz="0" w:space="0" w:color="auto"/>
            <w:bottom w:val="none" w:sz="0" w:space="0" w:color="auto"/>
            <w:right w:val="none" w:sz="0" w:space="0" w:color="auto"/>
          </w:divBdr>
          <w:divsChild>
            <w:div w:id="128524816">
              <w:marLeft w:val="0"/>
              <w:marRight w:val="0"/>
              <w:marTop w:val="0"/>
              <w:marBottom w:val="0"/>
              <w:divBdr>
                <w:top w:val="single" w:sz="2" w:space="0" w:color="FFFFFF"/>
                <w:left w:val="single" w:sz="6" w:space="0" w:color="FFFFFF"/>
                <w:bottom w:val="single" w:sz="6" w:space="0" w:color="FFFFFF"/>
                <w:right w:val="single" w:sz="6" w:space="0" w:color="FFFFFF"/>
              </w:divBdr>
              <w:divsChild>
                <w:div w:id="1538204264">
                  <w:marLeft w:val="0"/>
                  <w:marRight w:val="0"/>
                  <w:marTop w:val="0"/>
                  <w:marBottom w:val="0"/>
                  <w:divBdr>
                    <w:top w:val="single" w:sz="6" w:space="1" w:color="D3D3D3"/>
                    <w:left w:val="none" w:sz="0" w:space="0" w:color="auto"/>
                    <w:bottom w:val="none" w:sz="0" w:space="0" w:color="auto"/>
                    <w:right w:val="none" w:sz="0" w:space="0" w:color="auto"/>
                  </w:divBdr>
                  <w:divsChild>
                    <w:div w:id="1184242629">
                      <w:marLeft w:val="0"/>
                      <w:marRight w:val="0"/>
                      <w:marTop w:val="0"/>
                      <w:marBottom w:val="0"/>
                      <w:divBdr>
                        <w:top w:val="none" w:sz="0" w:space="0" w:color="auto"/>
                        <w:left w:val="none" w:sz="0" w:space="0" w:color="auto"/>
                        <w:bottom w:val="none" w:sz="0" w:space="0" w:color="auto"/>
                        <w:right w:val="none" w:sz="0" w:space="0" w:color="auto"/>
                      </w:divBdr>
                      <w:divsChild>
                        <w:div w:id="13688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556384">
      <w:bodyDiv w:val="1"/>
      <w:marLeft w:val="0"/>
      <w:marRight w:val="0"/>
      <w:marTop w:val="0"/>
      <w:marBottom w:val="0"/>
      <w:divBdr>
        <w:top w:val="none" w:sz="0" w:space="0" w:color="auto"/>
        <w:left w:val="none" w:sz="0" w:space="0" w:color="auto"/>
        <w:bottom w:val="none" w:sz="0" w:space="0" w:color="auto"/>
        <w:right w:val="none" w:sz="0" w:space="0" w:color="auto"/>
      </w:divBdr>
    </w:div>
    <w:div w:id="1598362929">
      <w:bodyDiv w:val="1"/>
      <w:marLeft w:val="0"/>
      <w:marRight w:val="0"/>
      <w:marTop w:val="0"/>
      <w:marBottom w:val="0"/>
      <w:divBdr>
        <w:top w:val="none" w:sz="0" w:space="0" w:color="auto"/>
        <w:left w:val="none" w:sz="0" w:space="0" w:color="auto"/>
        <w:bottom w:val="none" w:sz="0" w:space="0" w:color="auto"/>
        <w:right w:val="none" w:sz="0" w:space="0" w:color="auto"/>
      </w:divBdr>
    </w:div>
    <w:div w:id="1641690763">
      <w:bodyDiv w:val="1"/>
      <w:marLeft w:val="0"/>
      <w:marRight w:val="0"/>
      <w:marTop w:val="0"/>
      <w:marBottom w:val="0"/>
      <w:divBdr>
        <w:top w:val="none" w:sz="0" w:space="0" w:color="auto"/>
        <w:left w:val="none" w:sz="0" w:space="0" w:color="auto"/>
        <w:bottom w:val="none" w:sz="0" w:space="0" w:color="auto"/>
        <w:right w:val="none" w:sz="0" w:space="0" w:color="auto"/>
      </w:divBdr>
    </w:div>
    <w:div w:id="1643845561">
      <w:bodyDiv w:val="1"/>
      <w:marLeft w:val="0"/>
      <w:marRight w:val="0"/>
      <w:marTop w:val="0"/>
      <w:marBottom w:val="0"/>
      <w:divBdr>
        <w:top w:val="none" w:sz="0" w:space="0" w:color="auto"/>
        <w:left w:val="none" w:sz="0" w:space="0" w:color="auto"/>
        <w:bottom w:val="none" w:sz="0" w:space="0" w:color="auto"/>
        <w:right w:val="none" w:sz="0" w:space="0" w:color="auto"/>
      </w:divBdr>
    </w:div>
    <w:div w:id="1695686495">
      <w:bodyDiv w:val="1"/>
      <w:marLeft w:val="0"/>
      <w:marRight w:val="0"/>
      <w:marTop w:val="0"/>
      <w:marBottom w:val="0"/>
      <w:divBdr>
        <w:top w:val="none" w:sz="0" w:space="0" w:color="auto"/>
        <w:left w:val="none" w:sz="0" w:space="0" w:color="auto"/>
        <w:bottom w:val="none" w:sz="0" w:space="0" w:color="auto"/>
        <w:right w:val="none" w:sz="0" w:space="0" w:color="auto"/>
      </w:divBdr>
    </w:div>
    <w:div w:id="1701978566">
      <w:bodyDiv w:val="1"/>
      <w:marLeft w:val="0"/>
      <w:marRight w:val="0"/>
      <w:marTop w:val="0"/>
      <w:marBottom w:val="0"/>
      <w:divBdr>
        <w:top w:val="none" w:sz="0" w:space="0" w:color="auto"/>
        <w:left w:val="none" w:sz="0" w:space="0" w:color="auto"/>
        <w:bottom w:val="none" w:sz="0" w:space="0" w:color="auto"/>
        <w:right w:val="none" w:sz="0" w:space="0" w:color="auto"/>
      </w:divBdr>
    </w:div>
    <w:div w:id="1719237782">
      <w:bodyDiv w:val="1"/>
      <w:marLeft w:val="0"/>
      <w:marRight w:val="0"/>
      <w:marTop w:val="0"/>
      <w:marBottom w:val="0"/>
      <w:divBdr>
        <w:top w:val="none" w:sz="0" w:space="0" w:color="auto"/>
        <w:left w:val="none" w:sz="0" w:space="0" w:color="auto"/>
        <w:bottom w:val="none" w:sz="0" w:space="0" w:color="auto"/>
        <w:right w:val="none" w:sz="0" w:space="0" w:color="auto"/>
      </w:divBdr>
    </w:div>
    <w:div w:id="1857579266">
      <w:bodyDiv w:val="1"/>
      <w:marLeft w:val="0"/>
      <w:marRight w:val="0"/>
      <w:marTop w:val="0"/>
      <w:marBottom w:val="0"/>
      <w:divBdr>
        <w:top w:val="none" w:sz="0" w:space="0" w:color="auto"/>
        <w:left w:val="none" w:sz="0" w:space="0" w:color="auto"/>
        <w:bottom w:val="none" w:sz="0" w:space="0" w:color="auto"/>
        <w:right w:val="none" w:sz="0" w:space="0" w:color="auto"/>
      </w:divBdr>
    </w:div>
    <w:div w:id="1924610259">
      <w:bodyDiv w:val="1"/>
      <w:marLeft w:val="0"/>
      <w:marRight w:val="0"/>
      <w:marTop w:val="0"/>
      <w:marBottom w:val="0"/>
      <w:divBdr>
        <w:top w:val="none" w:sz="0" w:space="0" w:color="auto"/>
        <w:left w:val="none" w:sz="0" w:space="0" w:color="auto"/>
        <w:bottom w:val="none" w:sz="0" w:space="0" w:color="auto"/>
        <w:right w:val="none" w:sz="0" w:space="0" w:color="auto"/>
      </w:divBdr>
      <w:divsChild>
        <w:div w:id="774667839">
          <w:marLeft w:val="446"/>
          <w:marRight w:val="0"/>
          <w:marTop w:val="0"/>
          <w:marBottom w:val="0"/>
          <w:divBdr>
            <w:top w:val="none" w:sz="0" w:space="0" w:color="auto"/>
            <w:left w:val="none" w:sz="0" w:space="0" w:color="auto"/>
            <w:bottom w:val="none" w:sz="0" w:space="0" w:color="auto"/>
            <w:right w:val="none" w:sz="0" w:space="0" w:color="auto"/>
          </w:divBdr>
        </w:div>
      </w:divsChild>
    </w:div>
    <w:div w:id="1956448273">
      <w:bodyDiv w:val="1"/>
      <w:marLeft w:val="0"/>
      <w:marRight w:val="0"/>
      <w:marTop w:val="0"/>
      <w:marBottom w:val="0"/>
      <w:divBdr>
        <w:top w:val="none" w:sz="0" w:space="0" w:color="auto"/>
        <w:left w:val="none" w:sz="0" w:space="0" w:color="auto"/>
        <w:bottom w:val="none" w:sz="0" w:space="0" w:color="auto"/>
        <w:right w:val="none" w:sz="0" w:space="0" w:color="auto"/>
      </w:divBdr>
    </w:div>
    <w:div w:id="1958831764">
      <w:bodyDiv w:val="1"/>
      <w:marLeft w:val="0"/>
      <w:marRight w:val="0"/>
      <w:marTop w:val="0"/>
      <w:marBottom w:val="0"/>
      <w:divBdr>
        <w:top w:val="none" w:sz="0" w:space="0" w:color="auto"/>
        <w:left w:val="none" w:sz="0" w:space="0" w:color="auto"/>
        <w:bottom w:val="none" w:sz="0" w:space="0" w:color="auto"/>
        <w:right w:val="none" w:sz="0" w:space="0" w:color="auto"/>
      </w:divBdr>
    </w:div>
    <w:div w:id="212140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pni/1967/37/section/47" TargetMode="External"/><Relationship Id="rId18" Type="http://schemas.openxmlformats.org/officeDocument/2006/relationships/hyperlink" Target="https://www.finance-ni.gov.uk/articles/managing-public-money-ni-mpmni" TargetMode="External"/><Relationship Id="rId26" Type="http://schemas.openxmlformats.org/officeDocument/2006/relationships/hyperlink" Target="https://www.finance-ni.gov.uk/topics/better-business-cases-ni" TargetMode="External"/><Relationship Id="rId39" Type="http://schemas.openxmlformats.org/officeDocument/2006/relationships/fontTable" Target="fontTable.xml"/><Relationship Id="rId21" Type="http://schemas.openxmlformats.org/officeDocument/2006/relationships/hyperlink" Target="https://www.publicappointmentsni.org/sites/cpani/files/media-files/CPANI_Code_of_Practice_JL2_December_2016.pdf" TargetMode="External"/><Relationship Id="rId34" Type="http://schemas.openxmlformats.org/officeDocument/2006/relationships/hyperlink" Target="https://www.finance-ni.gov.uk/sites/default/files/publications/dfp/daodof0319.pdf" TargetMode="External"/><Relationship Id="rId7" Type="http://schemas.openxmlformats.org/officeDocument/2006/relationships/settings" Target="settings.xml"/><Relationship Id="rId12" Type="http://schemas.openxmlformats.org/officeDocument/2006/relationships/hyperlink" Target="https://www.finance-ni.gov.uk/sites/default/files/publications/dfp/daodof0619att.pdf" TargetMode="External"/><Relationship Id="rId17" Type="http://schemas.openxmlformats.org/officeDocument/2006/relationships/hyperlink" Target="https://www.finance-ni.gov.uk/sites/default/files/2025-02/daodof0225att.pdf" TargetMode="External"/><Relationship Id="rId25" Type="http://schemas.openxmlformats.org/officeDocument/2006/relationships/hyperlink" Target="https://www.finance-ni.gov.uk/sites/default/files/publications/dfp/daodof0318att.pdf" TargetMode="External"/><Relationship Id="rId33" Type="http://schemas.openxmlformats.org/officeDocument/2006/relationships/hyperlink" Target="https://www.legislation.gov.uk/nisi/2003/418/contents/made"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rc.org.uk/getattachment/88bd8c45-50ea-4841-95b0-d2f4f48069a2/2018-UK-Corporate-Governance-Code-FINAL.pdf" TargetMode="External"/><Relationship Id="rId20" Type="http://schemas.openxmlformats.org/officeDocument/2006/relationships/hyperlink" Target="https://www.publicappointmentsni.org/publications/code-practice-ministerial-public-appointments-northern-ireland" TargetMode="External"/><Relationship Id="rId29" Type="http://schemas.openxmlformats.org/officeDocument/2006/relationships/hyperlink" Target="https://www.niauditoffice.gov.uk/files/niauditoffice/documents/2022-06/273004_NIAO%20Good%20Practice%20Guide%20-%20Board%20Effectiveness%20%28June%202022%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ni.gov.uk/sites/default/files/publications/dfp/daodof0319.pdf" TargetMode="External"/><Relationship Id="rId24" Type="http://schemas.openxmlformats.org/officeDocument/2006/relationships/hyperlink" Target="https://www.finance-ni.gov.uk/sites/default/files/publications/dfp/daodof0318att.pdf" TargetMode="External"/><Relationship Id="rId32" Type="http://schemas.openxmlformats.org/officeDocument/2006/relationships/hyperlink" Target="https://www.ifrs.org/" TargetMode="External"/><Relationship Id="rId37" Type="http://schemas.openxmlformats.org/officeDocument/2006/relationships/hyperlink" Target="mailto:Patrick.anderson@translink.co.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nisro/1972/175/pdfs/nisro_19720175_en.pdf" TargetMode="External"/><Relationship Id="rId23" Type="http://schemas.openxmlformats.org/officeDocument/2006/relationships/hyperlink" Target="https://www.gov.uk/government/publications/the-7-principles-of-public-life/the-7-principles-of-public-life--2" TargetMode="External"/><Relationship Id="rId28" Type="http://schemas.openxmlformats.org/officeDocument/2006/relationships/hyperlink" Target="https://www.finance-ni.gov.uk/sites/default/files/publications/dfp/daodof0619att.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apni/1967/37/section/47" TargetMode="External"/><Relationship Id="rId31" Type="http://schemas.openxmlformats.org/officeDocument/2006/relationships/hyperlink" Target="https://www.cipfa.org/policy-and-guidance/standards/public-sector-internal-audit-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apni/1967/37/section/48" TargetMode="External"/><Relationship Id="rId22" Type="http://schemas.openxmlformats.org/officeDocument/2006/relationships/hyperlink" Target="https://www.legislation.gov.uk/apni/1967/37/schedule/1" TargetMode="External"/><Relationship Id="rId27" Type="http://schemas.openxmlformats.org/officeDocument/2006/relationships/hyperlink" Target="https://www.finance-ni.gov.uk/sites/default/files/publications/dfp/daodof0517_0.pdf" TargetMode="External"/><Relationship Id="rId30" Type="http://schemas.openxmlformats.org/officeDocument/2006/relationships/hyperlink" Target="https://www.niauditoffice.gov.uk/files/niauditoffice/documents/2022-06/273004_NIAO%20Good%20Practice%20Guide%20-%20Board%20Effectiveness%20%28June%202022%29.pdf" TargetMode="External"/><Relationship Id="rId35" Type="http://schemas.openxmlformats.org/officeDocument/2006/relationships/image" Target="media/image1.jpe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finance-ni.gov.uk/articles/managing-public-money-ni-mpmni" TargetMode="External"/><Relationship Id="rId13" Type="http://schemas.openxmlformats.org/officeDocument/2006/relationships/hyperlink" Target="https://www.finance-ni.gov.uk/sites/default/files/publications/dfp/daodof0318att.pdf" TargetMode="External"/><Relationship Id="rId18" Type="http://schemas.openxmlformats.org/officeDocument/2006/relationships/hyperlink" Target="https://www.cipfa.org/policy-and-guidance/standards/public-sector-internal-audit-standards" TargetMode="External"/><Relationship Id="rId3" Type="http://schemas.openxmlformats.org/officeDocument/2006/relationships/hyperlink" Target="https://assets.publishing.service.gov.uk/government/uploads/system/uploads/attachment_data/file/519571/Classification-of-Public_Bodies-Guidance-for-Departments.pdf" TargetMode="External"/><Relationship Id="rId21" Type="http://schemas.openxmlformats.org/officeDocument/2006/relationships/hyperlink" Target="https://www.finance-ni.gov.uk/sites/default/files/2025-09/daodof0525.pdf" TargetMode="External"/><Relationship Id="rId7" Type="http://schemas.openxmlformats.org/officeDocument/2006/relationships/hyperlink" Target="https://www.finance-ni.gov.uk/sites/default/files/2025-02/daodof0225att.pdf" TargetMode="Externa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niauditoffice.gov.uk/files/niauditoffice/documents/2022-06/273004_NIAO%20Good%20Practice%20Guide%20-%20Board%20Effectiveness%20%28June%202022%29.pdf" TargetMode="External"/><Relationship Id="rId2" Type="http://schemas.openxmlformats.org/officeDocument/2006/relationships/hyperlink" Target="https://www.finance-ni.gov.uk/sites/default/files/publications/dfp/daodof0619att.pdf" TargetMode="External"/><Relationship Id="rId16" Type="http://schemas.openxmlformats.org/officeDocument/2006/relationships/hyperlink" Target="https://www.finance-ni.gov.uk/sites/default/files/publications/dfp/daodof0517_0.pdf" TargetMode="External"/><Relationship Id="rId20" Type="http://schemas.openxmlformats.org/officeDocument/2006/relationships/hyperlink" Target="https://www.legislation.gov.uk/nisi/2003/418/contents/made" TargetMode="External"/><Relationship Id="rId1" Type="http://schemas.openxmlformats.org/officeDocument/2006/relationships/hyperlink" Target="https://www.finance-ni.gov.uk/sites/default/files/publications/dfp/daodof0319.pdf" TargetMode="External"/><Relationship Id="rId6" Type="http://schemas.openxmlformats.org/officeDocument/2006/relationships/hyperlink" Target="https://www.legislation.gov.uk/nisro/1972/175/pdfs/nisro_19720175_en.pdf" TargetMode="External"/><Relationship Id="rId11" Type="http://schemas.openxmlformats.org/officeDocument/2006/relationships/hyperlink" Target="https://www.legislation.gov.uk/apni/1967/37/schedule/1" TargetMode="External"/><Relationship Id="rId5" Type="http://schemas.openxmlformats.org/officeDocument/2006/relationships/hyperlink" Target="https://www.legislation.gov.uk/apni/1967/37/section/48" TargetMode="External"/><Relationship Id="rId15" Type="http://schemas.openxmlformats.org/officeDocument/2006/relationships/hyperlink" Target="https://www.executiveoffice-ni.gov.uk/topics/making-government-work/programme-government" TargetMode="External"/><Relationship Id="rId10" Type="http://schemas.openxmlformats.org/officeDocument/2006/relationships/hyperlink" Target="https://www.publicappointmentsni.org/publications/code-practice-ministerial-public-appointments-northern-ireland" TargetMode="External"/><Relationship Id="rId19" Type="http://schemas.openxmlformats.org/officeDocument/2006/relationships/hyperlink" Target="https://www.ifrs.org/" TargetMode="External"/><Relationship Id="rId4" Type="http://schemas.openxmlformats.org/officeDocument/2006/relationships/hyperlink" Target="https://www.legislation.gov.uk/apni/1967/37/section/47" TargetMode="External"/><Relationship Id="rId9" Type="http://schemas.openxmlformats.org/officeDocument/2006/relationships/hyperlink" Target="https://www.legislation.gov.uk/apni/1967/37/section/47" TargetMode="External"/><Relationship Id="rId14" Type="http://schemas.openxmlformats.org/officeDocument/2006/relationships/hyperlink" Target="https://www.finance-ni.gov.uk/topics/better-business-case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Catherine Fearon</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6790A-6FBC-4B6A-8577-1F786BB2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6595F-01E4-4C7D-94A8-F82F20E16C99}">
  <ds:schemaRefs>
    <ds:schemaRef ds:uri="http://schemas.microsoft.com/office/2006/metadata/properties"/>
    <ds:schemaRef ds:uri="http://schemas.microsoft.com/office/infopath/2007/PartnerControls"/>
    <ds:schemaRef ds:uri="f945c373-443d-44c5-9957-e749dff01e8e"/>
  </ds:schemaRefs>
</ds:datastoreItem>
</file>

<file path=customXml/itemProps3.xml><?xml version="1.0" encoding="utf-8"?>
<ds:datastoreItem xmlns:ds="http://schemas.openxmlformats.org/officeDocument/2006/customXml" ds:itemID="{22A07A30-D315-4C06-B7B9-48B2CC9FEA84}">
  <ds:schemaRefs>
    <ds:schemaRef ds:uri="http://schemas.openxmlformats.org/officeDocument/2006/bibliography"/>
  </ds:schemaRefs>
</ds:datastoreItem>
</file>

<file path=customXml/itemProps4.xml><?xml version="1.0" encoding="utf-8"?>
<ds:datastoreItem xmlns:ds="http://schemas.openxmlformats.org/officeDocument/2006/customXml" ds:itemID="{F752351E-83E1-46C5-9CE8-8F3BB5A7F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11559</Words>
  <Characters>64504</Characters>
  <Application>Microsoft Office Word</Application>
  <DocSecurity>0</DocSecurity>
  <Lines>2480</Lines>
  <Paragraphs>1056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Henry</dc:creator>
  <cp:keywords/>
  <dc:description/>
  <cp:lastModifiedBy>Priscilla Rooney</cp:lastModifiedBy>
  <cp:revision>4</cp:revision>
  <cp:lastPrinted>2023-01-12T06:37:00Z</cp:lastPrinted>
  <dcterms:created xsi:type="dcterms:W3CDTF">2026-02-11T15:32:00Z</dcterms:created>
  <dcterms:modified xsi:type="dcterms:W3CDTF">2026-03-25T14:33:00Z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2025-11-13T14:59:09Z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6bf40630-56f5-4b19-bdfa-4fe07b85eb78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